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431AE" w14:textId="08A56937" w:rsidR="00AD4001" w:rsidRDefault="00AD4001" w:rsidP="00B03685">
      <w:pPr>
        <w:tabs>
          <w:tab w:val="left" w:pos="4474"/>
        </w:tabs>
        <w:spacing w:after="0"/>
        <w:rPr>
          <w:rFonts w:ascii="Work Sans ExtraLight" w:hAnsi="Work Sans ExtraLight"/>
        </w:rPr>
      </w:pPr>
    </w:p>
    <w:p w14:paraId="4BCAACE1" w14:textId="085B8BF0" w:rsidR="00811D19" w:rsidRDefault="00811D19" w:rsidP="008E39FD">
      <w:pPr>
        <w:tabs>
          <w:tab w:val="left" w:pos="4474"/>
        </w:tabs>
        <w:spacing w:after="0"/>
        <w:ind w:left="94"/>
        <w:rPr>
          <w:rFonts w:ascii="Work Sans ExtraLight" w:hAnsi="Work Sans ExtraLight"/>
        </w:rPr>
      </w:pPr>
      <w:r>
        <w:rPr>
          <w:rFonts w:ascii="Work Sans ExtraLight" w:hAnsi="Work Sans ExtraLight"/>
        </w:rPr>
        <w:tab/>
      </w:r>
    </w:p>
    <w:p w14:paraId="233D2196" w14:textId="5BDC1C4B" w:rsidR="00811D19" w:rsidRPr="00C63186" w:rsidRDefault="00811D19" w:rsidP="008E39FD">
      <w:pPr>
        <w:tabs>
          <w:tab w:val="left" w:pos="4474"/>
        </w:tabs>
        <w:spacing w:after="0"/>
        <w:ind w:left="94"/>
        <w:jc w:val="center"/>
        <w:rPr>
          <w:rFonts w:ascii="Arial" w:hAnsi="Arial" w:cs="Arial"/>
          <w:b/>
          <w:bCs/>
          <w:sz w:val="40"/>
          <w:szCs w:val="40"/>
        </w:rPr>
      </w:pPr>
      <w:r w:rsidRPr="54B2E939">
        <w:rPr>
          <w:rFonts w:ascii="Arial" w:hAnsi="Arial" w:cs="Arial"/>
          <w:b/>
          <w:bCs/>
          <w:sz w:val="40"/>
          <w:szCs w:val="40"/>
        </w:rPr>
        <w:t>FONDO ÚNICO DE SOLUCIONES ENERGÉTICAS</w:t>
      </w:r>
    </w:p>
    <w:p w14:paraId="0D75D51D" w14:textId="77777777" w:rsidR="00811D19" w:rsidRPr="00C63186" w:rsidRDefault="00811D19" w:rsidP="008E39FD">
      <w:pPr>
        <w:tabs>
          <w:tab w:val="left" w:pos="4474"/>
        </w:tabs>
        <w:spacing w:after="0"/>
        <w:ind w:left="94"/>
        <w:jc w:val="center"/>
        <w:rPr>
          <w:rFonts w:ascii="Arial" w:hAnsi="Arial" w:cs="Arial"/>
          <w:b/>
          <w:bCs/>
          <w:sz w:val="40"/>
          <w:szCs w:val="40"/>
        </w:rPr>
      </w:pPr>
    </w:p>
    <w:p w14:paraId="71842C81" w14:textId="7CBA7A55" w:rsidR="00811D19" w:rsidRPr="00C63186" w:rsidRDefault="00811D19" w:rsidP="008E39FD">
      <w:pPr>
        <w:tabs>
          <w:tab w:val="left" w:pos="4474"/>
        </w:tabs>
        <w:spacing w:after="0"/>
        <w:ind w:left="94"/>
        <w:jc w:val="center"/>
        <w:rPr>
          <w:rFonts w:ascii="Arial" w:hAnsi="Arial" w:cs="Arial"/>
          <w:b/>
          <w:bCs/>
          <w:sz w:val="40"/>
          <w:szCs w:val="40"/>
        </w:rPr>
      </w:pPr>
      <w:r w:rsidRPr="00C63186">
        <w:rPr>
          <w:rFonts w:ascii="Arial" w:hAnsi="Arial" w:cs="Arial"/>
          <w:b/>
          <w:bCs/>
          <w:sz w:val="40"/>
          <w:szCs w:val="40"/>
        </w:rPr>
        <w:t>FONENERGÍA</w:t>
      </w:r>
    </w:p>
    <w:p w14:paraId="2019632F" w14:textId="77777777" w:rsidR="00811D19" w:rsidRPr="00C63186" w:rsidRDefault="00811D19" w:rsidP="008E39FD">
      <w:pPr>
        <w:tabs>
          <w:tab w:val="left" w:pos="4474"/>
        </w:tabs>
        <w:spacing w:after="0"/>
        <w:ind w:left="94"/>
        <w:rPr>
          <w:rFonts w:ascii="Arial" w:hAnsi="Arial" w:cs="Arial"/>
        </w:rPr>
      </w:pPr>
    </w:p>
    <w:p w14:paraId="306A9E2B" w14:textId="77777777" w:rsidR="00811D19" w:rsidRPr="00C63186" w:rsidRDefault="00811D19" w:rsidP="008E39FD">
      <w:pPr>
        <w:tabs>
          <w:tab w:val="left" w:pos="4474"/>
        </w:tabs>
        <w:spacing w:after="0"/>
        <w:ind w:left="94"/>
        <w:rPr>
          <w:rFonts w:ascii="Arial" w:hAnsi="Arial" w:cs="Arial"/>
        </w:rPr>
      </w:pPr>
    </w:p>
    <w:p w14:paraId="6A48916B" w14:textId="77777777" w:rsidR="00811D19" w:rsidRPr="00C63186" w:rsidRDefault="00811D19" w:rsidP="008E39FD">
      <w:pPr>
        <w:tabs>
          <w:tab w:val="left" w:pos="4474"/>
        </w:tabs>
        <w:spacing w:after="0"/>
        <w:ind w:left="94"/>
        <w:rPr>
          <w:rFonts w:ascii="Arial" w:hAnsi="Arial" w:cs="Arial"/>
        </w:rPr>
      </w:pPr>
    </w:p>
    <w:p w14:paraId="746F7CD2" w14:textId="77777777" w:rsidR="00811D19" w:rsidRPr="00C63186" w:rsidRDefault="00811D19">
      <w:pPr>
        <w:pStyle w:val="Ttulo6"/>
      </w:pPr>
    </w:p>
    <w:p w14:paraId="66DD1C2B" w14:textId="77777777" w:rsidR="009E0311" w:rsidRPr="00C63186" w:rsidRDefault="009E0311" w:rsidP="008E39FD">
      <w:pPr>
        <w:tabs>
          <w:tab w:val="left" w:pos="4474"/>
        </w:tabs>
        <w:spacing w:after="0"/>
        <w:ind w:left="94"/>
        <w:jc w:val="right"/>
        <w:rPr>
          <w:rFonts w:ascii="Arial" w:hAnsi="Arial" w:cs="Arial"/>
          <w:b/>
          <w:bCs/>
          <w:sz w:val="96"/>
          <w:szCs w:val="96"/>
        </w:rPr>
      </w:pPr>
    </w:p>
    <w:p w14:paraId="4EAACFDF" w14:textId="61ED4781" w:rsidR="00811D19" w:rsidRPr="00C63186" w:rsidRDefault="00811D19" w:rsidP="008E39FD">
      <w:pPr>
        <w:tabs>
          <w:tab w:val="left" w:pos="4474"/>
        </w:tabs>
        <w:spacing w:after="0"/>
        <w:ind w:left="94"/>
        <w:jc w:val="right"/>
        <w:rPr>
          <w:rFonts w:ascii="Arial" w:hAnsi="Arial" w:cs="Arial"/>
          <w:b/>
          <w:bCs/>
          <w:sz w:val="96"/>
          <w:szCs w:val="96"/>
        </w:rPr>
      </w:pPr>
      <w:r w:rsidRPr="00C63186">
        <w:rPr>
          <w:rFonts w:ascii="Arial" w:hAnsi="Arial" w:cs="Arial"/>
          <w:b/>
          <w:bCs/>
          <w:sz w:val="96"/>
          <w:szCs w:val="96"/>
        </w:rPr>
        <w:t>MANUAL</w:t>
      </w:r>
    </w:p>
    <w:p w14:paraId="282B49C2" w14:textId="632FDEAF" w:rsidR="00811D19" w:rsidRPr="00C63186" w:rsidRDefault="00811D19" w:rsidP="008E39FD">
      <w:pPr>
        <w:tabs>
          <w:tab w:val="left" w:pos="4474"/>
        </w:tabs>
        <w:spacing w:after="0"/>
        <w:ind w:left="94"/>
        <w:jc w:val="right"/>
        <w:rPr>
          <w:rFonts w:ascii="Arial" w:hAnsi="Arial" w:cs="Arial"/>
          <w:b/>
          <w:bCs/>
          <w:sz w:val="96"/>
          <w:szCs w:val="96"/>
        </w:rPr>
      </w:pPr>
      <w:r w:rsidRPr="00C63186">
        <w:rPr>
          <w:rFonts w:ascii="Arial" w:hAnsi="Arial" w:cs="Arial"/>
          <w:b/>
          <w:bCs/>
          <w:sz w:val="96"/>
          <w:szCs w:val="96"/>
        </w:rPr>
        <w:t>OPERATIVO</w:t>
      </w:r>
    </w:p>
    <w:p w14:paraId="49AC3971" w14:textId="77777777" w:rsidR="009E0311" w:rsidRPr="00C63186" w:rsidRDefault="009E0311" w:rsidP="008E39FD">
      <w:pPr>
        <w:tabs>
          <w:tab w:val="left" w:pos="4474"/>
        </w:tabs>
        <w:spacing w:after="0"/>
        <w:ind w:left="94"/>
        <w:jc w:val="right"/>
        <w:rPr>
          <w:rFonts w:ascii="Arial" w:hAnsi="Arial" w:cs="Arial"/>
          <w:b/>
          <w:bCs/>
          <w:sz w:val="28"/>
          <w:szCs w:val="28"/>
        </w:rPr>
      </w:pPr>
    </w:p>
    <w:p w14:paraId="4DD0554B" w14:textId="2A4AAA11" w:rsidR="009E0311" w:rsidRPr="00C63186" w:rsidRDefault="790B81B0" w:rsidP="008E39FD">
      <w:pPr>
        <w:tabs>
          <w:tab w:val="left" w:pos="4474"/>
        </w:tabs>
        <w:spacing w:after="0"/>
        <w:ind w:left="94"/>
        <w:jc w:val="right"/>
        <w:rPr>
          <w:rFonts w:ascii="Arial" w:hAnsi="Arial" w:cs="Arial"/>
          <w:b/>
          <w:bCs/>
          <w:sz w:val="28"/>
          <w:szCs w:val="28"/>
        </w:rPr>
      </w:pPr>
      <w:r w:rsidRPr="1C911DC0">
        <w:rPr>
          <w:rFonts w:ascii="Arial" w:hAnsi="Arial" w:cs="Arial"/>
          <w:b/>
          <w:bCs/>
          <w:sz w:val="28"/>
          <w:szCs w:val="28"/>
        </w:rPr>
        <w:t>Ministerio de Minas y Energía</w:t>
      </w:r>
    </w:p>
    <w:p w14:paraId="41A5F316" w14:textId="518E07CB" w:rsidR="007A314E" w:rsidRDefault="009E0311" w:rsidP="008E39FD">
      <w:pPr>
        <w:spacing w:after="0" w:line="240" w:lineRule="auto"/>
        <w:rPr>
          <w:rFonts w:ascii="Arial" w:hAnsi="Arial" w:cs="Arial"/>
          <w:b/>
          <w:bCs/>
          <w:sz w:val="28"/>
          <w:szCs w:val="28"/>
        </w:rPr>
      </w:pPr>
      <w:r w:rsidRPr="00C63186">
        <w:rPr>
          <w:rFonts w:ascii="Arial" w:hAnsi="Arial" w:cs="Arial"/>
          <w:b/>
          <w:bCs/>
          <w:sz w:val="28"/>
          <w:szCs w:val="28"/>
        </w:rPr>
        <w:br w:type="page"/>
      </w:r>
    </w:p>
    <w:sdt>
      <w:sdtPr>
        <w:rPr>
          <w:rFonts w:asciiTheme="minorHAnsi" w:hAnsiTheme="minorHAnsi" w:cstheme="minorBidi"/>
          <w:color w:val="auto"/>
          <w:sz w:val="22"/>
          <w:szCs w:val="22"/>
          <w:lang w:val="es-ES"/>
        </w:rPr>
        <w:id w:val="1538159072"/>
        <w:docPartObj>
          <w:docPartGallery w:val="Table of Contents"/>
          <w:docPartUnique/>
        </w:docPartObj>
      </w:sdtPr>
      <w:sdtEndPr>
        <w:rPr>
          <w:b/>
          <w:bCs/>
        </w:rPr>
      </w:sdtEndPr>
      <w:sdtContent>
        <w:p w14:paraId="36C34A1B" w14:textId="0EBF5525" w:rsidR="00831F88" w:rsidRDefault="00831F88" w:rsidP="00831F88">
          <w:pPr>
            <w:pStyle w:val="Default"/>
            <w:jc w:val="center"/>
            <w:rPr>
              <w:lang w:val="es-ES"/>
            </w:rPr>
          </w:pPr>
          <w:r>
            <w:rPr>
              <w:lang w:val="es-ES"/>
            </w:rPr>
            <w:t>Tabla de Contenido</w:t>
          </w:r>
        </w:p>
        <w:p w14:paraId="65CBB9E1" w14:textId="77777777" w:rsidR="00831F88" w:rsidRDefault="00831F88" w:rsidP="00831F88">
          <w:pPr>
            <w:pStyle w:val="Default"/>
          </w:pPr>
        </w:p>
        <w:p w14:paraId="4E81471B" w14:textId="0746E323" w:rsidR="00F73988" w:rsidRDefault="00831F88">
          <w:pPr>
            <w:pStyle w:val="TDC1"/>
            <w:tabs>
              <w:tab w:val="right" w:leader="dot" w:pos="9394"/>
            </w:tabs>
            <w:rPr>
              <w:rFonts w:eastAsiaTheme="minorEastAsia"/>
              <w:noProof/>
              <w:kern w:val="2"/>
              <w:sz w:val="24"/>
              <w:szCs w:val="24"/>
              <w:lang w:eastAsia="es-CO"/>
              <w14:ligatures w14:val="standardContextual"/>
            </w:rPr>
          </w:pPr>
          <w:r>
            <w:fldChar w:fldCharType="begin"/>
          </w:r>
          <w:r>
            <w:instrText xml:space="preserve"> TOC \o "1-5" \h \z \u </w:instrText>
          </w:r>
          <w:r>
            <w:fldChar w:fldCharType="separate"/>
          </w:r>
          <w:hyperlink w:anchor="_Toc224844276" w:history="1">
            <w:r w:rsidR="00F73988" w:rsidRPr="00E31E8B">
              <w:rPr>
                <w:rStyle w:val="Hipervnculo"/>
                <w:noProof/>
              </w:rPr>
              <w:t>TITULO I</w:t>
            </w:r>
            <w:r w:rsidR="00F73988">
              <w:rPr>
                <w:noProof/>
                <w:webHidden/>
              </w:rPr>
              <w:tab/>
            </w:r>
            <w:r w:rsidR="00F73988">
              <w:rPr>
                <w:noProof/>
                <w:webHidden/>
              </w:rPr>
              <w:fldChar w:fldCharType="begin"/>
            </w:r>
            <w:r w:rsidR="00F73988">
              <w:rPr>
                <w:noProof/>
                <w:webHidden/>
              </w:rPr>
              <w:instrText xml:space="preserve"> PAGEREF _Toc224844276 \h </w:instrText>
            </w:r>
            <w:r w:rsidR="00F73988">
              <w:rPr>
                <w:noProof/>
                <w:webHidden/>
              </w:rPr>
            </w:r>
            <w:r w:rsidR="00F73988">
              <w:rPr>
                <w:noProof/>
                <w:webHidden/>
              </w:rPr>
              <w:fldChar w:fldCharType="separate"/>
            </w:r>
            <w:r w:rsidR="00F73988">
              <w:rPr>
                <w:noProof/>
                <w:webHidden/>
              </w:rPr>
              <w:t>16</w:t>
            </w:r>
            <w:r w:rsidR="00F73988">
              <w:rPr>
                <w:noProof/>
                <w:webHidden/>
              </w:rPr>
              <w:fldChar w:fldCharType="end"/>
            </w:r>
          </w:hyperlink>
        </w:p>
        <w:p w14:paraId="5091A9C1" w14:textId="03EC8CAB" w:rsidR="00F73988" w:rsidRDefault="00F73988">
          <w:pPr>
            <w:pStyle w:val="TDC2"/>
            <w:tabs>
              <w:tab w:val="right" w:leader="dot" w:pos="9394"/>
            </w:tabs>
            <w:rPr>
              <w:rFonts w:eastAsiaTheme="minorEastAsia"/>
              <w:noProof/>
              <w:kern w:val="2"/>
              <w:sz w:val="24"/>
              <w:szCs w:val="24"/>
              <w:lang w:eastAsia="es-CO"/>
              <w14:ligatures w14:val="standardContextual"/>
            </w:rPr>
          </w:pPr>
          <w:hyperlink w:anchor="_Toc224844277" w:history="1">
            <w:r w:rsidRPr="00E31E8B">
              <w:rPr>
                <w:rStyle w:val="Hipervnculo"/>
                <w:noProof/>
              </w:rPr>
              <w:t>DISPOSICIONES GENERALES</w:t>
            </w:r>
            <w:r>
              <w:rPr>
                <w:noProof/>
                <w:webHidden/>
              </w:rPr>
              <w:tab/>
            </w:r>
            <w:r>
              <w:rPr>
                <w:noProof/>
                <w:webHidden/>
              </w:rPr>
              <w:fldChar w:fldCharType="begin"/>
            </w:r>
            <w:r>
              <w:rPr>
                <w:noProof/>
                <w:webHidden/>
              </w:rPr>
              <w:instrText xml:space="preserve"> PAGEREF _Toc224844277 \h </w:instrText>
            </w:r>
            <w:r>
              <w:rPr>
                <w:noProof/>
                <w:webHidden/>
              </w:rPr>
            </w:r>
            <w:r>
              <w:rPr>
                <w:noProof/>
                <w:webHidden/>
              </w:rPr>
              <w:fldChar w:fldCharType="separate"/>
            </w:r>
            <w:r>
              <w:rPr>
                <w:noProof/>
                <w:webHidden/>
              </w:rPr>
              <w:t>16</w:t>
            </w:r>
            <w:r>
              <w:rPr>
                <w:noProof/>
                <w:webHidden/>
              </w:rPr>
              <w:fldChar w:fldCharType="end"/>
            </w:r>
          </w:hyperlink>
        </w:p>
        <w:p w14:paraId="7F2A2DDF" w14:textId="5180F465"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278" w:history="1">
            <w:r w:rsidRPr="00E31E8B">
              <w:rPr>
                <w:rStyle w:val="Hipervnculo"/>
                <w:noProof/>
              </w:rPr>
              <w:t>CAPÍTULO I</w:t>
            </w:r>
            <w:r>
              <w:rPr>
                <w:noProof/>
                <w:webHidden/>
              </w:rPr>
              <w:tab/>
            </w:r>
            <w:r>
              <w:rPr>
                <w:noProof/>
                <w:webHidden/>
              </w:rPr>
              <w:fldChar w:fldCharType="begin"/>
            </w:r>
            <w:r>
              <w:rPr>
                <w:noProof/>
                <w:webHidden/>
              </w:rPr>
              <w:instrText xml:space="preserve"> PAGEREF _Toc224844278 \h </w:instrText>
            </w:r>
            <w:r>
              <w:rPr>
                <w:noProof/>
                <w:webHidden/>
              </w:rPr>
            </w:r>
            <w:r>
              <w:rPr>
                <w:noProof/>
                <w:webHidden/>
              </w:rPr>
              <w:fldChar w:fldCharType="separate"/>
            </w:r>
            <w:r>
              <w:rPr>
                <w:noProof/>
                <w:webHidden/>
              </w:rPr>
              <w:t>16</w:t>
            </w:r>
            <w:r>
              <w:rPr>
                <w:noProof/>
                <w:webHidden/>
              </w:rPr>
              <w:fldChar w:fldCharType="end"/>
            </w:r>
          </w:hyperlink>
        </w:p>
        <w:p w14:paraId="102EBF46" w14:textId="5C16FC0F" w:rsidR="00F73988" w:rsidRDefault="00F73988">
          <w:pPr>
            <w:pStyle w:val="TDC4"/>
            <w:tabs>
              <w:tab w:val="right" w:leader="dot" w:pos="9394"/>
            </w:tabs>
            <w:rPr>
              <w:noProof/>
            </w:rPr>
          </w:pPr>
          <w:hyperlink w:anchor="_Toc224844279" w:history="1">
            <w:r w:rsidRPr="00E31E8B">
              <w:rPr>
                <w:rStyle w:val="Hipervnculo"/>
                <w:noProof/>
              </w:rPr>
              <w:t>DEFINICIONES Y ABREVIATURAS</w:t>
            </w:r>
            <w:r>
              <w:rPr>
                <w:noProof/>
                <w:webHidden/>
              </w:rPr>
              <w:tab/>
            </w:r>
            <w:r>
              <w:rPr>
                <w:noProof/>
                <w:webHidden/>
              </w:rPr>
              <w:fldChar w:fldCharType="begin"/>
            </w:r>
            <w:r>
              <w:rPr>
                <w:noProof/>
                <w:webHidden/>
              </w:rPr>
              <w:instrText xml:space="preserve"> PAGEREF _Toc224844279 \h </w:instrText>
            </w:r>
            <w:r>
              <w:rPr>
                <w:noProof/>
                <w:webHidden/>
              </w:rPr>
            </w:r>
            <w:r>
              <w:rPr>
                <w:noProof/>
                <w:webHidden/>
              </w:rPr>
              <w:fldChar w:fldCharType="separate"/>
            </w:r>
            <w:r>
              <w:rPr>
                <w:noProof/>
                <w:webHidden/>
              </w:rPr>
              <w:t>16</w:t>
            </w:r>
            <w:r>
              <w:rPr>
                <w:noProof/>
                <w:webHidden/>
              </w:rPr>
              <w:fldChar w:fldCharType="end"/>
            </w:r>
          </w:hyperlink>
        </w:p>
        <w:p w14:paraId="6C6C8C43" w14:textId="769E6259" w:rsidR="00F73988" w:rsidRDefault="00F73988">
          <w:pPr>
            <w:pStyle w:val="TDC5"/>
            <w:tabs>
              <w:tab w:val="right" w:leader="dot" w:pos="9394"/>
            </w:tabs>
            <w:rPr>
              <w:noProof/>
            </w:rPr>
          </w:pPr>
          <w:hyperlink w:anchor="_Toc224844280" w:history="1">
            <w:r w:rsidRPr="00E31E8B">
              <w:rPr>
                <w:rStyle w:val="Hipervnculo"/>
                <w:noProof/>
              </w:rPr>
              <w:t>I-1.1 Definiciones</w:t>
            </w:r>
            <w:r>
              <w:rPr>
                <w:noProof/>
                <w:webHidden/>
              </w:rPr>
              <w:tab/>
            </w:r>
            <w:r>
              <w:rPr>
                <w:noProof/>
                <w:webHidden/>
              </w:rPr>
              <w:fldChar w:fldCharType="begin"/>
            </w:r>
            <w:r>
              <w:rPr>
                <w:noProof/>
                <w:webHidden/>
              </w:rPr>
              <w:instrText xml:space="preserve"> PAGEREF _Toc224844280 \h </w:instrText>
            </w:r>
            <w:r>
              <w:rPr>
                <w:noProof/>
                <w:webHidden/>
              </w:rPr>
            </w:r>
            <w:r>
              <w:rPr>
                <w:noProof/>
                <w:webHidden/>
              </w:rPr>
              <w:fldChar w:fldCharType="separate"/>
            </w:r>
            <w:r>
              <w:rPr>
                <w:noProof/>
                <w:webHidden/>
              </w:rPr>
              <w:t>16</w:t>
            </w:r>
            <w:r>
              <w:rPr>
                <w:noProof/>
                <w:webHidden/>
              </w:rPr>
              <w:fldChar w:fldCharType="end"/>
            </w:r>
          </w:hyperlink>
        </w:p>
        <w:p w14:paraId="1B4DCA26" w14:textId="0720B814" w:rsidR="00F73988" w:rsidRDefault="00F73988">
          <w:pPr>
            <w:pStyle w:val="TDC5"/>
            <w:tabs>
              <w:tab w:val="right" w:leader="dot" w:pos="9394"/>
            </w:tabs>
            <w:rPr>
              <w:noProof/>
            </w:rPr>
          </w:pPr>
          <w:hyperlink w:anchor="_Toc224844281" w:history="1">
            <w:r w:rsidRPr="00E31E8B">
              <w:rPr>
                <w:rStyle w:val="Hipervnculo"/>
                <w:bCs/>
                <w:noProof/>
              </w:rPr>
              <w:t>I-</w:t>
            </w:r>
            <w:r w:rsidRPr="00E31E8B">
              <w:rPr>
                <w:rStyle w:val="Hipervnculo"/>
                <w:noProof/>
              </w:rPr>
              <w:t>1.2 Abreviaturas</w:t>
            </w:r>
            <w:r>
              <w:rPr>
                <w:noProof/>
                <w:webHidden/>
              </w:rPr>
              <w:tab/>
            </w:r>
            <w:r>
              <w:rPr>
                <w:noProof/>
                <w:webHidden/>
              </w:rPr>
              <w:fldChar w:fldCharType="begin"/>
            </w:r>
            <w:r>
              <w:rPr>
                <w:noProof/>
                <w:webHidden/>
              </w:rPr>
              <w:instrText xml:space="preserve"> PAGEREF _Toc224844281 \h </w:instrText>
            </w:r>
            <w:r>
              <w:rPr>
                <w:noProof/>
                <w:webHidden/>
              </w:rPr>
            </w:r>
            <w:r>
              <w:rPr>
                <w:noProof/>
                <w:webHidden/>
              </w:rPr>
              <w:fldChar w:fldCharType="separate"/>
            </w:r>
            <w:r>
              <w:rPr>
                <w:noProof/>
                <w:webHidden/>
              </w:rPr>
              <w:t>29</w:t>
            </w:r>
            <w:r>
              <w:rPr>
                <w:noProof/>
                <w:webHidden/>
              </w:rPr>
              <w:fldChar w:fldCharType="end"/>
            </w:r>
          </w:hyperlink>
        </w:p>
        <w:p w14:paraId="1250C530" w14:textId="4BE8972C"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282" w:history="1">
            <w:r w:rsidRPr="00E31E8B">
              <w:rPr>
                <w:rStyle w:val="Hipervnculo"/>
                <w:noProof/>
              </w:rPr>
              <w:t>CAPÍTULO II</w:t>
            </w:r>
            <w:r>
              <w:rPr>
                <w:noProof/>
                <w:webHidden/>
              </w:rPr>
              <w:tab/>
            </w:r>
            <w:r>
              <w:rPr>
                <w:noProof/>
                <w:webHidden/>
              </w:rPr>
              <w:fldChar w:fldCharType="begin"/>
            </w:r>
            <w:r>
              <w:rPr>
                <w:noProof/>
                <w:webHidden/>
              </w:rPr>
              <w:instrText xml:space="preserve"> PAGEREF _Toc224844282 \h </w:instrText>
            </w:r>
            <w:r>
              <w:rPr>
                <w:noProof/>
                <w:webHidden/>
              </w:rPr>
            </w:r>
            <w:r>
              <w:rPr>
                <w:noProof/>
                <w:webHidden/>
              </w:rPr>
              <w:fldChar w:fldCharType="separate"/>
            </w:r>
            <w:r>
              <w:rPr>
                <w:noProof/>
                <w:webHidden/>
              </w:rPr>
              <w:t>30</w:t>
            </w:r>
            <w:r>
              <w:rPr>
                <w:noProof/>
                <w:webHidden/>
              </w:rPr>
              <w:fldChar w:fldCharType="end"/>
            </w:r>
          </w:hyperlink>
        </w:p>
        <w:p w14:paraId="3FA96A73" w14:textId="4C5300E3" w:rsidR="00F73988" w:rsidRDefault="00F73988">
          <w:pPr>
            <w:pStyle w:val="TDC4"/>
            <w:tabs>
              <w:tab w:val="right" w:leader="dot" w:pos="9394"/>
            </w:tabs>
            <w:rPr>
              <w:noProof/>
            </w:rPr>
          </w:pPr>
          <w:hyperlink w:anchor="_Toc224844283" w:history="1">
            <w:r w:rsidRPr="00E31E8B">
              <w:rPr>
                <w:rStyle w:val="Hipervnculo"/>
                <w:noProof/>
              </w:rPr>
              <w:t>OBJETIVOS DEL FONDO</w:t>
            </w:r>
            <w:r>
              <w:rPr>
                <w:noProof/>
                <w:webHidden/>
              </w:rPr>
              <w:tab/>
            </w:r>
            <w:r>
              <w:rPr>
                <w:noProof/>
                <w:webHidden/>
              </w:rPr>
              <w:fldChar w:fldCharType="begin"/>
            </w:r>
            <w:r>
              <w:rPr>
                <w:noProof/>
                <w:webHidden/>
              </w:rPr>
              <w:instrText xml:space="preserve"> PAGEREF _Toc224844283 \h </w:instrText>
            </w:r>
            <w:r>
              <w:rPr>
                <w:noProof/>
                <w:webHidden/>
              </w:rPr>
            </w:r>
            <w:r>
              <w:rPr>
                <w:noProof/>
                <w:webHidden/>
              </w:rPr>
              <w:fldChar w:fldCharType="separate"/>
            </w:r>
            <w:r>
              <w:rPr>
                <w:noProof/>
                <w:webHidden/>
              </w:rPr>
              <w:t>30</w:t>
            </w:r>
            <w:r>
              <w:rPr>
                <w:noProof/>
                <w:webHidden/>
              </w:rPr>
              <w:fldChar w:fldCharType="end"/>
            </w:r>
          </w:hyperlink>
        </w:p>
        <w:p w14:paraId="61659777" w14:textId="24A2C37C" w:rsidR="00F73988" w:rsidRDefault="00F73988">
          <w:pPr>
            <w:pStyle w:val="TDC5"/>
            <w:tabs>
              <w:tab w:val="right" w:leader="dot" w:pos="9394"/>
            </w:tabs>
            <w:rPr>
              <w:noProof/>
            </w:rPr>
          </w:pPr>
          <w:hyperlink w:anchor="_Toc224844284" w:history="1">
            <w:r w:rsidRPr="00E31E8B">
              <w:rPr>
                <w:rStyle w:val="Hipervnculo"/>
                <w:bCs/>
                <w:noProof/>
              </w:rPr>
              <w:t>I-</w:t>
            </w:r>
            <w:r w:rsidRPr="00E31E8B">
              <w:rPr>
                <w:rStyle w:val="Hipervnculo"/>
                <w:noProof/>
              </w:rPr>
              <w:t>2.1 Objetivo General</w:t>
            </w:r>
            <w:r>
              <w:rPr>
                <w:noProof/>
                <w:webHidden/>
              </w:rPr>
              <w:tab/>
            </w:r>
            <w:r>
              <w:rPr>
                <w:noProof/>
                <w:webHidden/>
              </w:rPr>
              <w:fldChar w:fldCharType="begin"/>
            </w:r>
            <w:r>
              <w:rPr>
                <w:noProof/>
                <w:webHidden/>
              </w:rPr>
              <w:instrText xml:space="preserve"> PAGEREF _Toc224844284 \h </w:instrText>
            </w:r>
            <w:r>
              <w:rPr>
                <w:noProof/>
                <w:webHidden/>
              </w:rPr>
            </w:r>
            <w:r>
              <w:rPr>
                <w:noProof/>
                <w:webHidden/>
              </w:rPr>
              <w:fldChar w:fldCharType="separate"/>
            </w:r>
            <w:r>
              <w:rPr>
                <w:noProof/>
                <w:webHidden/>
              </w:rPr>
              <w:t>30</w:t>
            </w:r>
            <w:r>
              <w:rPr>
                <w:noProof/>
                <w:webHidden/>
              </w:rPr>
              <w:fldChar w:fldCharType="end"/>
            </w:r>
          </w:hyperlink>
        </w:p>
        <w:p w14:paraId="11709A55" w14:textId="06407A39" w:rsidR="00F73988" w:rsidRDefault="00F73988">
          <w:pPr>
            <w:pStyle w:val="TDC5"/>
            <w:tabs>
              <w:tab w:val="right" w:leader="dot" w:pos="9394"/>
            </w:tabs>
            <w:rPr>
              <w:noProof/>
            </w:rPr>
          </w:pPr>
          <w:hyperlink w:anchor="_Toc224844285" w:history="1">
            <w:r w:rsidRPr="00E31E8B">
              <w:rPr>
                <w:rStyle w:val="Hipervnculo"/>
                <w:bCs/>
                <w:noProof/>
              </w:rPr>
              <w:t>I-</w:t>
            </w:r>
            <w:r w:rsidRPr="00E31E8B">
              <w:rPr>
                <w:rStyle w:val="Hipervnculo"/>
                <w:noProof/>
              </w:rPr>
              <w:t>2.2 Objetivos Específicos</w:t>
            </w:r>
            <w:r>
              <w:rPr>
                <w:noProof/>
                <w:webHidden/>
              </w:rPr>
              <w:tab/>
            </w:r>
            <w:r>
              <w:rPr>
                <w:noProof/>
                <w:webHidden/>
              </w:rPr>
              <w:fldChar w:fldCharType="begin"/>
            </w:r>
            <w:r>
              <w:rPr>
                <w:noProof/>
                <w:webHidden/>
              </w:rPr>
              <w:instrText xml:space="preserve"> PAGEREF _Toc224844285 \h </w:instrText>
            </w:r>
            <w:r>
              <w:rPr>
                <w:noProof/>
                <w:webHidden/>
              </w:rPr>
            </w:r>
            <w:r>
              <w:rPr>
                <w:noProof/>
                <w:webHidden/>
              </w:rPr>
              <w:fldChar w:fldCharType="separate"/>
            </w:r>
            <w:r>
              <w:rPr>
                <w:noProof/>
                <w:webHidden/>
              </w:rPr>
              <w:t>30</w:t>
            </w:r>
            <w:r>
              <w:rPr>
                <w:noProof/>
                <w:webHidden/>
              </w:rPr>
              <w:fldChar w:fldCharType="end"/>
            </w:r>
          </w:hyperlink>
        </w:p>
        <w:p w14:paraId="27DD6A26" w14:textId="241B30F1"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286" w:history="1">
            <w:r w:rsidRPr="00E31E8B">
              <w:rPr>
                <w:rStyle w:val="Hipervnculo"/>
                <w:noProof/>
              </w:rPr>
              <w:t>CAPÍTULO III</w:t>
            </w:r>
            <w:r>
              <w:rPr>
                <w:noProof/>
                <w:webHidden/>
              </w:rPr>
              <w:tab/>
            </w:r>
            <w:r>
              <w:rPr>
                <w:noProof/>
                <w:webHidden/>
              </w:rPr>
              <w:fldChar w:fldCharType="begin"/>
            </w:r>
            <w:r>
              <w:rPr>
                <w:noProof/>
                <w:webHidden/>
              </w:rPr>
              <w:instrText xml:space="preserve"> PAGEREF _Toc224844286 \h </w:instrText>
            </w:r>
            <w:r>
              <w:rPr>
                <w:noProof/>
                <w:webHidden/>
              </w:rPr>
            </w:r>
            <w:r>
              <w:rPr>
                <w:noProof/>
                <w:webHidden/>
              </w:rPr>
              <w:fldChar w:fldCharType="separate"/>
            </w:r>
            <w:r>
              <w:rPr>
                <w:noProof/>
                <w:webHidden/>
              </w:rPr>
              <w:t>31</w:t>
            </w:r>
            <w:r>
              <w:rPr>
                <w:noProof/>
                <w:webHidden/>
              </w:rPr>
              <w:fldChar w:fldCharType="end"/>
            </w:r>
          </w:hyperlink>
        </w:p>
        <w:p w14:paraId="743E0147" w14:textId="7BBCFFFB" w:rsidR="00F73988" w:rsidRDefault="00F73988">
          <w:pPr>
            <w:pStyle w:val="TDC4"/>
            <w:tabs>
              <w:tab w:val="right" w:leader="dot" w:pos="9394"/>
            </w:tabs>
            <w:rPr>
              <w:noProof/>
            </w:rPr>
          </w:pPr>
          <w:hyperlink w:anchor="_Toc224844287" w:history="1">
            <w:r w:rsidRPr="00E31E8B">
              <w:rPr>
                <w:rStyle w:val="Hipervnculo"/>
                <w:noProof/>
              </w:rPr>
              <w:t>ESTRUCTURA ORGANIZACIONAL</w:t>
            </w:r>
            <w:r>
              <w:rPr>
                <w:noProof/>
                <w:webHidden/>
              </w:rPr>
              <w:tab/>
            </w:r>
            <w:r>
              <w:rPr>
                <w:noProof/>
                <w:webHidden/>
              </w:rPr>
              <w:fldChar w:fldCharType="begin"/>
            </w:r>
            <w:r>
              <w:rPr>
                <w:noProof/>
                <w:webHidden/>
              </w:rPr>
              <w:instrText xml:space="preserve"> PAGEREF _Toc224844287 \h </w:instrText>
            </w:r>
            <w:r>
              <w:rPr>
                <w:noProof/>
                <w:webHidden/>
              </w:rPr>
            </w:r>
            <w:r>
              <w:rPr>
                <w:noProof/>
                <w:webHidden/>
              </w:rPr>
              <w:fldChar w:fldCharType="separate"/>
            </w:r>
            <w:r>
              <w:rPr>
                <w:noProof/>
                <w:webHidden/>
              </w:rPr>
              <w:t>31</w:t>
            </w:r>
            <w:r>
              <w:rPr>
                <w:noProof/>
                <w:webHidden/>
              </w:rPr>
              <w:fldChar w:fldCharType="end"/>
            </w:r>
          </w:hyperlink>
        </w:p>
        <w:p w14:paraId="09C3F9F5" w14:textId="6F3D75AD" w:rsidR="00F73988" w:rsidRDefault="00F73988">
          <w:pPr>
            <w:pStyle w:val="TDC5"/>
            <w:tabs>
              <w:tab w:val="right" w:leader="dot" w:pos="9394"/>
            </w:tabs>
            <w:rPr>
              <w:noProof/>
            </w:rPr>
          </w:pPr>
          <w:hyperlink w:anchor="_Toc224844288" w:history="1">
            <w:r w:rsidRPr="00E31E8B">
              <w:rPr>
                <w:rStyle w:val="Hipervnculo"/>
                <w:bCs/>
                <w:noProof/>
              </w:rPr>
              <w:t>I-</w:t>
            </w:r>
            <w:r w:rsidRPr="00E31E8B">
              <w:rPr>
                <w:rStyle w:val="Hipervnculo"/>
                <w:noProof/>
              </w:rPr>
              <w:t>3.1 Gobierno Corporativo del FONENERGÍA.</w:t>
            </w:r>
            <w:r>
              <w:rPr>
                <w:noProof/>
                <w:webHidden/>
              </w:rPr>
              <w:tab/>
            </w:r>
            <w:r>
              <w:rPr>
                <w:noProof/>
                <w:webHidden/>
              </w:rPr>
              <w:fldChar w:fldCharType="begin"/>
            </w:r>
            <w:r>
              <w:rPr>
                <w:noProof/>
                <w:webHidden/>
              </w:rPr>
              <w:instrText xml:space="preserve"> PAGEREF _Toc224844288 \h </w:instrText>
            </w:r>
            <w:r>
              <w:rPr>
                <w:noProof/>
                <w:webHidden/>
              </w:rPr>
            </w:r>
            <w:r>
              <w:rPr>
                <w:noProof/>
                <w:webHidden/>
              </w:rPr>
              <w:fldChar w:fldCharType="separate"/>
            </w:r>
            <w:r>
              <w:rPr>
                <w:noProof/>
                <w:webHidden/>
              </w:rPr>
              <w:t>32</w:t>
            </w:r>
            <w:r>
              <w:rPr>
                <w:noProof/>
                <w:webHidden/>
              </w:rPr>
              <w:fldChar w:fldCharType="end"/>
            </w:r>
          </w:hyperlink>
        </w:p>
        <w:p w14:paraId="3E58D48A" w14:textId="3FB269AD" w:rsidR="00F73988" w:rsidRDefault="00F73988">
          <w:pPr>
            <w:pStyle w:val="TDC5"/>
            <w:tabs>
              <w:tab w:val="right" w:leader="dot" w:pos="9394"/>
            </w:tabs>
            <w:rPr>
              <w:noProof/>
            </w:rPr>
          </w:pPr>
          <w:hyperlink w:anchor="_Toc224844289" w:history="1">
            <w:r w:rsidRPr="00E31E8B">
              <w:rPr>
                <w:rStyle w:val="Hipervnculo"/>
                <w:bCs/>
                <w:noProof/>
              </w:rPr>
              <w:t>I-</w:t>
            </w:r>
            <w:r w:rsidRPr="00E31E8B">
              <w:rPr>
                <w:rStyle w:val="Hipervnculo"/>
                <w:noProof/>
              </w:rPr>
              <w:t>3.2 Secretaría Técnica</w:t>
            </w:r>
            <w:r>
              <w:rPr>
                <w:noProof/>
                <w:webHidden/>
              </w:rPr>
              <w:tab/>
            </w:r>
            <w:r>
              <w:rPr>
                <w:noProof/>
                <w:webHidden/>
              </w:rPr>
              <w:fldChar w:fldCharType="begin"/>
            </w:r>
            <w:r>
              <w:rPr>
                <w:noProof/>
                <w:webHidden/>
              </w:rPr>
              <w:instrText xml:space="preserve"> PAGEREF _Toc224844289 \h </w:instrText>
            </w:r>
            <w:r>
              <w:rPr>
                <w:noProof/>
                <w:webHidden/>
              </w:rPr>
            </w:r>
            <w:r>
              <w:rPr>
                <w:noProof/>
                <w:webHidden/>
              </w:rPr>
              <w:fldChar w:fldCharType="separate"/>
            </w:r>
            <w:r>
              <w:rPr>
                <w:noProof/>
                <w:webHidden/>
              </w:rPr>
              <w:t>34</w:t>
            </w:r>
            <w:r>
              <w:rPr>
                <w:noProof/>
                <w:webHidden/>
              </w:rPr>
              <w:fldChar w:fldCharType="end"/>
            </w:r>
          </w:hyperlink>
        </w:p>
        <w:p w14:paraId="70DE963C" w14:textId="4AC4B5E9"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290" w:history="1">
            <w:r w:rsidRPr="00E31E8B">
              <w:rPr>
                <w:rStyle w:val="Hipervnculo"/>
                <w:noProof/>
              </w:rPr>
              <w:t>CAPÍTULO IV</w:t>
            </w:r>
            <w:r>
              <w:rPr>
                <w:noProof/>
                <w:webHidden/>
              </w:rPr>
              <w:tab/>
            </w:r>
            <w:r>
              <w:rPr>
                <w:noProof/>
                <w:webHidden/>
              </w:rPr>
              <w:fldChar w:fldCharType="begin"/>
            </w:r>
            <w:r>
              <w:rPr>
                <w:noProof/>
                <w:webHidden/>
              </w:rPr>
              <w:instrText xml:space="preserve"> PAGEREF _Toc224844290 \h </w:instrText>
            </w:r>
            <w:r>
              <w:rPr>
                <w:noProof/>
                <w:webHidden/>
              </w:rPr>
            </w:r>
            <w:r>
              <w:rPr>
                <w:noProof/>
                <w:webHidden/>
              </w:rPr>
              <w:fldChar w:fldCharType="separate"/>
            </w:r>
            <w:r>
              <w:rPr>
                <w:noProof/>
                <w:webHidden/>
              </w:rPr>
              <w:t>34</w:t>
            </w:r>
            <w:r>
              <w:rPr>
                <w:noProof/>
                <w:webHidden/>
              </w:rPr>
              <w:fldChar w:fldCharType="end"/>
            </w:r>
          </w:hyperlink>
        </w:p>
        <w:p w14:paraId="26366F6A" w14:textId="0DE67DBA" w:rsidR="00F73988" w:rsidRDefault="00F73988">
          <w:pPr>
            <w:pStyle w:val="TDC4"/>
            <w:tabs>
              <w:tab w:val="right" w:leader="dot" w:pos="9394"/>
            </w:tabs>
            <w:rPr>
              <w:noProof/>
            </w:rPr>
          </w:pPr>
          <w:hyperlink w:anchor="_Toc224844291" w:history="1">
            <w:r w:rsidRPr="00E31E8B">
              <w:rPr>
                <w:rStyle w:val="Hipervnculo"/>
                <w:noProof/>
              </w:rPr>
              <w:t>RECURSOS FINANCIEROS</w:t>
            </w:r>
            <w:r>
              <w:rPr>
                <w:noProof/>
                <w:webHidden/>
              </w:rPr>
              <w:tab/>
            </w:r>
            <w:r>
              <w:rPr>
                <w:noProof/>
                <w:webHidden/>
              </w:rPr>
              <w:fldChar w:fldCharType="begin"/>
            </w:r>
            <w:r>
              <w:rPr>
                <w:noProof/>
                <w:webHidden/>
              </w:rPr>
              <w:instrText xml:space="preserve"> PAGEREF _Toc224844291 \h </w:instrText>
            </w:r>
            <w:r>
              <w:rPr>
                <w:noProof/>
                <w:webHidden/>
              </w:rPr>
            </w:r>
            <w:r>
              <w:rPr>
                <w:noProof/>
                <w:webHidden/>
              </w:rPr>
              <w:fldChar w:fldCharType="separate"/>
            </w:r>
            <w:r>
              <w:rPr>
                <w:noProof/>
                <w:webHidden/>
              </w:rPr>
              <w:t>34</w:t>
            </w:r>
            <w:r>
              <w:rPr>
                <w:noProof/>
                <w:webHidden/>
              </w:rPr>
              <w:fldChar w:fldCharType="end"/>
            </w:r>
          </w:hyperlink>
        </w:p>
        <w:p w14:paraId="115CF37A" w14:textId="58298FA6" w:rsidR="00F73988" w:rsidRDefault="00F73988">
          <w:pPr>
            <w:pStyle w:val="TDC5"/>
            <w:tabs>
              <w:tab w:val="right" w:leader="dot" w:pos="9394"/>
            </w:tabs>
            <w:rPr>
              <w:noProof/>
            </w:rPr>
          </w:pPr>
          <w:hyperlink w:anchor="_Toc224844292" w:history="1">
            <w:r w:rsidRPr="00E31E8B">
              <w:rPr>
                <w:rStyle w:val="Hipervnculo"/>
                <w:bCs/>
                <w:noProof/>
              </w:rPr>
              <w:t xml:space="preserve">I- </w:t>
            </w:r>
            <w:r w:rsidRPr="00E31E8B">
              <w:rPr>
                <w:rStyle w:val="Hipervnculo"/>
                <w:noProof/>
              </w:rPr>
              <w:t>4.1 Recursos del FONENERGÍA</w:t>
            </w:r>
            <w:r>
              <w:rPr>
                <w:noProof/>
                <w:webHidden/>
              </w:rPr>
              <w:tab/>
            </w:r>
            <w:r>
              <w:rPr>
                <w:noProof/>
                <w:webHidden/>
              </w:rPr>
              <w:fldChar w:fldCharType="begin"/>
            </w:r>
            <w:r>
              <w:rPr>
                <w:noProof/>
                <w:webHidden/>
              </w:rPr>
              <w:instrText xml:space="preserve"> PAGEREF _Toc224844292 \h </w:instrText>
            </w:r>
            <w:r>
              <w:rPr>
                <w:noProof/>
                <w:webHidden/>
              </w:rPr>
            </w:r>
            <w:r>
              <w:rPr>
                <w:noProof/>
                <w:webHidden/>
              </w:rPr>
              <w:fldChar w:fldCharType="separate"/>
            </w:r>
            <w:r>
              <w:rPr>
                <w:noProof/>
                <w:webHidden/>
              </w:rPr>
              <w:t>34</w:t>
            </w:r>
            <w:r>
              <w:rPr>
                <w:noProof/>
                <w:webHidden/>
              </w:rPr>
              <w:fldChar w:fldCharType="end"/>
            </w:r>
          </w:hyperlink>
        </w:p>
        <w:p w14:paraId="35F54B1D" w14:textId="2A047133" w:rsidR="00F73988" w:rsidRDefault="00F73988">
          <w:pPr>
            <w:pStyle w:val="TDC5"/>
            <w:tabs>
              <w:tab w:val="right" w:leader="dot" w:pos="9394"/>
            </w:tabs>
            <w:rPr>
              <w:noProof/>
            </w:rPr>
          </w:pPr>
          <w:hyperlink w:anchor="_Toc224844293" w:history="1">
            <w:r w:rsidRPr="00E31E8B">
              <w:rPr>
                <w:rStyle w:val="Hipervnculo"/>
                <w:bCs/>
                <w:noProof/>
              </w:rPr>
              <w:t>I-</w:t>
            </w:r>
            <w:r w:rsidRPr="00E31E8B">
              <w:rPr>
                <w:rStyle w:val="Hipervnculo"/>
                <w:noProof/>
              </w:rPr>
              <w:t>4.2 Manejo de las subcuentas</w:t>
            </w:r>
            <w:r>
              <w:rPr>
                <w:noProof/>
                <w:webHidden/>
              </w:rPr>
              <w:tab/>
            </w:r>
            <w:r>
              <w:rPr>
                <w:noProof/>
                <w:webHidden/>
              </w:rPr>
              <w:fldChar w:fldCharType="begin"/>
            </w:r>
            <w:r>
              <w:rPr>
                <w:noProof/>
                <w:webHidden/>
              </w:rPr>
              <w:instrText xml:space="preserve"> PAGEREF _Toc224844293 \h </w:instrText>
            </w:r>
            <w:r>
              <w:rPr>
                <w:noProof/>
                <w:webHidden/>
              </w:rPr>
            </w:r>
            <w:r>
              <w:rPr>
                <w:noProof/>
                <w:webHidden/>
              </w:rPr>
              <w:fldChar w:fldCharType="separate"/>
            </w:r>
            <w:r>
              <w:rPr>
                <w:noProof/>
                <w:webHidden/>
              </w:rPr>
              <w:t>36</w:t>
            </w:r>
            <w:r>
              <w:rPr>
                <w:noProof/>
                <w:webHidden/>
              </w:rPr>
              <w:fldChar w:fldCharType="end"/>
            </w:r>
          </w:hyperlink>
        </w:p>
        <w:p w14:paraId="1E4F6F6E" w14:textId="0FA06D08" w:rsidR="00F73988" w:rsidRDefault="00F73988">
          <w:pPr>
            <w:pStyle w:val="TDC5"/>
            <w:tabs>
              <w:tab w:val="right" w:leader="dot" w:pos="9394"/>
            </w:tabs>
            <w:rPr>
              <w:noProof/>
            </w:rPr>
          </w:pPr>
          <w:hyperlink w:anchor="_Toc224844294" w:history="1">
            <w:r w:rsidRPr="00E31E8B">
              <w:rPr>
                <w:rStyle w:val="Hipervnculo"/>
                <w:bCs/>
                <w:noProof/>
              </w:rPr>
              <w:t>I-</w:t>
            </w:r>
            <w:r w:rsidRPr="00E31E8B">
              <w:rPr>
                <w:rStyle w:val="Hipervnculo"/>
                <w:noProof/>
              </w:rPr>
              <w:t>4.3 Disponibilidad de recursos</w:t>
            </w:r>
            <w:r>
              <w:rPr>
                <w:noProof/>
                <w:webHidden/>
              </w:rPr>
              <w:tab/>
            </w:r>
            <w:r>
              <w:rPr>
                <w:noProof/>
                <w:webHidden/>
              </w:rPr>
              <w:fldChar w:fldCharType="begin"/>
            </w:r>
            <w:r>
              <w:rPr>
                <w:noProof/>
                <w:webHidden/>
              </w:rPr>
              <w:instrText xml:space="preserve"> PAGEREF _Toc224844294 \h </w:instrText>
            </w:r>
            <w:r>
              <w:rPr>
                <w:noProof/>
                <w:webHidden/>
              </w:rPr>
            </w:r>
            <w:r>
              <w:rPr>
                <w:noProof/>
                <w:webHidden/>
              </w:rPr>
              <w:fldChar w:fldCharType="separate"/>
            </w:r>
            <w:r>
              <w:rPr>
                <w:noProof/>
                <w:webHidden/>
              </w:rPr>
              <w:t>36</w:t>
            </w:r>
            <w:r>
              <w:rPr>
                <w:noProof/>
                <w:webHidden/>
              </w:rPr>
              <w:fldChar w:fldCharType="end"/>
            </w:r>
          </w:hyperlink>
        </w:p>
        <w:p w14:paraId="687284E8" w14:textId="088F5AB5" w:rsidR="00F73988" w:rsidRDefault="00F73988">
          <w:pPr>
            <w:pStyle w:val="TDC5"/>
            <w:tabs>
              <w:tab w:val="right" w:leader="dot" w:pos="9394"/>
            </w:tabs>
            <w:rPr>
              <w:noProof/>
            </w:rPr>
          </w:pPr>
          <w:hyperlink w:anchor="_Toc224844295" w:history="1">
            <w:r w:rsidRPr="00E31E8B">
              <w:rPr>
                <w:rStyle w:val="Hipervnculo"/>
                <w:bCs/>
                <w:noProof/>
              </w:rPr>
              <w:t>I-</w:t>
            </w:r>
            <w:r w:rsidRPr="00E31E8B">
              <w:rPr>
                <w:rStyle w:val="Hipervnculo"/>
                <w:noProof/>
              </w:rPr>
              <w:t>4.4 Reintegro de rendimientos financieros</w:t>
            </w:r>
            <w:r>
              <w:rPr>
                <w:noProof/>
                <w:webHidden/>
              </w:rPr>
              <w:tab/>
            </w:r>
            <w:r>
              <w:rPr>
                <w:noProof/>
                <w:webHidden/>
              </w:rPr>
              <w:fldChar w:fldCharType="begin"/>
            </w:r>
            <w:r>
              <w:rPr>
                <w:noProof/>
                <w:webHidden/>
              </w:rPr>
              <w:instrText xml:space="preserve"> PAGEREF _Toc224844295 \h </w:instrText>
            </w:r>
            <w:r>
              <w:rPr>
                <w:noProof/>
                <w:webHidden/>
              </w:rPr>
            </w:r>
            <w:r>
              <w:rPr>
                <w:noProof/>
                <w:webHidden/>
              </w:rPr>
              <w:fldChar w:fldCharType="separate"/>
            </w:r>
            <w:r>
              <w:rPr>
                <w:noProof/>
                <w:webHidden/>
              </w:rPr>
              <w:t>36</w:t>
            </w:r>
            <w:r>
              <w:rPr>
                <w:noProof/>
                <w:webHidden/>
              </w:rPr>
              <w:fldChar w:fldCharType="end"/>
            </w:r>
          </w:hyperlink>
        </w:p>
        <w:p w14:paraId="0C61B018" w14:textId="16187786" w:rsidR="00F73988" w:rsidRDefault="00F73988">
          <w:pPr>
            <w:pStyle w:val="TDC5"/>
            <w:tabs>
              <w:tab w:val="right" w:leader="dot" w:pos="9394"/>
            </w:tabs>
            <w:rPr>
              <w:noProof/>
            </w:rPr>
          </w:pPr>
          <w:hyperlink w:anchor="_Toc224844296" w:history="1">
            <w:r w:rsidRPr="00E31E8B">
              <w:rPr>
                <w:rStyle w:val="Hipervnculo"/>
                <w:bCs/>
                <w:noProof/>
              </w:rPr>
              <w:t>I-</w:t>
            </w:r>
            <w:r w:rsidRPr="00E31E8B">
              <w:rPr>
                <w:rStyle w:val="Hipervnculo"/>
                <w:noProof/>
              </w:rPr>
              <w:t>4.5 Reintegro de recursos no ejecutados</w:t>
            </w:r>
            <w:r>
              <w:rPr>
                <w:noProof/>
                <w:webHidden/>
              </w:rPr>
              <w:tab/>
            </w:r>
            <w:r>
              <w:rPr>
                <w:noProof/>
                <w:webHidden/>
              </w:rPr>
              <w:fldChar w:fldCharType="begin"/>
            </w:r>
            <w:r>
              <w:rPr>
                <w:noProof/>
                <w:webHidden/>
              </w:rPr>
              <w:instrText xml:space="preserve"> PAGEREF _Toc224844296 \h </w:instrText>
            </w:r>
            <w:r>
              <w:rPr>
                <w:noProof/>
                <w:webHidden/>
              </w:rPr>
            </w:r>
            <w:r>
              <w:rPr>
                <w:noProof/>
                <w:webHidden/>
              </w:rPr>
              <w:fldChar w:fldCharType="separate"/>
            </w:r>
            <w:r>
              <w:rPr>
                <w:noProof/>
                <w:webHidden/>
              </w:rPr>
              <w:t>37</w:t>
            </w:r>
            <w:r>
              <w:rPr>
                <w:noProof/>
                <w:webHidden/>
              </w:rPr>
              <w:fldChar w:fldCharType="end"/>
            </w:r>
          </w:hyperlink>
        </w:p>
        <w:p w14:paraId="1AAD4D35" w14:textId="2EEE96EA" w:rsidR="00F73988" w:rsidRDefault="005A470C">
          <w:pPr>
            <w:pStyle w:val="TDC5"/>
            <w:tabs>
              <w:tab w:val="right" w:leader="dot" w:pos="9394"/>
            </w:tabs>
            <w:rPr>
              <w:noProof/>
            </w:rPr>
          </w:pPr>
          <w:r>
            <w:t>0</w:t>
          </w:r>
          <w:hyperlink w:anchor="_Toc224844297" w:history="1">
            <w:r w:rsidR="00F73988" w:rsidRPr="00E31E8B">
              <w:rPr>
                <w:rStyle w:val="Hipervnculo"/>
                <w:bCs/>
                <w:noProof/>
              </w:rPr>
              <w:t>I-</w:t>
            </w:r>
            <w:r w:rsidR="00F73988" w:rsidRPr="00E31E8B">
              <w:rPr>
                <w:rStyle w:val="Hipervnculo"/>
                <w:noProof/>
              </w:rPr>
              <w:t>4.</w:t>
            </w:r>
            <w:r w:rsidR="00F73988" w:rsidRPr="00E31E8B">
              <w:rPr>
                <w:rStyle w:val="Hipervnculo"/>
                <w:bCs/>
                <w:noProof/>
              </w:rPr>
              <w:t>6</w:t>
            </w:r>
            <w:r w:rsidR="00F73988" w:rsidRPr="00E31E8B">
              <w:rPr>
                <w:rStyle w:val="Hipervnculo"/>
                <w:noProof/>
              </w:rPr>
              <w:t xml:space="preserve"> Reportes e informe de saldos en encargos fiduciarios.</w:t>
            </w:r>
            <w:r w:rsidR="00F73988">
              <w:rPr>
                <w:noProof/>
                <w:webHidden/>
              </w:rPr>
              <w:tab/>
            </w:r>
            <w:r w:rsidR="00F73988">
              <w:rPr>
                <w:noProof/>
                <w:webHidden/>
              </w:rPr>
              <w:fldChar w:fldCharType="begin"/>
            </w:r>
            <w:r w:rsidR="00F73988">
              <w:rPr>
                <w:noProof/>
                <w:webHidden/>
              </w:rPr>
              <w:instrText xml:space="preserve"> PAGEREF _Toc224844297 \h </w:instrText>
            </w:r>
            <w:r w:rsidR="00F73988">
              <w:rPr>
                <w:noProof/>
                <w:webHidden/>
              </w:rPr>
            </w:r>
            <w:r w:rsidR="00F73988">
              <w:rPr>
                <w:noProof/>
                <w:webHidden/>
              </w:rPr>
              <w:fldChar w:fldCharType="separate"/>
            </w:r>
            <w:r w:rsidR="00F73988">
              <w:rPr>
                <w:noProof/>
                <w:webHidden/>
              </w:rPr>
              <w:t>37</w:t>
            </w:r>
            <w:r w:rsidR="00F73988">
              <w:rPr>
                <w:noProof/>
                <w:webHidden/>
              </w:rPr>
              <w:fldChar w:fldCharType="end"/>
            </w:r>
          </w:hyperlink>
        </w:p>
        <w:p w14:paraId="05779E7C" w14:textId="0D297B2A" w:rsidR="00F73988" w:rsidRDefault="00F73988">
          <w:pPr>
            <w:pStyle w:val="TDC5"/>
            <w:tabs>
              <w:tab w:val="right" w:leader="dot" w:pos="9394"/>
            </w:tabs>
            <w:rPr>
              <w:noProof/>
            </w:rPr>
          </w:pPr>
          <w:hyperlink w:anchor="_Toc224844298" w:history="1">
            <w:r w:rsidRPr="00E31E8B">
              <w:rPr>
                <w:rStyle w:val="Hipervnculo"/>
                <w:bCs/>
                <w:noProof/>
              </w:rPr>
              <w:t>I-</w:t>
            </w:r>
            <w:r w:rsidRPr="00E31E8B">
              <w:rPr>
                <w:rStyle w:val="Hipervnculo"/>
                <w:noProof/>
              </w:rPr>
              <w:t>4.7 Destinación de los recursos</w:t>
            </w:r>
            <w:r>
              <w:rPr>
                <w:noProof/>
                <w:webHidden/>
              </w:rPr>
              <w:tab/>
            </w:r>
            <w:r>
              <w:rPr>
                <w:noProof/>
                <w:webHidden/>
              </w:rPr>
              <w:fldChar w:fldCharType="begin"/>
            </w:r>
            <w:r>
              <w:rPr>
                <w:noProof/>
                <w:webHidden/>
              </w:rPr>
              <w:instrText xml:space="preserve"> PAGEREF _Toc224844298 \h </w:instrText>
            </w:r>
            <w:r>
              <w:rPr>
                <w:noProof/>
                <w:webHidden/>
              </w:rPr>
            </w:r>
            <w:r>
              <w:rPr>
                <w:noProof/>
                <w:webHidden/>
              </w:rPr>
              <w:fldChar w:fldCharType="separate"/>
            </w:r>
            <w:r>
              <w:rPr>
                <w:noProof/>
                <w:webHidden/>
              </w:rPr>
              <w:t>37</w:t>
            </w:r>
            <w:r>
              <w:rPr>
                <w:noProof/>
                <w:webHidden/>
              </w:rPr>
              <w:fldChar w:fldCharType="end"/>
            </w:r>
          </w:hyperlink>
        </w:p>
        <w:p w14:paraId="59079F50" w14:textId="7D015884" w:rsidR="00F73988" w:rsidRDefault="00F73988">
          <w:pPr>
            <w:pStyle w:val="TDC5"/>
            <w:tabs>
              <w:tab w:val="right" w:leader="dot" w:pos="9394"/>
            </w:tabs>
            <w:rPr>
              <w:noProof/>
            </w:rPr>
          </w:pPr>
          <w:hyperlink w:anchor="_Toc224844299" w:history="1">
            <w:r w:rsidRPr="00E31E8B">
              <w:rPr>
                <w:rStyle w:val="Hipervnculo"/>
                <w:bCs/>
                <w:noProof/>
              </w:rPr>
              <w:t>I-</w:t>
            </w:r>
            <w:r w:rsidRPr="00E31E8B">
              <w:rPr>
                <w:rStyle w:val="Hipervnculo"/>
                <w:noProof/>
              </w:rPr>
              <w:t>4.8 Cofinanciación de proyectos de gas combustible</w:t>
            </w:r>
            <w:r>
              <w:rPr>
                <w:noProof/>
                <w:webHidden/>
              </w:rPr>
              <w:tab/>
            </w:r>
            <w:r>
              <w:rPr>
                <w:noProof/>
                <w:webHidden/>
              </w:rPr>
              <w:fldChar w:fldCharType="begin"/>
            </w:r>
            <w:r>
              <w:rPr>
                <w:noProof/>
                <w:webHidden/>
              </w:rPr>
              <w:instrText xml:space="preserve"> PAGEREF _Toc224844299 \h </w:instrText>
            </w:r>
            <w:r>
              <w:rPr>
                <w:noProof/>
                <w:webHidden/>
              </w:rPr>
            </w:r>
            <w:r>
              <w:rPr>
                <w:noProof/>
                <w:webHidden/>
              </w:rPr>
              <w:fldChar w:fldCharType="separate"/>
            </w:r>
            <w:r>
              <w:rPr>
                <w:noProof/>
                <w:webHidden/>
              </w:rPr>
              <w:t>40</w:t>
            </w:r>
            <w:r>
              <w:rPr>
                <w:noProof/>
                <w:webHidden/>
              </w:rPr>
              <w:fldChar w:fldCharType="end"/>
            </w:r>
          </w:hyperlink>
        </w:p>
        <w:p w14:paraId="4AD98A48" w14:textId="2E442311"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01" w:history="1">
            <w:r w:rsidRPr="00E31E8B">
              <w:rPr>
                <w:rStyle w:val="Hipervnculo"/>
                <w:noProof/>
              </w:rPr>
              <w:t xml:space="preserve">CAPITULO </w:t>
            </w:r>
            <w:r w:rsidRPr="00E31E8B">
              <w:rPr>
                <w:rStyle w:val="Hipervnculo"/>
                <w:noProof/>
                <w:highlight w:val="cyan"/>
              </w:rPr>
              <w:t>V</w:t>
            </w:r>
            <w:r>
              <w:rPr>
                <w:noProof/>
                <w:webHidden/>
              </w:rPr>
              <w:tab/>
            </w:r>
            <w:r>
              <w:rPr>
                <w:noProof/>
                <w:webHidden/>
              </w:rPr>
              <w:fldChar w:fldCharType="begin"/>
            </w:r>
            <w:r>
              <w:rPr>
                <w:noProof/>
                <w:webHidden/>
              </w:rPr>
              <w:instrText xml:space="preserve"> PAGEREF _Toc224844301 \h </w:instrText>
            </w:r>
            <w:r>
              <w:rPr>
                <w:noProof/>
                <w:webHidden/>
              </w:rPr>
            </w:r>
            <w:r>
              <w:rPr>
                <w:noProof/>
                <w:webHidden/>
              </w:rPr>
              <w:fldChar w:fldCharType="separate"/>
            </w:r>
            <w:r>
              <w:rPr>
                <w:noProof/>
                <w:webHidden/>
              </w:rPr>
              <w:t>41</w:t>
            </w:r>
            <w:r>
              <w:rPr>
                <w:noProof/>
                <w:webHidden/>
              </w:rPr>
              <w:fldChar w:fldCharType="end"/>
            </w:r>
          </w:hyperlink>
        </w:p>
        <w:p w14:paraId="169ABB0F" w14:textId="74DE2E1E" w:rsidR="00F73988" w:rsidRDefault="00F73988">
          <w:pPr>
            <w:pStyle w:val="TDC4"/>
            <w:tabs>
              <w:tab w:val="right" w:leader="dot" w:pos="9394"/>
            </w:tabs>
            <w:rPr>
              <w:noProof/>
            </w:rPr>
          </w:pPr>
          <w:hyperlink w:anchor="_Toc224844302" w:history="1">
            <w:r w:rsidRPr="00E31E8B">
              <w:rPr>
                <w:rStyle w:val="Hipervnculo"/>
                <w:noProof/>
              </w:rPr>
              <w:t>RÉGIMEN CONTRACTUAL FONENERGÍA</w:t>
            </w:r>
            <w:r>
              <w:rPr>
                <w:noProof/>
                <w:webHidden/>
              </w:rPr>
              <w:tab/>
            </w:r>
            <w:r>
              <w:rPr>
                <w:noProof/>
                <w:webHidden/>
              </w:rPr>
              <w:fldChar w:fldCharType="begin"/>
            </w:r>
            <w:r>
              <w:rPr>
                <w:noProof/>
                <w:webHidden/>
              </w:rPr>
              <w:instrText xml:space="preserve"> PAGEREF _Toc224844302 \h </w:instrText>
            </w:r>
            <w:r>
              <w:rPr>
                <w:noProof/>
                <w:webHidden/>
              </w:rPr>
            </w:r>
            <w:r>
              <w:rPr>
                <w:noProof/>
                <w:webHidden/>
              </w:rPr>
              <w:fldChar w:fldCharType="separate"/>
            </w:r>
            <w:r>
              <w:rPr>
                <w:noProof/>
                <w:webHidden/>
              </w:rPr>
              <w:t>41</w:t>
            </w:r>
            <w:r>
              <w:rPr>
                <w:noProof/>
                <w:webHidden/>
              </w:rPr>
              <w:fldChar w:fldCharType="end"/>
            </w:r>
          </w:hyperlink>
        </w:p>
        <w:p w14:paraId="4906EC31" w14:textId="2343F3ED" w:rsidR="00F73988" w:rsidRDefault="00F73988">
          <w:pPr>
            <w:pStyle w:val="TDC5"/>
            <w:tabs>
              <w:tab w:val="right" w:leader="dot" w:pos="9394"/>
            </w:tabs>
            <w:rPr>
              <w:noProof/>
            </w:rPr>
          </w:pPr>
          <w:hyperlink w:anchor="_Toc224844303" w:history="1">
            <w:r w:rsidRPr="00E31E8B">
              <w:rPr>
                <w:rStyle w:val="Hipervnculo"/>
                <w:bCs/>
                <w:noProof/>
              </w:rPr>
              <w:t>I-</w:t>
            </w:r>
            <w:r w:rsidRPr="00E31E8B">
              <w:rPr>
                <w:rStyle w:val="Hipervnculo"/>
                <w:noProof/>
              </w:rPr>
              <w:t>5.1 Antecedentes normativos y jurisprudenciales</w:t>
            </w:r>
            <w:r>
              <w:rPr>
                <w:noProof/>
                <w:webHidden/>
              </w:rPr>
              <w:tab/>
            </w:r>
            <w:r>
              <w:rPr>
                <w:noProof/>
                <w:webHidden/>
              </w:rPr>
              <w:fldChar w:fldCharType="begin"/>
            </w:r>
            <w:r>
              <w:rPr>
                <w:noProof/>
                <w:webHidden/>
              </w:rPr>
              <w:instrText xml:space="preserve"> PAGEREF _Toc224844303 \h </w:instrText>
            </w:r>
            <w:r>
              <w:rPr>
                <w:noProof/>
                <w:webHidden/>
              </w:rPr>
            </w:r>
            <w:r>
              <w:rPr>
                <w:noProof/>
                <w:webHidden/>
              </w:rPr>
              <w:fldChar w:fldCharType="separate"/>
            </w:r>
            <w:r>
              <w:rPr>
                <w:noProof/>
                <w:webHidden/>
              </w:rPr>
              <w:t>41</w:t>
            </w:r>
            <w:r>
              <w:rPr>
                <w:noProof/>
                <w:webHidden/>
              </w:rPr>
              <w:fldChar w:fldCharType="end"/>
            </w:r>
          </w:hyperlink>
        </w:p>
        <w:p w14:paraId="299FE10E" w14:textId="4C0D3983" w:rsidR="00F73988" w:rsidRDefault="00F73988">
          <w:pPr>
            <w:pStyle w:val="TDC5"/>
            <w:tabs>
              <w:tab w:val="right" w:leader="dot" w:pos="9394"/>
            </w:tabs>
            <w:rPr>
              <w:noProof/>
            </w:rPr>
          </w:pPr>
          <w:hyperlink w:anchor="_Toc224844304" w:history="1">
            <w:r w:rsidRPr="00E31E8B">
              <w:rPr>
                <w:rStyle w:val="Hipervnculo"/>
                <w:bCs/>
                <w:noProof/>
              </w:rPr>
              <w:t>I-</w:t>
            </w:r>
            <w:r w:rsidRPr="00E31E8B">
              <w:rPr>
                <w:rStyle w:val="Hipervnculo"/>
                <w:noProof/>
              </w:rPr>
              <w:t>5.2 Del régimen de los servicios públicos domiciliarios</w:t>
            </w:r>
            <w:r>
              <w:rPr>
                <w:noProof/>
                <w:webHidden/>
              </w:rPr>
              <w:tab/>
            </w:r>
            <w:r>
              <w:rPr>
                <w:noProof/>
                <w:webHidden/>
              </w:rPr>
              <w:fldChar w:fldCharType="begin"/>
            </w:r>
            <w:r>
              <w:rPr>
                <w:noProof/>
                <w:webHidden/>
              </w:rPr>
              <w:instrText xml:space="preserve"> PAGEREF _Toc224844304 \h </w:instrText>
            </w:r>
            <w:r>
              <w:rPr>
                <w:noProof/>
                <w:webHidden/>
              </w:rPr>
            </w:r>
            <w:r>
              <w:rPr>
                <w:noProof/>
                <w:webHidden/>
              </w:rPr>
              <w:fldChar w:fldCharType="separate"/>
            </w:r>
            <w:r>
              <w:rPr>
                <w:noProof/>
                <w:webHidden/>
              </w:rPr>
              <w:t>44</w:t>
            </w:r>
            <w:r>
              <w:rPr>
                <w:noProof/>
                <w:webHidden/>
              </w:rPr>
              <w:fldChar w:fldCharType="end"/>
            </w:r>
          </w:hyperlink>
        </w:p>
        <w:p w14:paraId="758993F9" w14:textId="4AC210A7" w:rsidR="00F73988" w:rsidRDefault="00F73988">
          <w:pPr>
            <w:pStyle w:val="TDC5"/>
            <w:tabs>
              <w:tab w:val="right" w:leader="dot" w:pos="9394"/>
            </w:tabs>
            <w:rPr>
              <w:noProof/>
            </w:rPr>
          </w:pPr>
          <w:hyperlink w:anchor="_Toc224844305" w:history="1">
            <w:r w:rsidRPr="00E31E8B">
              <w:rPr>
                <w:rStyle w:val="Hipervnculo"/>
                <w:bCs/>
                <w:noProof/>
              </w:rPr>
              <w:t>I-</w:t>
            </w:r>
            <w:r w:rsidRPr="00E31E8B">
              <w:rPr>
                <w:rStyle w:val="Hipervnculo"/>
                <w:noProof/>
              </w:rPr>
              <w:t>5.3 De las actividades previas para la prestación del servicio público</w:t>
            </w:r>
            <w:r>
              <w:rPr>
                <w:noProof/>
                <w:webHidden/>
              </w:rPr>
              <w:tab/>
            </w:r>
            <w:r>
              <w:rPr>
                <w:noProof/>
                <w:webHidden/>
              </w:rPr>
              <w:fldChar w:fldCharType="begin"/>
            </w:r>
            <w:r>
              <w:rPr>
                <w:noProof/>
                <w:webHidden/>
              </w:rPr>
              <w:instrText xml:space="preserve"> PAGEREF _Toc224844305 \h </w:instrText>
            </w:r>
            <w:r>
              <w:rPr>
                <w:noProof/>
                <w:webHidden/>
              </w:rPr>
            </w:r>
            <w:r>
              <w:rPr>
                <w:noProof/>
                <w:webHidden/>
              </w:rPr>
              <w:fldChar w:fldCharType="separate"/>
            </w:r>
            <w:r>
              <w:rPr>
                <w:noProof/>
                <w:webHidden/>
              </w:rPr>
              <w:t>46</w:t>
            </w:r>
            <w:r>
              <w:rPr>
                <w:noProof/>
                <w:webHidden/>
              </w:rPr>
              <w:fldChar w:fldCharType="end"/>
            </w:r>
          </w:hyperlink>
        </w:p>
        <w:p w14:paraId="39FEB902" w14:textId="020E9D59" w:rsidR="00F73988" w:rsidRDefault="00F73988">
          <w:pPr>
            <w:pStyle w:val="TDC5"/>
            <w:tabs>
              <w:tab w:val="right" w:leader="dot" w:pos="9394"/>
            </w:tabs>
            <w:rPr>
              <w:noProof/>
            </w:rPr>
          </w:pPr>
          <w:hyperlink w:anchor="_Toc224844306" w:history="1">
            <w:r w:rsidRPr="00E31E8B">
              <w:rPr>
                <w:rStyle w:val="Hipervnculo"/>
                <w:bCs/>
                <w:noProof/>
                <w:lang w:val="es-ES"/>
              </w:rPr>
              <w:t>I-</w:t>
            </w:r>
            <w:r w:rsidRPr="00E31E8B">
              <w:rPr>
                <w:rStyle w:val="Hipervnculo"/>
                <w:noProof/>
                <w:lang w:val="es-ES"/>
              </w:rPr>
              <w:t>5.4 Otras consideraciones contractuales</w:t>
            </w:r>
            <w:r>
              <w:rPr>
                <w:noProof/>
                <w:webHidden/>
              </w:rPr>
              <w:tab/>
            </w:r>
            <w:r>
              <w:rPr>
                <w:noProof/>
                <w:webHidden/>
              </w:rPr>
              <w:fldChar w:fldCharType="begin"/>
            </w:r>
            <w:r>
              <w:rPr>
                <w:noProof/>
                <w:webHidden/>
              </w:rPr>
              <w:instrText xml:space="preserve"> PAGEREF _Toc224844306 \h </w:instrText>
            </w:r>
            <w:r>
              <w:rPr>
                <w:noProof/>
                <w:webHidden/>
              </w:rPr>
            </w:r>
            <w:r>
              <w:rPr>
                <w:noProof/>
                <w:webHidden/>
              </w:rPr>
              <w:fldChar w:fldCharType="separate"/>
            </w:r>
            <w:r>
              <w:rPr>
                <w:noProof/>
                <w:webHidden/>
              </w:rPr>
              <w:t>47</w:t>
            </w:r>
            <w:r>
              <w:rPr>
                <w:noProof/>
                <w:webHidden/>
              </w:rPr>
              <w:fldChar w:fldCharType="end"/>
            </w:r>
          </w:hyperlink>
        </w:p>
        <w:p w14:paraId="7C0C5DCF" w14:textId="5A11AF9E"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07" w:history="1">
            <w:r w:rsidRPr="00E31E8B">
              <w:rPr>
                <w:rStyle w:val="Hipervnculo"/>
                <w:noProof/>
              </w:rPr>
              <w:t>CAPÍTULO VI</w:t>
            </w:r>
            <w:r>
              <w:rPr>
                <w:noProof/>
                <w:webHidden/>
              </w:rPr>
              <w:tab/>
            </w:r>
            <w:r>
              <w:rPr>
                <w:noProof/>
                <w:webHidden/>
              </w:rPr>
              <w:fldChar w:fldCharType="begin"/>
            </w:r>
            <w:r>
              <w:rPr>
                <w:noProof/>
                <w:webHidden/>
              </w:rPr>
              <w:instrText xml:space="preserve"> PAGEREF _Toc224844307 \h </w:instrText>
            </w:r>
            <w:r>
              <w:rPr>
                <w:noProof/>
                <w:webHidden/>
              </w:rPr>
            </w:r>
            <w:r>
              <w:rPr>
                <w:noProof/>
                <w:webHidden/>
              </w:rPr>
              <w:fldChar w:fldCharType="separate"/>
            </w:r>
            <w:r>
              <w:rPr>
                <w:noProof/>
                <w:webHidden/>
              </w:rPr>
              <w:t>48</w:t>
            </w:r>
            <w:r>
              <w:rPr>
                <w:noProof/>
                <w:webHidden/>
              </w:rPr>
              <w:fldChar w:fldCharType="end"/>
            </w:r>
          </w:hyperlink>
        </w:p>
        <w:p w14:paraId="0177D779" w14:textId="3985B6D0" w:rsidR="00F73988" w:rsidRDefault="00F73988">
          <w:pPr>
            <w:pStyle w:val="TDC4"/>
            <w:tabs>
              <w:tab w:val="right" w:leader="dot" w:pos="9394"/>
            </w:tabs>
            <w:rPr>
              <w:noProof/>
            </w:rPr>
          </w:pPr>
          <w:hyperlink w:anchor="_Toc224844308" w:history="1">
            <w:r w:rsidRPr="00E31E8B">
              <w:rPr>
                <w:rStyle w:val="Hipervnculo"/>
                <w:noProof/>
              </w:rPr>
              <w:t>VENTANILLA ÚNICA</w:t>
            </w:r>
            <w:r>
              <w:rPr>
                <w:noProof/>
                <w:webHidden/>
              </w:rPr>
              <w:tab/>
            </w:r>
            <w:r>
              <w:rPr>
                <w:noProof/>
                <w:webHidden/>
              </w:rPr>
              <w:fldChar w:fldCharType="begin"/>
            </w:r>
            <w:r>
              <w:rPr>
                <w:noProof/>
                <w:webHidden/>
              </w:rPr>
              <w:instrText xml:space="preserve"> PAGEREF _Toc224844308 \h </w:instrText>
            </w:r>
            <w:r>
              <w:rPr>
                <w:noProof/>
                <w:webHidden/>
              </w:rPr>
            </w:r>
            <w:r>
              <w:rPr>
                <w:noProof/>
                <w:webHidden/>
              </w:rPr>
              <w:fldChar w:fldCharType="separate"/>
            </w:r>
            <w:r>
              <w:rPr>
                <w:noProof/>
                <w:webHidden/>
              </w:rPr>
              <w:t>48</w:t>
            </w:r>
            <w:r>
              <w:rPr>
                <w:noProof/>
                <w:webHidden/>
              </w:rPr>
              <w:fldChar w:fldCharType="end"/>
            </w:r>
          </w:hyperlink>
        </w:p>
        <w:p w14:paraId="6D91E770" w14:textId="2E93B3B2" w:rsidR="00F73988" w:rsidRDefault="00F73988">
          <w:pPr>
            <w:pStyle w:val="TDC1"/>
            <w:tabs>
              <w:tab w:val="right" w:leader="dot" w:pos="9394"/>
            </w:tabs>
            <w:rPr>
              <w:rFonts w:eastAsiaTheme="minorEastAsia"/>
              <w:noProof/>
              <w:kern w:val="2"/>
              <w:sz w:val="24"/>
              <w:szCs w:val="24"/>
              <w:lang w:eastAsia="es-CO"/>
              <w14:ligatures w14:val="standardContextual"/>
            </w:rPr>
          </w:pPr>
          <w:hyperlink w:anchor="_Toc224844309" w:history="1">
            <w:r w:rsidRPr="00E31E8B">
              <w:rPr>
                <w:rStyle w:val="Hipervnculo"/>
                <w:noProof/>
              </w:rPr>
              <w:t>TITULO II</w:t>
            </w:r>
            <w:r>
              <w:rPr>
                <w:noProof/>
                <w:webHidden/>
              </w:rPr>
              <w:tab/>
            </w:r>
            <w:r>
              <w:rPr>
                <w:noProof/>
                <w:webHidden/>
              </w:rPr>
              <w:fldChar w:fldCharType="begin"/>
            </w:r>
            <w:r>
              <w:rPr>
                <w:noProof/>
                <w:webHidden/>
              </w:rPr>
              <w:instrText xml:space="preserve"> PAGEREF _Toc224844309 \h </w:instrText>
            </w:r>
            <w:r>
              <w:rPr>
                <w:noProof/>
                <w:webHidden/>
              </w:rPr>
            </w:r>
            <w:r>
              <w:rPr>
                <w:noProof/>
                <w:webHidden/>
              </w:rPr>
              <w:fldChar w:fldCharType="separate"/>
            </w:r>
            <w:r>
              <w:rPr>
                <w:noProof/>
                <w:webHidden/>
              </w:rPr>
              <w:t>49</w:t>
            </w:r>
            <w:r>
              <w:rPr>
                <w:noProof/>
                <w:webHidden/>
              </w:rPr>
              <w:fldChar w:fldCharType="end"/>
            </w:r>
          </w:hyperlink>
        </w:p>
        <w:p w14:paraId="1168B385" w14:textId="7CAD0B81" w:rsidR="00F73988" w:rsidRDefault="00F73988">
          <w:pPr>
            <w:pStyle w:val="TDC2"/>
            <w:tabs>
              <w:tab w:val="right" w:leader="dot" w:pos="9394"/>
            </w:tabs>
            <w:rPr>
              <w:rFonts w:eastAsiaTheme="minorEastAsia"/>
              <w:noProof/>
              <w:kern w:val="2"/>
              <w:sz w:val="24"/>
              <w:szCs w:val="24"/>
              <w:lang w:eastAsia="es-CO"/>
              <w14:ligatures w14:val="standardContextual"/>
            </w:rPr>
          </w:pPr>
          <w:hyperlink w:anchor="_Toc224844310" w:history="1">
            <w:r w:rsidRPr="00E31E8B">
              <w:rPr>
                <w:rStyle w:val="Hipervnculo"/>
                <w:noProof/>
              </w:rPr>
              <w:t>GAS COMBUSTIBLE</w:t>
            </w:r>
            <w:r>
              <w:rPr>
                <w:noProof/>
                <w:webHidden/>
              </w:rPr>
              <w:tab/>
            </w:r>
            <w:r>
              <w:rPr>
                <w:noProof/>
                <w:webHidden/>
              </w:rPr>
              <w:fldChar w:fldCharType="begin"/>
            </w:r>
            <w:r>
              <w:rPr>
                <w:noProof/>
                <w:webHidden/>
              </w:rPr>
              <w:instrText xml:space="preserve"> PAGEREF _Toc224844310 \h </w:instrText>
            </w:r>
            <w:r>
              <w:rPr>
                <w:noProof/>
                <w:webHidden/>
              </w:rPr>
            </w:r>
            <w:r>
              <w:rPr>
                <w:noProof/>
                <w:webHidden/>
              </w:rPr>
              <w:fldChar w:fldCharType="separate"/>
            </w:r>
            <w:r>
              <w:rPr>
                <w:noProof/>
                <w:webHidden/>
              </w:rPr>
              <w:t>49</w:t>
            </w:r>
            <w:r>
              <w:rPr>
                <w:noProof/>
                <w:webHidden/>
              </w:rPr>
              <w:fldChar w:fldCharType="end"/>
            </w:r>
          </w:hyperlink>
        </w:p>
        <w:p w14:paraId="78BBAFAF" w14:textId="19A001FF"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11" w:history="1">
            <w:r w:rsidRPr="00E31E8B">
              <w:rPr>
                <w:rStyle w:val="Hipervnculo"/>
                <w:noProof/>
              </w:rPr>
              <w:t xml:space="preserve">CAPÍTULO </w:t>
            </w:r>
            <w:r w:rsidRPr="00E31E8B">
              <w:rPr>
                <w:rStyle w:val="Hipervnculo"/>
                <w:bCs/>
                <w:noProof/>
              </w:rPr>
              <w:t>I</w:t>
            </w:r>
            <w:r>
              <w:rPr>
                <w:noProof/>
                <w:webHidden/>
              </w:rPr>
              <w:tab/>
            </w:r>
            <w:r>
              <w:rPr>
                <w:noProof/>
                <w:webHidden/>
              </w:rPr>
              <w:fldChar w:fldCharType="begin"/>
            </w:r>
            <w:r>
              <w:rPr>
                <w:noProof/>
                <w:webHidden/>
              </w:rPr>
              <w:instrText xml:space="preserve"> PAGEREF _Toc224844311 \h </w:instrText>
            </w:r>
            <w:r>
              <w:rPr>
                <w:noProof/>
                <w:webHidden/>
              </w:rPr>
            </w:r>
            <w:r>
              <w:rPr>
                <w:noProof/>
                <w:webHidden/>
              </w:rPr>
              <w:fldChar w:fldCharType="separate"/>
            </w:r>
            <w:r>
              <w:rPr>
                <w:noProof/>
                <w:webHidden/>
              </w:rPr>
              <w:t>49</w:t>
            </w:r>
            <w:r>
              <w:rPr>
                <w:noProof/>
                <w:webHidden/>
              </w:rPr>
              <w:fldChar w:fldCharType="end"/>
            </w:r>
          </w:hyperlink>
        </w:p>
        <w:p w14:paraId="534FB985" w14:textId="0E52DF8A" w:rsidR="00F73988" w:rsidRDefault="00F73988">
          <w:pPr>
            <w:pStyle w:val="TDC4"/>
            <w:tabs>
              <w:tab w:val="right" w:leader="dot" w:pos="9394"/>
            </w:tabs>
            <w:rPr>
              <w:noProof/>
            </w:rPr>
          </w:pPr>
          <w:hyperlink w:anchor="_Toc224844312" w:history="1">
            <w:r w:rsidRPr="00E31E8B">
              <w:rPr>
                <w:rStyle w:val="Hipervnculo"/>
                <w:noProof/>
              </w:rPr>
              <w:t>CONSIDERACIONES GENERALES</w:t>
            </w:r>
            <w:r>
              <w:rPr>
                <w:noProof/>
                <w:webHidden/>
              </w:rPr>
              <w:tab/>
            </w:r>
            <w:r>
              <w:rPr>
                <w:noProof/>
                <w:webHidden/>
              </w:rPr>
              <w:fldChar w:fldCharType="begin"/>
            </w:r>
            <w:r>
              <w:rPr>
                <w:noProof/>
                <w:webHidden/>
              </w:rPr>
              <w:instrText xml:space="preserve"> PAGEREF _Toc224844312 \h </w:instrText>
            </w:r>
            <w:r>
              <w:rPr>
                <w:noProof/>
                <w:webHidden/>
              </w:rPr>
            </w:r>
            <w:r>
              <w:rPr>
                <w:noProof/>
                <w:webHidden/>
              </w:rPr>
              <w:fldChar w:fldCharType="separate"/>
            </w:r>
            <w:r>
              <w:rPr>
                <w:noProof/>
                <w:webHidden/>
              </w:rPr>
              <w:t>49</w:t>
            </w:r>
            <w:r>
              <w:rPr>
                <w:noProof/>
                <w:webHidden/>
              </w:rPr>
              <w:fldChar w:fldCharType="end"/>
            </w:r>
          </w:hyperlink>
        </w:p>
        <w:p w14:paraId="348D015A" w14:textId="3BB74B51" w:rsidR="00F73988" w:rsidRDefault="00F73988">
          <w:pPr>
            <w:pStyle w:val="TDC5"/>
            <w:tabs>
              <w:tab w:val="right" w:leader="dot" w:pos="9394"/>
            </w:tabs>
            <w:rPr>
              <w:noProof/>
            </w:rPr>
          </w:pPr>
          <w:hyperlink w:anchor="_Toc224844313" w:history="1">
            <w:r w:rsidRPr="00E31E8B">
              <w:rPr>
                <w:rStyle w:val="Hipervnculo"/>
                <w:noProof/>
              </w:rPr>
              <w:t>II-1.1 Proyectos que pueden presentarse.</w:t>
            </w:r>
            <w:r>
              <w:rPr>
                <w:noProof/>
                <w:webHidden/>
              </w:rPr>
              <w:tab/>
            </w:r>
            <w:r>
              <w:rPr>
                <w:noProof/>
                <w:webHidden/>
              </w:rPr>
              <w:fldChar w:fldCharType="begin"/>
            </w:r>
            <w:r>
              <w:rPr>
                <w:noProof/>
                <w:webHidden/>
              </w:rPr>
              <w:instrText xml:space="preserve"> PAGEREF _Toc224844313 \h </w:instrText>
            </w:r>
            <w:r>
              <w:rPr>
                <w:noProof/>
                <w:webHidden/>
              </w:rPr>
            </w:r>
            <w:r>
              <w:rPr>
                <w:noProof/>
                <w:webHidden/>
              </w:rPr>
              <w:fldChar w:fldCharType="separate"/>
            </w:r>
            <w:r>
              <w:rPr>
                <w:noProof/>
                <w:webHidden/>
              </w:rPr>
              <w:t>49</w:t>
            </w:r>
            <w:r>
              <w:rPr>
                <w:noProof/>
                <w:webHidden/>
              </w:rPr>
              <w:fldChar w:fldCharType="end"/>
            </w:r>
          </w:hyperlink>
        </w:p>
        <w:p w14:paraId="2079B1F7" w14:textId="50588D06" w:rsidR="00F73988" w:rsidRDefault="00F73988">
          <w:pPr>
            <w:pStyle w:val="TDC5"/>
            <w:tabs>
              <w:tab w:val="right" w:leader="dot" w:pos="9394"/>
            </w:tabs>
            <w:rPr>
              <w:noProof/>
            </w:rPr>
          </w:pPr>
          <w:hyperlink w:anchor="_Toc224844314" w:history="1">
            <w:r w:rsidRPr="00E31E8B">
              <w:rPr>
                <w:rStyle w:val="Hipervnculo"/>
                <w:noProof/>
                <w:lang w:val="es-ES"/>
              </w:rPr>
              <w:t>II-1.2  P</w:t>
            </w:r>
            <w:r w:rsidRPr="00E31E8B">
              <w:rPr>
                <w:rStyle w:val="Hipervnculo"/>
                <w:noProof/>
              </w:rPr>
              <w:t>royectos no cofinanciables</w:t>
            </w:r>
            <w:r>
              <w:rPr>
                <w:noProof/>
                <w:webHidden/>
              </w:rPr>
              <w:tab/>
            </w:r>
            <w:r>
              <w:rPr>
                <w:noProof/>
                <w:webHidden/>
              </w:rPr>
              <w:fldChar w:fldCharType="begin"/>
            </w:r>
            <w:r>
              <w:rPr>
                <w:noProof/>
                <w:webHidden/>
              </w:rPr>
              <w:instrText xml:space="preserve"> PAGEREF _Toc224844314 \h </w:instrText>
            </w:r>
            <w:r>
              <w:rPr>
                <w:noProof/>
                <w:webHidden/>
              </w:rPr>
            </w:r>
            <w:r>
              <w:rPr>
                <w:noProof/>
                <w:webHidden/>
              </w:rPr>
              <w:fldChar w:fldCharType="separate"/>
            </w:r>
            <w:r>
              <w:rPr>
                <w:noProof/>
                <w:webHidden/>
              </w:rPr>
              <w:t>49</w:t>
            </w:r>
            <w:r>
              <w:rPr>
                <w:noProof/>
                <w:webHidden/>
              </w:rPr>
              <w:fldChar w:fldCharType="end"/>
            </w:r>
          </w:hyperlink>
        </w:p>
        <w:p w14:paraId="77AD0327" w14:textId="24BE5FE1"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15" w:history="1">
            <w:r w:rsidRPr="00E31E8B">
              <w:rPr>
                <w:rStyle w:val="Hipervnculo"/>
                <w:noProof/>
              </w:rPr>
              <w:t>CAPÍTULO II</w:t>
            </w:r>
            <w:r>
              <w:rPr>
                <w:noProof/>
                <w:webHidden/>
              </w:rPr>
              <w:tab/>
            </w:r>
            <w:r>
              <w:rPr>
                <w:noProof/>
                <w:webHidden/>
              </w:rPr>
              <w:fldChar w:fldCharType="begin"/>
            </w:r>
            <w:r>
              <w:rPr>
                <w:noProof/>
                <w:webHidden/>
              </w:rPr>
              <w:instrText xml:space="preserve"> PAGEREF _Toc224844315 \h </w:instrText>
            </w:r>
            <w:r>
              <w:rPr>
                <w:noProof/>
                <w:webHidden/>
              </w:rPr>
            </w:r>
            <w:r>
              <w:rPr>
                <w:noProof/>
                <w:webHidden/>
              </w:rPr>
              <w:fldChar w:fldCharType="separate"/>
            </w:r>
            <w:r>
              <w:rPr>
                <w:noProof/>
                <w:webHidden/>
              </w:rPr>
              <w:t>50</w:t>
            </w:r>
            <w:r>
              <w:rPr>
                <w:noProof/>
                <w:webHidden/>
              </w:rPr>
              <w:fldChar w:fldCharType="end"/>
            </w:r>
          </w:hyperlink>
        </w:p>
        <w:p w14:paraId="435EF8BD" w14:textId="26557B4F" w:rsidR="00F73988" w:rsidRDefault="00F73988">
          <w:pPr>
            <w:pStyle w:val="TDC4"/>
            <w:tabs>
              <w:tab w:val="right" w:leader="dot" w:pos="9394"/>
            </w:tabs>
            <w:rPr>
              <w:noProof/>
            </w:rPr>
          </w:pPr>
          <w:hyperlink w:anchor="_Toc224844316" w:history="1">
            <w:r w:rsidRPr="00E31E8B">
              <w:rPr>
                <w:rStyle w:val="Hipervnculo"/>
                <w:noProof/>
              </w:rPr>
              <w:t>ESTRUCTURACIÓN</w:t>
            </w:r>
            <w:r>
              <w:rPr>
                <w:noProof/>
                <w:webHidden/>
              </w:rPr>
              <w:tab/>
            </w:r>
            <w:r>
              <w:rPr>
                <w:noProof/>
                <w:webHidden/>
              </w:rPr>
              <w:fldChar w:fldCharType="begin"/>
            </w:r>
            <w:r>
              <w:rPr>
                <w:noProof/>
                <w:webHidden/>
              </w:rPr>
              <w:instrText xml:space="preserve"> PAGEREF _Toc224844316 \h </w:instrText>
            </w:r>
            <w:r>
              <w:rPr>
                <w:noProof/>
                <w:webHidden/>
              </w:rPr>
            </w:r>
            <w:r>
              <w:rPr>
                <w:noProof/>
                <w:webHidden/>
              </w:rPr>
              <w:fldChar w:fldCharType="separate"/>
            </w:r>
            <w:r>
              <w:rPr>
                <w:noProof/>
                <w:webHidden/>
              </w:rPr>
              <w:t>50</w:t>
            </w:r>
            <w:r>
              <w:rPr>
                <w:noProof/>
                <w:webHidden/>
              </w:rPr>
              <w:fldChar w:fldCharType="end"/>
            </w:r>
          </w:hyperlink>
        </w:p>
        <w:p w14:paraId="2D793105" w14:textId="13AAEAE6" w:rsidR="00F73988" w:rsidRDefault="00F73988">
          <w:pPr>
            <w:pStyle w:val="TDC5"/>
            <w:tabs>
              <w:tab w:val="right" w:leader="dot" w:pos="9394"/>
            </w:tabs>
            <w:rPr>
              <w:noProof/>
            </w:rPr>
          </w:pPr>
          <w:hyperlink w:anchor="_Toc224844317" w:history="1">
            <w:r w:rsidRPr="00E31E8B">
              <w:rPr>
                <w:rStyle w:val="Hipervnculo"/>
                <w:bCs/>
                <w:noProof/>
              </w:rPr>
              <w:t xml:space="preserve">II-2-1 </w:t>
            </w:r>
            <w:r w:rsidRPr="00E31E8B">
              <w:rPr>
                <w:rStyle w:val="Hipervnculo"/>
                <w:noProof/>
              </w:rPr>
              <w:t xml:space="preserve">Requisitos de </w:t>
            </w:r>
            <w:r w:rsidRPr="00E31E8B">
              <w:rPr>
                <w:rStyle w:val="Hipervnculo"/>
                <w:bCs/>
                <w:noProof/>
              </w:rPr>
              <w:t xml:space="preserve">estructuración y/o </w:t>
            </w:r>
            <w:r w:rsidRPr="00E31E8B">
              <w:rPr>
                <w:rStyle w:val="Hipervnculo"/>
                <w:noProof/>
              </w:rPr>
              <w:t>presentación de proyectos.</w:t>
            </w:r>
            <w:r>
              <w:rPr>
                <w:noProof/>
                <w:webHidden/>
              </w:rPr>
              <w:tab/>
            </w:r>
            <w:r>
              <w:rPr>
                <w:noProof/>
                <w:webHidden/>
              </w:rPr>
              <w:fldChar w:fldCharType="begin"/>
            </w:r>
            <w:r>
              <w:rPr>
                <w:noProof/>
                <w:webHidden/>
              </w:rPr>
              <w:instrText xml:space="preserve"> PAGEREF _Toc224844317 \h </w:instrText>
            </w:r>
            <w:r>
              <w:rPr>
                <w:noProof/>
                <w:webHidden/>
              </w:rPr>
            </w:r>
            <w:r>
              <w:rPr>
                <w:noProof/>
                <w:webHidden/>
              </w:rPr>
              <w:fldChar w:fldCharType="separate"/>
            </w:r>
            <w:r>
              <w:rPr>
                <w:noProof/>
                <w:webHidden/>
              </w:rPr>
              <w:t>50</w:t>
            </w:r>
            <w:r>
              <w:rPr>
                <w:noProof/>
                <w:webHidden/>
              </w:rPr>
              <w:fldChar w:fldCharType="end"/>
            </w:r>
          </w:hyperlink>
        </w:p>
        <w:p w14:paraId="1D5A55CD" w14:textId="332FCA70"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18" w:history="1">
            <w:r w:rsidRPr="00E31E8B">
              <w:rPr>
                <w:rStyle w:val="Hipervnculo"/>
                <w:noProof/>
                <w:lang w:eastAsia="es-MX"/>
              </w:rPr>
              <w:t>CAPÍTULO III</w:t>
            </w:r>
            <w:r>
              <w:rPr>
                <w:noProof/>
                <w:webHidden/>
              </w:rPr>
              <w:tab/>
            </w:r>
            <w:r>
              <w:rPr>
                <w:noProof/>
                <w:webHidden/>
              </w:rPr>
              <w:fldChar w:fldCharType="begin"/>
            </w:r>
            <w:r>
              <w:rPr>
                <w:noProof/>
                <w:webHidden/>
              </w:rPr>
              <w:instrText xml:space="preserve"> PAGEREF _Toc224844318 \h </w:instrText>
            </w:r>
            <w:r>
              <w:rPr>
                <w:noProof/>
                <w:webHidden/>
              </w:rPr>
            </w:r>
            <w:r>
              <w:rPr>
                <w:noProof/>
                <w:webHidden/>
              </w:rPr>
              <w:fldChar w:fldCharType="separate"/>
            </w:r>
            <w:r>
              <w:rPr>
                <w:noProof/>
                <w:webHidden/>
              </w:rPr>
              <w:t>57</w:t>
            </w:r>
            <w:r>
              <w:rPr>
                <w:noProof/>
                <w:webHidden/>
              </w:rPr>
              <w:fldChar w:fldCharType="end"/>
            </w:r>
          </w:hyperlink>
        </w:p>
        <w:p w14:paraId="2D9A49CE" w14:textId="0A1CBAC5" w:rsidR="00F73988" w:rsidRDefault="00F73988">
          <w:pPr>
            <w:pStyle w:val="TDC4"/>
            <w:tabs>
              <w:tab w:val="right" w:leader="dot" w:pos="9394"/>
            </w:tabs>
            <w:rPr>
              <w:noProof/>
            </w:rPr>
          </w:pPr>
          <w:hyperlink w:anchor="_Toc224844319" w:history="1">
            <w:r w:rsidRPr="00E31E8B">
              <w:rPr>
                <w:rStyle w:val="Hipervnculo"/>
                <w:noProof/>
                <w:lang w:eastAsia="es-MX"/>
              </w:rPr>
              <w:t>VIABILIZACIÓN</w:t>
            </w:r>
            <w:r>
              <w:rPr>
                <w:noProof/>
                <w:webHidden/>
              </w:rPr>
              <w:tab/>
            </w:r>
            <w:r>
              <w:rPr>
                <w:noProof/>
                <w:webHidden/>
              </w:rPr>
              <w:fldChar w:fldCharType="begin"/>
            </w:r>
            <w:r>
              <w:rPr>
                <w:noProof/>
                <w:webHidden/>
              </w:rPr>
              <w:instrText xml:space="preserve"> PAGEREF _Toc224844319 \h </w:instrText>
            </w:r>
            <w:r>
              <w:rPr>
                <w:noProof/>
                <w:webHidden/>
              </w:rPr>
            </w:r>
            <w:r>
              <w:rPr>
                <w:noProof/>
                <w:webHidden/>
              </w:rPr>
              <w:fldChar w:fldCharType="separate"/>
            </w:r>
            <w:r>
              <w:rPr>
                <w:noProof/>
                <w:webHidden/>
              </w:rPr>
              <w:t>57</w:t>
            </w:r>
            <w:r>
              <w:rPr>
                <w:noProof/>
                <w:webHidden/>
              </w:rPr>
              <w:fldChar w:fldCharType="end"/>
            </w:r>
          </w:hyperlink>
        </w:p>
        <w:p w14:paraId="130E1D62" w14:textId="2A003391" w:rsidR="00F73988" w:rsidRDefault="00F73988">
          <w:pPr>
            <w:pStyle w:val="TDC5"/>
            <w:tabs>
              <w:tab w:val="right" w:leader="dot" w:pos="9394"/>
            </w:tabs>
            <w:rPr>
              <w:noProof/>
            </w:rPr>
          </w:pPr>
          <w:hyperlink w:anchor="_Toc224844320" w:history="1">
            <w:r w:rsidRPr="00E31E8B">
              <w:rPr>
                <w:rStyle w:val="Hipervnculo"/>
                <w:bCs/>
                <w:noProof/>
              </w:rPr>
              <w:t xml:space="preserve">II-3.1 </w:t>
            </w:r>
            <w:r w:rsidRPr="00E31E8B">
              <w:rPr>
                <w:rStyle w:val="Hipervnculo"/>
                <w:noProof/>
              </w:rPr>
              <w:t>Metodología para la evaluación técnica y financiera de los proyectos</w:t>
            </w:r>
            <w:r>
              <w:rPr>
                <w:noProof/>
                <w:webHidden/>
              </w:rPr>
              <w:tab/>
            </w:r>
            <w:r>
              <w:rPr>
                <w:noProof/>
                <w:webHidden/>
              </w:rPr>
              <w:fldChar w:fldCharType="begin"/>
            </w:r>
            <w:r>
              <w:rPr>
                <w:noProof/>
                <w:webHidden/>
              </w:rPr>
              <w:instrText xml:space="preserve"> PAGEREF _Toc224844320 \h </w:instrText>
            </w:r>
            <w:r>
              <w:rPr>
                <w:noProof/>
                <w:webHidden/>
              </w:rPr>
            </w:r>
            <w:r>
              <w:rPr>
                <w:noProof/>
                <w:webHidden/>
              </w:rPr>
              <w:fldChar w:fldCharType="separate"/>
            </w:r>
            <w:r>
              <w:rPr>
                <w:noProof/>
                <w:webHidden/>
              </w:rPr>
              <w:t>57</w:t>
            </w:r>
            <w:r>
              <w:rPr>
                <w:noProof/>
                <w:webHidden/>
              </w:rPr>
              <w:fldChar w:fldCharType="end"/>
            </w:r>
          </w:hyperlink>
        </w:p>
        <w:p w14:paraId="1F89FF43" w14:textId="42134FAE"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21" w:history="1">
            <w:r w:rsidRPr="00E31E8B">
              <w:rPr>
                <w:rStyle w:val="Hipervnculo"/>
                <w:noProof/>
              </w:rPr>
              <w:t>CAPÍTULO IV</w:t>
            </w:r>
            <w:r>
              <w:rPr>
                <w:noProof/>
                <w:webHidden/>
              </w:rPr>
              <w:tab/>
            </w:r>
            <w:r>
              <w:rPr>
                <w:noProof/>
                <w:webHidden/>
              </w:rPr>
              <w:fldChar w:fldCharType="begin"/>
            </w:r>
            <w:r>
              <w:rPr>
                <w:noProof/>
                <w:webHidden/>
              </w:rPr>
              <w:instrText xml:space="preserve"> PAGEREF _Toc224844321 \h </w:instrText>
            </w:r>
            <w:r>
              <w:rPr>
                <w:noProof/>
                <w:webHidden/>
              </w:rPr>
            </w:r>
            <w:r>
              <w:rPr>
                <w:noProof/>
                <w:webHidden/>
              </w:rPr>
              <w:fldChar w:fldCharType="separate"/>
            </w:r>
            <w:r>
              <w:rPr>
                <w:noProof/>
                <w:webHidden/>
              </w:rPr>
              <w:t>59</w:t>
            </w:r>
            <w:r>
              <w:rPr>
                <w:noProof/>
                <w:webHidden/>
              </w:rPr>
              <w:fldChar w:fldCharType="end"/>
            </w:r>
          </w:hyperlink>
        </w:p>
        <w:p w14:paraId="0C126BD5" w14:textId="555547F1" w:rsidR="00F73988" w:rsidRDefault="00F73988">
          <w:pPr>
            <w:pStyle w:val="TDC4"/>
            <w:tabs>
              <w:tab w:val="right" w:leader="dot" w:pos="9394"/>
            </w:tabs>
            <w:rPr>
              <w:noProof/>
            </w:rPr>
          </w:pPr>
          <w:hyperlink w:anchor="_Toc224844322" w:history="1">
            <w:r w:rsidRPr="00E31E8B">
              <w:rPr>
                <w:rStyle w:val="Hipervnculo"/>
                <w:noProof/>
              </w:rPr>
              <w:t>PRIORIZACIÓN</w:t>
            </w:r>
            <w:r>
              <w:rPr>
                <w:noProof/>
                <w:webHidden/>
              </w:rPr>
              <w:tab/>
            </w:r>
            <w:r>
              <w:rPr>
                <w:noProof/>
                <w:webHidden/>
              </w:rPr>
              <w:fldChar w:fldCharType="begin"/>
            </w:r>
            <w:r>
              <w:rPr>
                <w:noProof/>
                <w:webHidden/>
              </w:rPr>
              <w:instrText xml:space="preserve"> PAGEREF _Toc224844322 \h </w:instrText>
            </w:r>
            <w:r>
              <w:rPr>
                <w:noProof/>
                <w:webHidden/>
              </w:rPr>
            </w:r>
            <w:r>
              <w:rPr>
                <w:noProof/>
                <w:webHidden/>
              </w:rPr>
              <w:fldChar w:fldCharType="separate"/>
            </w:r>
            <w:r>
              <w:rPr>
                <w:noProof/>
                <w:webHidden/>
              </w:rPr>
              <w:t>59</w:t>
            </w:r>
            <w:r>
              <w:rPr>
                <w:noProof/>
                <w:webHidden/>
              </w:rPr>
              <w:fldChar w:fldCharType="end"/>
            </w:r>
          </w:hyperlink>
        </w:p>
        <w:p w14:paraId="39BF9096" w14:textId="31003035" w:rsidR="00F73988" w:rsidRDefault="00F73988">
          <w:pPr>
            <w:pStyle w:val="TDC5"/>
            <w:tabs>
              <w:tab w:val="right" w:leader="dot" w:pos="9394"/>
            </w:tabs>
            <w:rPr>
              <w:noProof/>
            </w:rPr>
          </w:pPr>
          <w:hyperlink w:anchor="_Toc224844323" w:history="1">
            <w:r w:rsidRPr="00E31E8B">
              <w:rPr>
                <w:rStyle w:val="Hipervnculo"/>
                <w:bCs/>
                <w:noProof/>
              </w:rPr>
              <w:t xml:space="preserve">II-4.1  </w:t>
            </w:r>
            <w:r w:rsidRPr="00E31E8B">
              <w:rPr>
                <w:rStyle w:val="Hipervnculo"/>
                <w:noProof/>
              </w:rPr>
              <w:t>Metodología de cálculo del índice de priorización de proyectos de infraestructura elegibles, INPRI.</w:t>
            </w:r>
            <w:r>
              <w:rPr>
                <w:noProof/>
                <w:webHidden/>
              </w:rPr>
              <w:tab/>
            </w:r>
            <w:r>
              <w:rPr>
                <w:noProof/>
                <w:webHidden/>
              </w:rPr>
              <w:fldChar w:fldCharType="begin"/>
            </w:r>
            <w:r>
              <w:rPr>
                <w:noProof/>
                <w:webHidden/>
              </w:rPr>
              <w:instrText xml:space="preserve"> PAGEREF _Toc224844323 \h </w:instrText>
            </w:r>
            <w:r>
              <w:rPr>
                <w:noProof/>
                <w:webHidden/>
              </w:rPr>
            </w:r>
            <w:r>
              <w:rPr>
                <w:noProof/>
                <w:webHidden/>
              </w:rPr>
              <w:fldChar w:fldCharType="separate"/>
            </w:r>
            <w:r>
              <w:rPr>
                <w:noProof/>
                <w:webHidden/>
              </w:rPr>
              <w:t>60</w:t>
            </w:r>
            <w:r>
              <w:rPr>
                <w:noProof/>
                <w:webHidden/>
              </w:rPr>
              <w:fldChar w:fldCharType="end"/>
            </w:r>
          </w:hyperlink>
        </w:p>
        <w:p w14:paraId="051AABE7" w14:textId="6FDDCCDC" w:rsidR="00F73988" w:rsidRDefault="00F73988">
          <w:pPr>
            <w:pStyle w:val="TDC5"/>
            <w:tabs>
              <w:tab w:val="right" w:leader="dot" w:pos="9394"/>
            </w:tabs>
            <w:rPr>
              <w:noProof/>
            </w:rPr>
          </w:pPr>
          <w:hyperlink w:anchor="_Toc224844324" w:history="1">
            <w:r w:rsidRPr="00E31E8B">
              <w:rPr>
                <w:rStyle w:val="Hipervnculo"/>
                <w:bCs/>
                <w:noProof/>
              </w:rPr>
              <w:t xml:space="preserve">II-4.2 </w:t>
            </w:r>
            <w:r w:rsidRPr="00E31E8B">
              <w:rPr>
                <w:rStyle w:val="Hipervnculo"/>
                <w:noProof/>
              </w:rPr>
              <w:t>Indicador para priorizar proyectos de infraestructura, INPRI</w:t>
            </w:r>
            <w:r>
              <w:rPr>
                <w:noProof/>
                <w:webHidden/>
              </w:rPr>
              <w:tab/>
            </w:r>
            <w:r>
              <w:rPr>
                <w:noProof/>
                <w:webHidden/>
              </w:rPr>
              <w:fldChar w:fldCharType="begin"/>
            </w:r>
            <w:r>
              <w:rPr>
                <w:noProof/>
                <w:webHidden/>
              </w:rPr>
              <w:instrText xml:space="preserve"> PAGEREF _Toc224844324 \h </w:instrText>
            </w:r>
            <w:r>
              <w:rPr>
                <w:noProof/>
                <w:webHidden/>
              </w:rPr>
            </w:r>
            <w:r>
              <w:rPr>
                <w:noProof/>
                <w:webHidden/>
              </w:rPr>
              <w:fldChar w:fldCharType="separate"/>
            </w:r>
            <w:r>
              <w:rPr>
                <w:noProof/>
                <w:webHidden/>
              </w:rPr>
              <w:t>60</w:t>
            </w:r>
            <w:r>
              <w:rPr>
                <w:noProof/>
                <w:webHidden/>
              </w:rPr>
              <w:fldChar w:fldCharType="end"/>
            </w:r>
          </w:hyperlink>
        </w:p>
        <w:p w14:paraId="6B41757D" w14:textId="14DA7272"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25" w:history="1">
            <w:r w:rsidRPr="00E31E8B">
              <w:rPr>
                <w:rStyle w:val="Hipervnculo"/>
                <w:noProof/>
              </w:rPr>
              <w:t>CAPÍTULO V</w:t>
            </w:r>
            <w:r>
              <w:rPr>
                <w:noProof/>
                <w:webHidden/>
              </w:rPr>
              <w:tab/>
            </w:r>
            <w:r>
              <w:rPr>
                <w:noProof/>
                <w:webHidden/>
              </w:rPr>
              <w:fldChar w:fldCharType="begin"/>
            </w:r>
            <w:r>
              <w:rPr>
                <w:noProof/>
                <w:webHidden/>
              </w:rPr>
              <w:instrText xml:space="preserve"> PAGEREF _Toc224844325 \h </w:instrText>
            </w:r>
            <w:r>
              <w:rPr>
                <w:noProof/>
                <w:webHidden/>
              </w:rPr>
            </w:r>
            <w:r>
              <w:rPr>
                <w:noProof/>
                <w:webHidden/>
              </w:rPr>
              <w:fldChar w:fldCharType="separate"/>
            </w:r>
            <w:r>
              <w:rPr>
                <w:noProof/>
                <w:webHidden/>
              </w:rPr>
              <w:t>61</w:t>
            </w:r>
            <w:r>
              <w:rPr>
                <w:noProof/>
                <w:webHidden/>
              </w:rPr>
              <w:fldChar w:fldCharType="end"/>
            </w:r>
          </w:hyperlink>
        </w:p>
        <w:p w14:paraId="49451B92" w14:textId="1660AF5A" w:rsidR="00F73988" w:rsidRDefault="00F73988">
          <w:pPr>
            <w:pStyle w:val="TDC4"/>
            <w:tabs>
              <w:tab w:val="right" w:leader="dot" w:pos="9394"/>
            </w:tabs>
            <w:rPr>
              <w:noProof/>
            </w:rPr>
          </w:pPr>
          <w:hyperlink w:anchor="_Toc224844326" w:history="1">
            <w:r w:rsidRPr="00E31E8B">
              <w:rPr>
                <w:rStyle w:val="Hipervnculo"/>
                <w:noProof/>
              </w:rPr>
              <w:t>ASIGNACIÓN DE RECURSOS</w:t>
            </w:r>
            <w:r>
              <w:rPr>
                <w:noProof/>
                <w:webHidden/>
              </w:rPr>
              <w:tab/>
            </w:r>
            <w:r>
              <w:rPr>
                <w:noProof/>
                <w:webHidden/>
              </w:rPr>
              <w:fldChar w:fldCharType="begin"/>
            </w:r>
            <w:r>
              <w:rPr>
                <w:noProof/>
                <w:webHidden/>
              </w:rPr>
              <w:instrText xml:space="preserve"> PAGEREF _Toc224844326 \h </w:instrText>
            </w:r>
            <w:r>
              <w:rPr>
                <w:noProof/>
                <w:webHidden/>
              </w:rPr>
            </w:r>
            <w:r>
              <w:rPr>
                <w:noProof/>
                <w:webHidden/>
              </w:rPr>
              <w:fldChar w:fldCharType="separate"/>
            </w:r>
            <w:r>
              <w:rPr>
                <w:noProof/>
                <w:webHidden/>
              </w:rPr>
              <w:t>61</w:t>
            </w:r>
            <w:r>
              <w:rPr>
                <w:noProof/>
                <w:webHidden/>
              </w:rPr>
              <w:fldChar w:fldCharType="end"/>
            </w:r>
          </w:hyperlink>
        </w:p>
        <w:p w14:paraId="7B3F7DE3" w14:textId="5F316E59" w:rsidR="00F73988" w:rsidRDefault="00F73988">
          <w:pPr>
            <w:pStyle w:val="TDC5"/>
            <w:tabs>
              <w:tab w:val="right" w:leader="dot" w:pos="9394"/>
            </w:tabs>
            <w:rPr>
              <w:noProof/>
            </w:rPr>
          </w:pPr>
          <w:hyperlink w:anchor="_Toc224844327" w:history="1">
            <w:r w:rsidRPr="00E31E8B">
              <w:rPr>
                <w:rStyle w:val="Hipervnculo"/>
                <w:bCs/>
                <w:noProof/>
              </w:rPr>
              <w:t xml:space="preserve">II-5.1 </w:t>
            </w:r>
            <w:r w:rsidRPr="00E31E8B">
              <w:rPr>
                <w:rStyle w:val="Hipervnculo"/>
                <w:noProof/>
              </w:rPr>
              <w:t>Suscripción del convenio de cofinanciación</w:t>
            </w:r>
            <w:r>
              <w:rPr>
                <w:noProof/>
                <w:webHidden/>
              </w:rPr>
              <w:tab/>
            </w:r>
            <w:r>
              <w:rPr>
                <w:noProof/>
                <w:webHidden/>
              </w:rPr>
              <w:fldChar w:fldCharType="begin"/>
            </w:r>
            <w:r>
              <w:rPr>
                <w:noProof/>
                <w:webHidden/>
              </w:rPr>
              <w:instrText xml:space="preserve"> PAGEREF _Toc224844327 \h </w:instrText>
            </w:r>
            <w:r>
              <w:rPr>
                <w:noProof/>
                <w:webHidden/>
              </w:rPr>
            </w:r>
            <w:r>
              <w:rPr>
                <w:noProof/>
                <w:webHidden/>
              </w:rPr>
              <w:fldChar w:fldCharType="separate"/>
            </w:r>
            <w:r>
              <w:rPr>
                <w:noProof/>
                <w:webHidden/>
              </w:rPr>
              <w:t>62</w:t>
            </w:r>
            <w:r>
              <w:rPr>
                <w:noProof/>
                <w:webHidden/>
              </w:rPr>
              <w:fldChar w:fldCharType="end"/>
            </w:r>
          </w:hyperlink>
        </w:p>
        <w:p w14:paraId="4DCD631A" w14:textId="25E44A56"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28" w:history="1">
            <w:r w:rsidRPr="00E31E8B">
              <w:rPr>
                <w:rStyle w:val="Hipervnculo"/>
                <w:noProof/>
              </w:rPr>
              <w:t>CAPÍTULO VI</w:t>
            </w:r>
            <w:r>
              <w:rPr>
                <w:noProof/>
                <w:webHidden/>
              </w:rPr>
              <w:tab/>
            </w:r>
            <w:r>
              <w:rPr>
                <w:noProof/>
                <w:webHidden/>
              </w:rPr>
              <w:fldChar w:fldCharType="begin"/>
            </w:r>
            <w:r>
              <w:rPr>
                <w:noProof/>
                <w:webHidden/>
              </w:rPr>
              <w:instrText xml:space="preserve"> PAGEREF _Toc224844328 \h </w:instrText>
            </w:r>
            <w:r>
              <w:rPr>
                <w:noProof/>
                <w:webHidden/>
              </w:rPr>
            </w:r>
            <w:r>
              <w:rPr>
                <w:noProof/>
                <w:webHidden/>
              </w:rPr>
              <w:fldChar w:fldCharType="separate"/>
            </w:r>
            <w:r>
              <w:rPr>
                <w:noProof/>
                <w:webHidden/>
              </w:rPr>
              <w:t>65</w:t>
            </w:r>
            <w:r>
              <w:rPr>
                <w:noProof/>
                <w:webHidden/>
              </w:rPr>
              <w:fldChar w:fldCharType="end"/>
            </w:r>
          </w:hyperlink>
        </w:p>
        <w:p w14:paraId="5B5FBD2D" w14:textId="45E79F58" w:rsidR="00F73988" w:rsidRDefault="00F73988">
          <w:pPr>
            <w:pStyle w:val="TDC4"/>
            <w:tabs>
              <w:tab w:val="right" w:leader="dot" w:pos="9394"/>
            </w:tabs>
            <w:rPr>
              <w:noProof/>
            </w:rPr>
          </w:pPr>
          <w:hyperlink w:anchor="_Toc224844329" w:history="1">
            <w:r w:rsidRPr="00E31E8B">
              <w:rPr>
                <w:rStyle w:val="Hipervnculo"/>
                <w:noProof/>
              </w:rPr>
              <w:t>EJECUCIÓN</w:t>
            </w:r>
            <w:r>
              <w:rPr>
                <w:noProof/>
                <w:webHidden/>
              </w:rPr>
              <w:tab/>
            </w:r>
            <w:r>
              <w:rPr>
                <w:noProof/>
                <w:webHidden/>
              </w:rPr>
              <w:fldChar w:fldCharType="begin"/>
            </w:r>
            <w:r>
              <w:rPr>
                <w:noProof/>
                <w:webHidden/>
              </w:rPr>
              <w:instrText xml:space="preserve"> PAGEREF _Toc224844329 \h </w:instrText>
            </w:r>
            <w:r>
              <w:rPr>
                <w:noProof/>
                <w:webHidden/>
              </w:rPr>
            </w:r>
            <w:r>
              <w:rPr>
                <w:noProof/>
                <w:webHidden/>
              </w:rPr>
              <w:fldChar w:fldCharType="separate"/>
            </w:r>
            <w:r>
              <w:rPr>
                <w:noProof/>
                <w:webHidden/>
              </w:rPr>
              <w:t>65</w:t>
            </w:r>
            <w:r>
              <w:rPr>
                <w:noProof/>
                <w:webHidden/>
              </w:rPr>
              <w:fldChar w:fldCharType="end"/>
            </w:r>
          </w:hyperlink>
        </w:p>
        <w:p w14:paraId="02E9544C" w14:textId="563B871A" w:rsidR="00F73988" w:rsidRDefault="00F73988">
          <w:pPr>
            <w:pStyle w:val="TDC5"/>
            <w:tabs>
              <w:tab w:val="right" w:leader="dot" w:pos="9394"/>
            </w:tabs>
            <w:rPr>
              <w:noProof/>
            </w:rPr>
          </w:pPr>
          <w:hyperlink w:anchor="_Toc224844330" w:history="1">
            <w:r w:rsidRPr="00E31E8B">
              <w:rPr>
                <w:rStyle w:val="Hipervnculo"/>
                <w:noProof/>
              </w:rPr>
              <w:t>II-6.1 Ejecución del convenio de cofinanciación.</w:t>
            </w:r>
            <w:r>
              <w:rPr>
                <w:noProof/>
                <w:webHidden/>
              </w:rPr>
              <w:tab/>
            </w:r>
            <w:r>
              <w:rPr>
                <w:noProof/>
                <w:webHidden/>
              </w:rPr>
              <w:fldChar w:fldCharType="begin"/>
            </w:r>
            <w:r>
              <w:rPr>
                <w:noProof/>
                <w:webHidden/>
              </w:rPr>
              <w:instrText xml:space="preserve"> PAGEREF _Toc224844330 \h </w:instrText>
            </w:r>
            <w:r>
              <w:rPr>
                <w:noProof/>
                <w:webHidden/>
              </w:rPr>
            </w:r>
            <w:r>
              <w:rPr>
                <w:noProof/>
                <w:webHidden/>
              </w:rPr>
              <w:fldChar w:fldCharType="separate"/>
            </w:r>
            <w:r>
              <w:rPr>
                <w:noProof/>
                <w:webHidden/>
              </w:rPr>
              <w:t>65</w:t>
            </w:r>
            <w:r>
              <w:rPr>
                <w:noProof/>
                <w:webHidden/>
              </w:rPr>
              <w:fldChar w:fldCharType="end"/>
            </w:r>
          </w:hyperlink>
        </w:p>
        <w:p w14:paraId="4C539F21" w14:textId="4E287618" w:rsidR="00F73988" w:rsidRDefault="00F73988">
          <w:pPr>
            <w:pStyle w:val="TDC5"/>
            <w:tabs>
              <w:tab w:val="right" w:leader="dot" w:pos="9394"/>
            </w:tabs>
            <w:rPr>
              <w:noProof/>
            </w:rPr>
          </w:pPr>
          <w:hyperlink w:anchor="_Toc224844331" w:history="1">
            <w:r w:rsidRPr="00E31E8B">
              <w:rPr>
                <w:rStyle w:val="Hipervnculo"/>
                <w:noProof/>
              </w:rPr>
              <w:t>II-6.2 Giro de los recursos.</w:t>
            </w:r>
            <w:r>
              <w:rPr>
                <w:noProof/>
                <w:webHidden/>
              </w:rPr>
              <w:tab/>
            </w:r>
            <w:r>
              <w:rPr>
                <w:noProof/>
                <w:webHidden/>
              </w:rPr>
              <w:fldChar w:fldCharType="begin"/>
            </w:r>
            <w:r>
              <w:rPr>
                <w:noProof/>
                <w:webHidden/>
              </w:rPr>
              <w:instrText xml:space="preserve"> PAGEREF _Toc224844331 \h </w:instrText>
            </w:r>
            <w:r>
              <w:rPr>
                <w:noProof/>
                <w:webHidden/>
              </w:rPr>
            </w:r>
            <w:r>
              <w:rPr>
                <w:noProof/>
                <w:webHidden/>
              </w:rPr>
              <w:fldChar w:fldCharType="separate"/>
            </w:r>
            <w:r>
              <w:rPr>
                <w:noProof/>
                <w:webHidden/>
              </w:rPr>
              <w:t>65</w:t>
            </w:r>
            <w:r>
              <w:rPr>
                <w:noProof/>
                <w:webHidden/>
              </w:rPr>
              <w:fldChar w:fldCharType="end"/>
            </w:r>
          </w:hyperlink>
        </w:p>
        <w:p w14:paraId="633CFC3F" w14:textId="5D889F53" w:rsidR="00F73988" w:rsidRDefault="00F73988">
          <w:pPr>
            <w:pStyle w:val="TDC5"/>
            <w:tabs>
              <w:tab w:val="right" w:leader="dot" w:pos="9394"/>
            </w:tabs>
            <w:rPr>
              <w:noProof/>
            </w:rPr>
          </w:pPr>
          <w:hyperlink w:anchor="_Toc224844333" w:history="1">
            <w:r w:rsidRPr="00E31E8B">
              <w:rPr>
                <w:rStyle w:val="Hipervnculo"/>
                <w:noProof/>
              </w:rPr>
              <w:t>II-6.</w:t>
            </w:r>
            <w:r w:rsidR="003B7BE7">
              <w:rPr>
                <w:rStyle w:val="Hipervnculo"/>
                <w:noProof/>
              </w:rPr>
              <w:t>3</w:t>
            </w:r>
            <w:r w:rsidRPr="00E31E8B">
              <w:rPr>
                <w:rStyle w:val="Hipervnculo"/>
                <w:noProof/>
              </w:rPr>
              <w:t xml:space="preserve"> Presentación de informes.</w:t>
            </w:r>
            <w:r>
              <w:rPr>
                <w:noProof/>
                <w:webHidden/>
              </w:rPr>
              <w:tab/>
            </w:r>
            <w:r>
              <w:rPr>
                <w:noProof/>
                <w:webHidden/>
              </w:rPr>
              <w:fldChar w:fldCharType="begin"/>
            </w:r>
            <w:r>
              <w:rPr>
                <w:noProof/>
                <w:webHidden/>
              </w:rPr>
              <w:instrText xml:space="preserve"> PAGEREF _Toc224844333 \h </w:instrText>
            </w:r>
            <w:r>
              <w:rPr>
                <w:noProof/>
                <w:webHidden/>
              </w:rPr>
            </w:r>
            <w:r>
              <w:rPr>
                <w:noProof/>
                <w:webHidden/>
              </w:rPr>
              <w:fldChar w:fldCharType="separate"/>
            </w:r>
            <w:r>
              <w:rPr>
                <w:noProof/>
                <w:webHidden/>
              </w:rPr>
              <w:t>66</w:t>
            </w:r>
            <w:r>
              <w:rPr>
                <w:noProof/>
                <w:webHidden/>
              </w:rPr>
              <w:fldChar w:fldCharType="end"/>
            </w:r>
          </w:hyperlink>
        </w:p>
        <w:p w14:paraId="35A5D647" w14:textId="0C18BB0A"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34" w:history="1">
            <w:r w:rsidRPr="00E31E8B">
              <w:rPr>
                <w:rStyle w:val="Hipervnculo"/>
                <w:noProof/>
              </w:rPr>
              <w:t>CAPÍTULO VII</w:t>
            </w:r>
            <w:r>
              <w:rPr>
                <w:noProof/>
                <w:webHidden/>
              </w:rPr>
              <w:tab/>
            </w:r>
            <w:r>
              <w:rPr>
                <w:noProof/>
                <w:webHidden/>
              </w:rPr>
              <w:fldChar w:fldCharType="begin"/>
            </w:r>
            <w:r>
              <w:rPr>
                <w:noProof/>
                <w:webHidden/>
              </w:rPr>
              <w:instrText xml:space="preserve"> PAGEREF _Toc224844334 \h </w:instrText>
            </w:r>
            <w:r>
              <w:rPr>
                <w:noProof/>
                <w:webHidden/>
              </w:rPr>
            </w:r>
            <w:r>
              <w:rPr>
                <w:noProof/>
                <w:webHidden/>
              </w:rPr>
              <w:fldChar w:fldCharType="separate"/>
            </w:r>
            <w:r>
              <w:rPr>
                <w:noProof/>
                <w:webHidden/>
              </w:rPr>
              <w:t>67</w:t>
            </w:r>
            <w:r>
              <w:rPr>
                <w:noProof/>
                <w:webHidden/>
              </w:rPr>
              <w:fldChar w:fldCharType="end"/>
            </w:r>
          </w:hyperlink>
        </w:p>
        <w:p w14:paraId="361A3005" w14:textId="514B1D96" w:rsidR="00F73988" w:rsidRDefault="00F73988">
          <w:pPr>
            <w:pStyle w:val="TDC4"/>
            <w:tabs>
              <w:tab w:val="right" w:leader="dot" w:pos="9394"/>
            </w:tabs>
            <w:rPr>
              <w:noProof/>
            </w:rPr>
          </w:pPr>
          <w:hyperlink w:anchor="_Toc224844335" w:history="1">
            <w:r w:rsidRPr="00E31E8B">
              <w:rPr>
                <w:rStyle w:val="Hipervnculo"/>
                <w:noProof/>
              </w:rPr>
              <w:t>ACTIVOS GAS</w:t>
            </w:r>
            <w:r>
              <w:rPr>
                <w:noProof/>
                <w:webHidden/>
              </w:rPr>
              <w:tab/>
            </w:r>
            <w:r>
              <w:rPr>
                <w:noProof/>
                <w:webHidden/>
              </w:rPr>
              <w:fldChar w:fldCharType="begin"/>
            </w:r>
            <w:r>
              <w:rPr>
                <w:noProof/>
                <w:webHidden/>
              </w:rPr>
              <w:instrText xml:space="preserve"> PAGEREF _Toc224844335 \h </w:instrText>
            </w:r>
            <w:r>
              <w:rPr>
                <w:noProof/>
                <w:webHidden/>
              </w:rPr>
            </w:r>
            <w:r>
              <w:rPr>
                <w:noProof/>
                <w:webHidden/>
              </w:rPr>
              <w:fldChar w:fldCharType="separate"/>
            </w:r>
            <w:r>
              <w:rPr>
                <w:noProof/>
                <w:webHidden/>
              </w:rPr>
              <w:t>67</w:t>
            </w:r>
            <w:r>
              <w:rPr>
                <w:noProof/>
                <w:webHidden/>
              </w:rPr>
              <w:fldChar w:fldCharType="end"/>
            </w:r>
          </w:hyperlink>
        </w:p>
        <w:p w14:paraId="25B0FB92" w14:textId="1F7C668E" w:rsidR="00F73988" w:rsidRDefault="00F73988">
          <w:pPr>
            <w:pStyle w:val="TDC5"/>
            <w:tabs>
              <w:tab w:val="right" w:leader="dot" w:pos="9394"/>
            </w:tabs>
            <w:rPr>
              <w:noProof/>
            </w:rPr>
          </w:pPr>
          <w:hyperlink w:anchor="_Toc224844336" w:history="1">
            <w:r w:rsidRPr="00E31E8B">
              <w:rPr>
                <w:rStyle w:val="Hipervnculo"/>
                <w:bCs/>
                <w:noProof/>
              </w:rPr>
              <w:t>II-7.1 Propiedad</w:t>
            </w:r>
            <w:r w:rsidRPr="00E31E8B">
              <w:rPr>
                <w:rStyle w:val="Hipervnculo"/>
                <w:noProof/>
              </w:rPr>
              <w:t xml:space="preserve"> de la infraestructura construida y cofinanciada</w:t>
            </w:r>
            <w:r>
              <w:rPr>
                <w:noProof/>
                <w:webHidden/>
              </w:rPr>
              <w:tab/>
            </w:r>
            <w:r>
              <w:rPr>
                <w:noProof/>
                <w:webHidden/>
              </w:rPr>
              <w:fldChar w:fldCharType="begin"/>
            </w:r>
            <w:r>
              <w:rPr>
                <w:noProof/>
                <w:webHidden/>
              </w:rPr>
              <w:instrText xml:space="preserve"> PAGEREF _Toc224844336 \h </w:instrText>
            </w:r>
            <w:r>
              <w:rPr>
                <w:noProof/>
                <w:webHidden/>
              </w:rPr>
            </w:r>
            <w:r>
              <w:rPr>
                <w:noProof/>
                <w:webHidden/>
              </w:rPr>
              <w:fldChar w:fldCharType="separate"/>
            </w:r>
            <w:r>
              <w:rPr>
                <w:noProof/>
                <w:webHidden/>
              </w:rPr>
              <w:t>67</w:t>
            </w:r>
            <w:r>
              <w:rPr>
                <w:noProof/>
                <w:webHidden/>
              </w:rPr>
              <w:fldChar w:fldCharType="end"/>
            </w:r>
          </w:hyperlink>
        </w:p>
        <w:p w14:paraId="11AFDC05" w14:textId="2E389EBE" w:rsidR="00F73988" w:rsidRDefault="00F73988">
          <w:pPr>
            <w:pStyle w:val="TDC5"/>
            <w:tabs>
              <w:tab w:val="right" w:leader="dot" w:pos="9394"/>
            </w:tabs>
            <w:rPr>
              <w:noProof/>
            </w:rPr>
          </w:pPr>
          <w:hyperlink w:anchor="_Toc224844337" w:history="1">
            <w:r w:rsidRPr="00E31E8B">
              <w:rPr>
                <w:rStyle w:val="Hipervnculo"/>
                <w:noProof/>
              </w:rPr>
              <w:t>II-7.2 Valoración de la infraestructura.</w:t>
            </w:r>
            <w:r>
              <w:rPr>
                <w:noProof/>
                <w:webHidden/>
              </w:rPr>
              <w:tab/>
            </w:r>
            <w:r>
              <w:rPr>
                <w:noProof/>
                <w:webHidden/>
              </w:rPr>
              <w:fldChar w:fldCharType="begin"/>
            </w:r>
            <w:r>
              <w:rPr>
                <w:noProof/>
                <w:webHidden/>
              </w:rPr>
              <w:instrText xml:space="preserve"> PAGEREF _Toc224844337 \h </w:instrText>
            </w:r>
            <w:r>
              <w:rPr>
                <w:noProof/>
                <w:webHidden/>
              </w:rPr>
            </w:r>
            <w:r>
              <w:rPr>
                <w:noProof/>
                <w:webHidden/>
              </w:rPr>
              <w:fldChar w:fldCharType="separate"/>
            </w:r>
            <w:r>
              <w:rPr>
                <w:noProof/>
                <w:webHidden/>
              </w:rPr>
              <w:t>68</w:t>
            </w:r>
            <w:r>
              <w:rPr>
                <w:noProof/>
                <w:webHidden/>
              </w:rPr>
              <w:fldChar w:fldCharType="end"/>
            </w:r>
          </w:hyperlink>
        </w:p>
        <w:p w14:paraId="22986656" w14:textId="10550E8E" w:rsidR="00F73988" w:rsidRDefault="00F73988">
          <w:pPr>
            <w:pStyle w:val="TDC5"/>
            <w:tabs>
              <w:tab w:val="right" w:leader="dot" w:pos="9394"/>
            </w:tabs>
            <w:rPr>
              <w:noProof/>
            </w:rPr>
          </w:pPr>
          <w:hyperlink w:anchor="_Toc224844338" w:history="1">
            <w:r w:rsidRPr="00E31E8B">
              <w:rPr>
                <w:rStyle w:val="Hipervnculo"/>
                <w:noProof/>
              </w:rPr>
              <w:t>II-7.3 Determinación de porcentajes de copropiedad de los activos de proyectos de gas.</w:t>
            </w:r>
            <w:r>
              <w:rPr>
                <w:noProof/>
                <w:webHidden/>
              </w:rPr>
              <w:tab/>
            </w:r>
            <w:r>
              <w:rPr>
                <w:noProof/>
                <w:webHidden/>
              </w:rPr>
              <w:fldChar w:fldCharType="begin"/>
            </w:r>
            <w:r>
              <w:rPr>
                <w:noProof/>
                <w:webHidden/>
              </w:rPr>
              <w:instrText xml:space="preserve"> PAGEREF _Toc224844338 \h </w:instrText>
            </w:r>
            <w:r>
              <w:rPr>
                <w:noProof/>
                <w:webHidden/>
              </w:rPr>
            </w:r>
            <w:r>
              <w:rPr>
                <w:noProof/>
                <w:webHidden/>
              </w:rPr>
              <w:fldChar w:fldCharType="separate"/>
            </w:r>
            <w:r>
              <w:rPr>
                <w:noProof/>
                <w:webHidden/>
              </w:rPr>
              <w:t>68</w:t>
            </w:r>
            <w:r>
              <w:rPr>
                <w:noProof/>
                <w:webHidden/>
              </w:rPr>
              <w:fldChar w:fldCharType="end"/>
            </w:r>
          </w:hyperlink>
        </w:p>
        <w:p w14:paraId="4B9AC5C3" w14:textId="136831BC" w:rsidR="00F73988" w:rsidRDefault="00F73988">
          <w:pPr>
            <w:pStyle w:val="TDC5"/>
            <w:tabs>
              <w:tab w:val="right" w:leader="dot" w:pos="9394"/>
            </w:tabs>
            <w:rPr>
              <w:noProof/>
            </w:rPr>
          </w:pPr>
          <w:hyperlink w:anchor="_Toc224844339" w:history="1">
            <w:r w:rsidRPr="00E31E8B">
              <w:rPr>
                <w:rStyle w:val="Hipervnculo"/>
                <w:bCs/>
                <w:noProof/>
              </w:rPr>
              <w:t xml:space="preserve">II-7.4 </w:t>
            </w:r>
            <w:r w:rsidRPr="00E31E8B">
              <w:rPr>
                <w:rStyle w:val="Hipervnculo"/>
                <w:noProof/>
              </w:rPr>
              <w:t>Actualización de los porcentajes de copropiedad</w:t>
            </w:r>
            <w:r>
              <w:rPr>
                <w:noProof/>
                <w:webHidden/>
              </w:rPr>
              <w:tab/>
            </w:r>
            <w:r>
              <w:rPr>
                <w:noProof/>
                <w:webHidden/>
              </w:rPr>
              <w:fldChar w:fldCharType="begin"/>
            </w:r>
            <w:r>
              <w:rPr>
                <w:noProof/>
                <w:webHidden/>
              </w:rPr>
              <w:instrText xml:space="preserve"> PAGEREF _Toc224844339 \h </w:instrText>
            </w:r>
            <w:r>
              <w:rPr>
                <w:noProof/>
                <w:webHidden/>
              </w:rPr>
            </w:r>
            <w:r>
              <w:rPr>
                <w:noProof/>
                <w:webHidden/>
              </w:rPr>
              <w:fldChar w:fldCharType="separate"/>
            </w:r>
            <w:r>
              <w:rPr>
                <w:noProof/>
                <w:webHidden/>
              </w:rPr>
              <w:t>69</w:t>
            </w:r>
            <w:r>
              <w:rPr>
                <w:noProof/>
                <w:webHidden/>
              </w:rPr>
              <w:fldChar w:fldCharType="end"/>
            </w:r>
          </w:hyperlink>
        </w:p>
        <w:p w14:paraId="0BA19F7D" w14:textId="44777E50" w:rsidR="00F73988" w:rsidRDefault="00F73988">
          <w:pPr>
            <w:pStyle w:val="TDC5"/>
            <w:tabs>
              <w:tab w:val="right" w:leader="dot" w:pos="9394"/>
            </w:tabs>
            <w:rPr>
              <w:noProof/>
            </w:rPr>
          </w:pPr>
          <w:hyperlink w:anchor="_Toc224844340" w:history="1">
            <w:r w:rsidRPr="00E31E8B">
              <w:rPr>
                <w:rStyle w:val="Hipervnculo"/>
                <w:bCs/>
                <w:noProof/>
              </w:rPr>
              <w:t xml:space="preserve">II-7.5 </w:t>
            </w:r>
            <w:r w:rsidRPr="00E31E8B">
              <w:rPr>
                <w:rStyle w:val="Hipervnculo"/>
                <w:noProof/>
              </w:rPr>
              <w:t>Actualización del valor de la infraestructura</w:t>
            </w:r>
            <w:r>
              <w:rPr>
                <w:noProof/>
                <w:webHidden/>
              </w:rPr>
              <w:tab/>
            </w:r>
            <w:r>
              <w:rPr>
                <w:noProof/>
                <w:webHidden/>
              </w:rPr>
              <w:fldChar w:fldCharType="begin"/>
            </w:r>
            <w:r>
              <w:rPr>
                <w:noProof/>
                <w:webHidden/>
              </w:rPr>
              <w:instrText xml:space="preserve"> PAGEREF _Toc224844340 \h </w:instrText>
            </w:r>
            <w:r>
              <w:rPr>
                <w:noProof/>
                <w:webHidden/>
              </w:rPr>
            </w:r>
            <w:r>
              <w:rPr>
                <w:noProof/>
                <w:webHidden/>
              </w:rPr>
              <w:fldChar w:fldCharType="separate"/>
            </w:r>
            <w:r>
              <w:rPr>
                <w:noProof/>
                <w:webHidden/>
              </w:rPr>
              <w:t>69</w:t>
            </w:r>
            <w:r>
              <w:rPr>
                <w:noProof/>
                <w:webHidden/>
              </w:rPr>
              <w:fldChar w:fldCharType="end"/>
            </w:r>
          </w:hyperlink>
        </w:p>
        <w:p w14:paraId="52702320" w14:textId="20AB6641" w:rsidR="00F73988" w:rsidRDefault="00F73988">
          <w:pPr>
            <w:pStyle w:val="TDC5"/>
            <w:tabs>
              <w:tab w:val="right" w:leader="dot" w:pos="9394"/>
            </w:tabs>
            <w:rPr>
              <w:noProof/>
            </w:rPr>
          </w:pPr>
          <w:hyperlink w:anchor="_Toc224844341" w:history="1">
            <w:r w:rsidRPr="00E31E8B">
              <w:rPr>
                <w:rStyle w:val="Hipervnculo"/>
                <w:bCs/>
                <w:noProof/>
              </w:rPr>
              <w:t xml:space="preserve">II-7.6 </w:t>
            </w:r>
            <w:r w:rsidRPr="00E31E8B">
              <w:rPr>
                <w:rStyle w:val="Hipervnculo"/>
                <w:noProof/>
              </w:rPr>
              <w:t xml:space="preserve">Contabilización de aportes de la Nación </w:t>
            </w:r>
            <w:r w:rsidRPr="00E31E8B">
              <w:rPr>
                <w:rStyle w:val="Hipervnculo"/>
                <w:bCs/>
                <w:noProof/>
              </w:rPr>
              <w:t>para</w:t>
            </w:r>
            <w:r w:rsidRPr="00E31E8B">
              <w:rPr>
                <w:rStyle w:val="Hipervnculo"/>
                <w:noProof/>
              </w:rPr>
              <w:t xml:space="preserve"> proyectos de Gas.</w:t>
            </w:r>
            <w:r>
              <w:rPr>
                <w:noProof/>
                <w:webHidden/>
              </w:rPr>
              <w:tab/>
            </w:r>
            <w:r>
              <w:rPr>
                <w:noProof/>
                <w:webHidden/>
              </w:rPr>
              <w:fldChar w:fldCharType="begin"/>
            </w:r>
            <w:r>
              <w:rPr>
                <w:noProof/>
                <w:webHidden/>
              </w:rPr>
              <w:instrText xml:space="preserve"> PAGEREF _Toc224844341 \h </w:instrText>
            </w:r>
            <w:r>
              <w:rPr>
                <w:noProof/>
                <w:webHidden/>
              </w:rPr>
            </w:r>
            <w:r>
              <w:rPr>
                <w:noProof/>
                <w:webHidden/>
              </w:rPr>
              <w:fldChar w:fldCharType="separate"/>
            </w:r>
            <w:r>
              <w:rPr>
                <w:noProof/>
                <w:webHidden/>
              </w:rPr>
              <w:t>69</w:t>
            </w:r>
            <w:r>
              <w:rPr>
                <w:noProof/>
                <w:webHidden/>
              </w:rPr>
              <w:fldChar w:fldCharType="end"/>
            </w:r>
          </w:hyperlink>
        </w:p>
        <w:p w14:paraId="33005C9D" w14:textId="13627592" w:rsidR="00F73988" w:rsidRDefault="00F73988">
          <w:pPr>
            <w:pStyle w:val="TDC5"/>
            <w:tabs>
              <w:tab w:val="right" w:leader="dot" w:pos="9394"/>
            </w:tabs>
            <w:rPr>
              <w:noProof/>
            </w:rPr>
          </w:pPr>
          <w:hyperlink w:anchor="_Toc224844342" w:history="1">
            <w:r w:rsidRPr="00E31E8B">
              <w:rPr>
                <w:rStyle w:val="Hipervnculo"/>
                <w:bCs/>
                <w:noProof/>
              </w:rPr>
              <w:t xml:space="preserve">II.7.7 </w:t>
            </w:r>
            <w:r w:rsidRPr="00E31E8B">
              <w:rPr>
                <w:rStyle w:val="Hipervnculo"/>
                <w:noProof/>
              </w:rPr>
              <w:t>Contabilización de la reposición y expansión de la infraestructura cofinanciada y actualización del inventario para proyectos de Gas Combustible por redes.</w:t>
            </w:r>
            <w:r>
              <w:rPr>
                <w:noProof/>
                <w:webHidden/>
              </w:rPr>
              <w:tab/>
            </w:r>
            <w:r>
              <w:rPr>
                <w:noProof/>
                <w:webHidden/>
              </w:rPr>
              <w:fldChar w:fldCharType="begin"/>
            </w:r>
            <w:r>
              <w:rPr>
                <w:noProof/>
                <w:webHidden/>
              </w:rPr>
              <w:instrText xml:space="preserve"> PAGEREF _Toc224844342 \h </w:instrText>
            </w:r>
            <w:r>
              <w:rPr>
                <w:noProof/>
                <w:webHidden/>
              </w:rPr>
            </w:r>
            <w:r>
              <w:rPr>
                <w:noProof/>
                <w:webHidden/>
              </w:rPr>
              <w:fldChar w:fldCharType="separate"/>
            </w:r>
            <w:r>
              <w:rPr>
                <w:noProof/>
                <w:webHidden/>
              </w:rPr>
              <w:t>70</w:t>
            </w:r>
            <w:r>
              <w:rPr>
                <w:noProof/>
                <w:webHidden/>
              </w:rPr>
              <w:fldChar w:fldCharType="end"/>
            </w:r>
          </w:hyperlink>
        </w:p>
        <w:p w14:paraId="6E19A254" w14:textId="1EEC66D1" w:rsidR="00F73988" w:rsidRDefault="00F73988">
          <w:pPr>
            <w:pStyle w:val="TDC5"/>
            <w:tabs>
              <w:tab w:val="right" w:leader="dot" w:pos="9394"/>
            </w:tabs>
            <w:rPr>
              <w:noProof/>
            </w:rPr>
          </w:pPr>
          <w:hyperlink w:anchor="_Toc224844345" w:history="1">
            <w:r w:rsidRPr="00E31E8B">
              <w:rPr>
                <w:rStyle w:val="Hipervnculo"/>
                <w:bCs/>
                <w:noProof/>
              </w:rPr>
              <w:t>II-7.</w:t>
            </w:r>
            <w:r w:rsidR="003B7BE7">
              <w:rPr>
                <w:rStyle w:val="Hipervnculo"/>
                <w:bCs/>
                <w:noProof/>
              </w:rPr>
              <w:t>8</w:t>
            </w:r>
            <w:r w:rsidRPr="00E31E8B">
              <w:rPr>
                <w:rStyle w:val="Hipervnculo"/>
                <w:bCs/>
                <w:noProof/>
              </w:rPr>
              <w:t xml:space="preserve"> </w:t>
            </w:r>
            <w:r w:rsidRPr="00E31E8B">
              <w:rPr>
                <w:rStyle w:val="Hipervnculo"/>
                <w:noProof/>
              </w:rPr>
              <w:t>Enajenación de la participación de la copropiedad de La Nación</w:t>
            </w:r>
            <w:r>
              <w:rPr>
                <w:noProof/>
                <w:webHidden/>
              </w:rPr>
              <w:tab/>
            </w:r>
            <w:r>
              <w:rPr>
                <w:noProof/>
                <w:webHidden/>
              </w:rPr>
              <w:fldChar w:fldCharType="begin"/>
            </w:r>
            <w:r>
              <w:rPr>
                <w:noProof/>
                <w:webHidden/>
              </w:rPr>
              <w:instrText xml:space="preserve"> PAGEREF _Toc224844345 \h </w:instrText>
            </w:r>
            <w:r>
              <w:rPr>
                <w:noProof/>
                <w:webHidden/>
              </w:rPr>
            </w:r>
            <w:r>
              <w:rPr>
                <w:noProof/>
                <w:webHidden/>
              </w:rPr>
              <w:fldChar w:fldCharType="separate"/>
            </w:r>
            <w:r>
              <w:rPr>
                <w:noProof/>
                <w:webHidden/>
              </w:rPr>
              <w:t>70</w:t>
            </w:r>
            <w:r>
              <w:rPr>
                <w:noProof/>
                <w:webHidden/>
              </w:rPr>
              <w:fldChar w:fldCharType="end"/>
            </w:r>
          </w:hyperlink>
        </w:p>
        <w:p w14:paraId="68755B96" w14:textId="0052C94A" w:rsidR="00F73988" w:rsidRDefault="00F73988">
          <w:pPr>
            <w:pStyle w:val="TDC5"/>
            <w:tabs>
              <w:tab w:val="right" w:leader="dot" w:pos="9394"/>
            </w:tabs>
            <w:rPr>
              <w:noProof/>
            </w:rPr>
          </w:pPr>
          <w:hyperlink w:anchor="_Toc224844346" w:history="1">
            <w:r w:rsidRPr="00E31E8B">
              <w:rPr>
                <w:rStyle w:val="Hipervnculo"/>
                <w:bCs/>
                <w:noProof/>
              </w:rPr>
              <w:t>II-7.</w:t>
            </w:r>
            <w:r w:rsidR="003B7BE7">
              <w:rPr>
                <w:rStyle w:val="Hipervnculo"/>
                <w:bCs/>
                <w:noProof/>
              </w:rPr>
              <w:t>9</w:t>
            </w:r>
            <w:r w:rsidRPr="00E31E8B">
              <w:rPr>
                <w:rStyle w:val="Hipervnculo"/>
                <w:bCs/>
                <w:noProof/>
              </w:rPr>
              <w:t xml:space="preserve"> </w:t>
            </w:r>
            <w:r w:rsidRPr="00E31E8B">
              <w:rPr>
                <w:rStyle w:val="Hipervnculo"/>
                <w:noProof/>
              </w:rPr>
              <w:t>Verificación de la aplicación del aporte de la Nación al cargo de distribución - Gas.</w:t>
            </w:r>
            <w:r>
              <w:rPr>
                <w:noProof/>
                <w:webHidden/>
              </w:rPr>
              <w:tab/>
            </w:r>
            <w:r>
              <w:rPr>
                <w:noProof/>
                <w:webHidden/>
              </w:rPr>
              <w:fldChar w:fldCharType="begin"/>
            </w:r>
            <w:r>
              <w:rPr>
                <w:noProof/>
                <w:webHidden/>
              </w:rPr>
              <w:instrText xml:space="preserve"> PAGEREF _Toc224844346 \h </w:instrText>
            </w:r>
            <w:r>
              <w:rPr>
                <w:noProof/>
                <w:webHidden/>
              </w:rPr>
            </w:r>
            <w:r>
              <w:rPr>
                <w:noProof/>
                <w:webHidden/>
              </w:rPr>
              <w:fldChar w:fldCharType="separate"/>
            </w:r>
            <w:r>
              <w:rPr>
                <w:noProof/>
                <w:webHidden/>
              </w:rPr>
              <w:t>71</w:t>
            </w:r>
            <w:r>
              <w:rPr>
                <w:noProof/>
                <w:webHidden/>
              </w:rPr>
              <w:fldChar w:fldCharType="end"/>
            </w:r>
          </w:hyperlink>
        </w:p>
        <w:p w14:paraId="7947790F" w14:textId="4DD873DC" w:rsidR="00F73988" w:rsidRDefault="00F73988">
          <w:pPr>
            <w:pStyle w:val="TDC5"/>
            <w:tabs>
              <w:tab w:val="right" w:leader="dot" w:pos="9394"/>
            </w:tabs>
            <w:rPr>
              <w:noProof/>
            </w:rPr>
          </w:pPr>
          <w:hyperlink w:anchor="_Toc224844347" w:history="1">
            <w:r w:rsidRPr="00E31E8B">
              <w:rPr>
                <w:rStyle w:val="Hipervnculo"/>
                <w:bCs/>
                <w:noProof/>
              </w:rPr>
              <w:t>II-7.1</w:t>
            </w:r>
            <w:r w:rsidR="003B7BE7">
              <w:rPr>
                <w:rStyle w:val="Hipervnculo"/>
                <w:bCs/>
                <w:noProof/>
              </w:rPr>
              <w:t>0</w:t>
            </w:r>
            <w:r w:rsidRPr="00E31E8B">
              <w:rPr>
                <w:rStyle w:val="Hipervnculo"/>
                <w:bCs/>
                <w:noProof/>
              </w:rPr>
              <w:t xml:space="preserve"> </w:t>
            </w:r>
            <w:r w:rsidRPr="00E31E8B">
              <w:rPr>
                <w:rStyle w:val="Hipervnculo"/>
                <w:noProof/>
              </w:rPr>
              <w:t>Información del sistema de distribución</w:t>
            </w:r>
            <w:r>
              <w:rPr>
                <w:noProof/>
                <w:webHidden/>
              </w:rPr>
              <w:tab/>
            </w:r>
            <w:r>
              <w:rPr>
                <w:noProof/>
                <w:webHidden/>
              </w:rPr>
              <w:fldChar w:fldCharType="begin"/>
            </w:r>
            <w:r>
              <w:rPr>
                <w:noProof/>
                <w:webHidden/>
              </w:rPr>
              <w:instrText xml:space="preserve"> PAGEREF _Toc224844347 \h </w:instrText>
            </w:r>
            <w:r>
              <w:rPr>
                <w:noProof/>
                <w:webHidden/>
              </w:rPr>
            </w:r>
            <w:r>
              <w:rPr>
                <w:noProof/>
                <w:webHidden/>
              </w:rPr>
              <w:fldChar w:fldCharType="separate"/>
            </w:r>
            <w:r>
              <w:rPr>
                <w:noProof/>
                <w:webHidden/>
              </w:rPr>
              <w:t>72</w:t>
            </w:r>
            <w:r>
              <w:rPr>
                <w:noProof/>
                <w:webHidden/>
              </w:rPr>
              <w:fldChar w:fldCharType="end"/>
            </w:r>
          </w:hyperlink>
        </w:p>
        <w:p w14:paraId="45FC200C" w14:textId="7F212157" w:rsidR="00F73988" w:rsidRDefault="00F73988">
          <w:pPr>
            <w:pStyle w:val="TDC5"/>
            <w:tabs>
              <w:tab w:val="right" w:leader="dot" w:pos="9394"/>
            </w:tabs>
            <w:rPr>
              <w:noProof/>
            </w:rPr>
          </w:pPr>
          <w:hyperlink w:anchor="_Toc224844348" w:history="1">
            <w:r w:rsidRPr="00E31E8B">
              <w:rPr>
                <w:rStyle w:val="Hipervnculo"/>
                <w:bCs/>
                <w:noProof/>
              </w:rPr>
              <w:t>II-7.1</w:t>
            </w:r>
            <w:r w:rsidR="003B7BE7">
              <w:rPr>
                <w:rStyle w:val="Hipervnculo"/>
                <w:bCs/>
                <w:noProof/>
              </w:rPr>
              <w:t>1</w:t>
            </w:r>
            <w:r w:rsidRPr="00E31E8B">
              <w:rPr>
                <w:rStyle w:val="Hipervnculo"/>
                <w:bCs/>
                <w:noProof/>
              </w:rPr>
              <w:t xml:space="preserve"> </w:t>
            </w:r>
            <w:r w:rsidRPr="00E31E8B">
              <w:rPr>
                <w:rStyle w:val="Hipervnculo"/>
                <w:noProof/>
              </w:rPr>
              <w:t>Determinación del cargo de transporte de gas natural con aportes de la Nación</w:t>
            </w:r>
            <w:r>
              <w:rPr>
                <w:noProof/>
                <w:webHidden/>
              </w:rPr>
              <w:tab/>
            </w:r>
            <w:r>
              <w:rPr>
                <w:noProof/>
                <w:webHidden/>
              </w:rPr>
              <w:fldChar w:fldCharType="begin"/>
            </w:r>
            <w:r>
              <w:rPr>
                <w:noProof/>
                <w:webHidden/>
              </w:rPr>
              <w:instrText xml:space="preserve"> PAGEREF _Toc224844348 \h </w:instrText>
            </w:r>
            <w:r>
              <w:rPr>
                <w:noProof/>
                <w:webHidden/>
              </w:rPr>
            </w:r>
            <w:r>
              <w:rPr>
                <w:noProof/>
                <w:webHidden/>
              </w:rPr>
              <w:fldChar w:fldCharType="separate"/>
            </w:r>
            <w:r>
              <w:rPr>
                <w:noProof/>
                <w:webHidden/>
              </w:rPr>
              <w:t>72</w:t>
            </w:r>
            <w:r>
              <w:rPr>
                <w:noProof/>
                <w:webHidden/>
              </w:rPr>
              <w:fldChar w:fldCharType="end"/>
            </w:r>
          </w:hyperlink>
        </w:p>
        <w:p w14:paraId="74663FE7" w14:textId="364E6543" w:rsidR="00F73988" w:rsidRDefault="00F73988">
          <w:pPr>
            <w:pStyle w:val="TDC5"/>
            <w:tabs>
              <w:tab w:val="right" w:leader="dot" w:pos="9394"/>
            </w:tabs>
            <w:rPr>
              <w:noProof/>
            </w:rPr>
          </w:pPr>
          <w:hyperlink w:anchor="_Toc224844349" w:history="1">
            <w:r w:rsidRPr="00E31E8B">
              <w:rPr>
                <w:rStyle w:val="Hipervnculo"/>
                <w:bCs/>
                <w:noProof/>
              </w:rPr>
              <w:t>II-7.1</w:t>
            </w:r>
            <w:r w:rsidR="003B7BE7">
              <w:rPr>
                <w:rStyle w:val="Hipervnculo"/>
                <w:bCs/>
                <w:noProof/>
              </w:rPr>
              <w:t>2</w:t>
            </w:r>
            <w:r w:rsidRPr="00E31E8B">
              <w:rPr>
                <w:rStyle w:val="Hipervnculo"/>
                <w:bCs/>
                <w:noProof/>
              </w:rPr>
              <w:t xml:space="preserve"> </w:t>
            </w:r>
            <w:r w:rsidRPr="00E31E8B">
              <w:rPr>
                <w:rStyle w:val="Hipervnculo"/>
                <w:noProof/>
              </w:rPr>
              <w:t>Verificación de la aplicación de los aportes de la Nación al cargo de transporte.</w:t>
            </w:r>
            <w:r>
              <w:rPr>
                <w:noProof/>
                <w:webHidden/>
              </w:rPr>
              <w:tab/>
            </w:r>
            <w:r>
              <w:rPr>
                <w:noProof/>
                <w:webHidden/>
              </w:rPr>
              <w:fldChar w:fldCharType="begin"/>
            </w:r>
            <w:r>
              <w:rPr>
                <w:noProof/>
                <w:webHidden/>
              </w:rPr>
              <w:instrText xml:space="preserve"> PAGEREF _Toc224844349 \h </w:instrText>
            </w:r>
            <w:r>
              <w:rPr>
                <w:noProof/>
                <w:webHidden/>
              </w:rPr>
            </w:r>
            <w:r>
              <w:rPr>
                <w:noProof/>
                <w:webHidden/>
              </w:rPr>
              <w:fldChar w:fldCharType="separate"/>
            </w:r>
            <w:r>
              <w:rPr>
                <w:noProof/>
                <w:webHidden/>
              </w:rPr>
              <w:t>72</w:t>
            </w:r>
            <w:r>
              <w:rPr>
                <w:noProof/>
                <w:webHidden/>
              </w:rPr>
              <w:fldChar w:fldCharType="end"/>
            </w:r>
          </w:hyperlink>
        </w:p>
        <w:p w14:paraId="11AE6F11" w14:textId="33642509" w:rsidR="00F73988" w:rsidRDefault="00F73988">
          <w:pPr>
            <w:pStyle w:val="TDC5"/>
            <w:tabs>
              <w:tab w:val="right" w:leader="dot" w:pos="9394"/>
            </w:tabs>
            <w:rPr>
              <w:noProof/>
            </w:rPr>
          </w:pPr>
          <w:hyperlink w:anchor="_Toc224844350" w:history="1">
            <w:r w:rsidRPr="00E31E8B">
              <w:rPr>
                <w:rStyle w:val="Hipervnculo"/>
                <w:bCs/>
                <w:noProof/>
              </w:rPr>
              <w:t>II-7.1</w:t>
            </w:r>
            <w:r w:rsidR="003B7BE7">
              <w:rPr>
                <w:rStyle w:val="Hipervnculo"/>
                <w:bCs/>
                <w:noProof/>
              </w:rPr>
              <w:t>3</w:t>
            </w:r>
            <w:r w:rsidRPr="00E31E8B">
              <w:rPr>
                <w:rStyle w:val="Hipervnculo"/>
                <w:bCs/>
                <w:noProof/>
              </w:rPr>
              <w:t xml:space="preserve"> </w:t>
            </w:r>
            <w:r w:rsidRPr="00E31E8B">
              <w:rPr>
                <w:rStyle w:val="Hipervnculo"/>
                <w:noProof/>
              </w:rPr>
              <w:t>Actualización de los cargos de transporte y distribución en el tiempo.</w:t>
            </w:r>
            <w:r>
              <w:rPr>
                <w:noProof/>
                <w:webHidden/>
              </w:rPr>
              <w:tab/>
            </w:r>
            <w:r>
              <w:rPr>
                <w:noProof/>
                <w:webHidden/>
              </w:rPr>
              <w:fldChar w:fldCharType="begin"/>
            </w:r>
            <w:r>
              <w:rPr>
                <w:noProof/>
                <w:webHidden/>
              </w:rPr>
              <w:instrText xml:space="preserve"> PAGEREF _Toc224844350 \h </w:instrText>
            </w:r>
            <w:r>
              <w:rPr>
                <w:noProof/>
                <w:webHidden/>
              </w:rPr>
            </w:r>
            <w:r>
              <w:rPr>
                <w:noProof/>
                <w:webHidden/>
              </w:rPr>
              <w:fldChar w:fldCharType="separate"/>
            </w:r>
            <w:r>
              <w:rPr>
                <w:noProof/>
                <w:webHidden/>
              </w:rPr>
              <w:t>72</w:t>
            </w:r>
            <w:r>
              <w:rPr>
                <w:noProof/>
                <w:webHidden/>
              </w:rPr>
              <w:fldChar w:fldCharType="end"/>
            </w:r>
          </w:hyperlink>
        </w:p>
        <w:p w14:paraId="6BE79340" w14:textId="6E395DCA" w:rsidR="00F73988" w:rsidRDefault="00F73988">
          <w:pPr>
            <w:pStyle w:val="TDC5"/>
            <w:tabs>
              <w:tab w:val="right" w:leader="dot" w:pos="9394"/>
            </w:tabs>
            <w:rPr>
              <w:noProof/>
            </w:rPr>
          </w:pPr>
          <w:hyperlink w:anchor="_Toc224844351" w:history="1">
            <w:r w:rsidRPr="00E31E8B">
              <w:rPr>
                <w:rStyle w:val="Hipervnculo"/>
                <w:bCs/>
                <w:noProof/>
              </w:rPr>
              <w:t>II-7.1</w:t>
            </w:r>
            <w:r w:rsidR="003B7BE7">
              <w:rPr>
                <w:rStyle w:val="Hipervnculo"/>
                <w:bCs/>
                <w:noProof/>
              </w:rPr>
              <w:t>4</w:t>
            </w:r>
            <w:r w:rsidRPr="00E31E8B">
              <w:rPr>
                <w:rStyle w:val="Hipervnculo"/>
                <w:noProof/>
              </w:rPr>
              <w:t xml:space="preserve"> Activos para prestación del servicio de gas combustible por redes</w:t>
            </w:r>
            <w:r>
              <w:rPr>
                <w:noProof/>
                <w:webHidden/>
              </w:rPr>
              <w:tab/>
            </w:r>
            <w:r>
              <w:rPr>
                <w:noProof/>
                <w:webHidden/>
              </w:rPr>
              <w:fldChar w:fldCharType="begin"/>
            </w:r>
            <w:r>
              <w:rPr>
                <w:noProof/>
                <w:webHidden/>
              </w:rPr>
              <w:instrText xml:space="preserve"> PAGEREF _Toc224844351 \h </w:instrText>
            </w:r>
            <w:r>
              <w:rPr>
                <w:noProof/>
                <w:webHidden/>
              </w:rPr>
            </w:r>
            <w:r>
              <w:rPr>
                <w:noProof/>
                <w:webHidden/>
              </w:rPr>
              <w:fldChar w:fldCharType="separate"/>
            </w:r>
            <w:r>
              <w:rPr>
                <w:noProof/>
                <w:webHidden/>
              </w:rPr>
              <w:t>73</w:t>
            </w:r>
            <w:r>
              <w:rPr>
                <w:noProof/>
                <w:webHidden/>
              </w:rPr>
              <w:fldChar w:fldCharType="end"/>
            </w:r>
          </w:hyperlink>
        </w:p>
        <w:p w14:paraId="2E08E14E" w14:textId="220F4C2C" w:rsidR="00F73988" w:rsidRDefault="00F73988">
          <w:pPr>
            <w:pStyle w:val="TDC1"/>
            <w:tabs>
              <w:tab w:val="right" w:leader="dot" w:pos="9394"/>
            </w:tabs>
            <w:rPr>
              <w:rFonts w:eastAsiaTheme="minorEastAsia"/>
              <w:noProof/>
              <w:kern w:val="2"/>
              <w:sz w:val="24"/>
              <w:szCs w:val="24"/>
              <w:lang w:eastAsia="es-CO"/>
              <w14:ligatures w14:val="standardContextual"/>
            </w:rPr>
          </w:pPr>
          <w:hyperlink w:anchor="_Toc224844352" w:history="1">
            <w:r w:rsidRPr="00E31E8B">
              <w:rPr>
                <w:rStyle w:val="Hipervnculo"/>
                <w:noProof/>
              </w:rPr>
              <w:t>TÍTULO III</w:t>
            </w:r>
            <w:r>
              <w:rPr>
                <w:noProof/>
                <w:webHidden/>
              </w:rPr>
              <w:tab/>
            </w:r>
            <w:r>
              <w:rPr>
                <w:noProof/>
                <w:webHidden/>
              </w:rPr>
              <w:fldChar w:fldCharType="begin"/>
            </w:r>
            <w:r>
              <w:rPr>
                <w:noProof/>
                <w:webHidden/>
              </w:rPr>
              <w:instrText xml:space="preserve"> PAGEREF _Toc224844352 \h </w:instrText>
            </w:r>
            <w:r>
              <w:rPr>
                <w:noProof/>
                <w:webHidden/>
              </w:rPr>
            </w:r>
            <w:r>
              <w:rPr>
                <w:noProof/>
                <w:webHidden/>
              </w:rPr>
              <w:fldChar w:fldCharType="separate"/>
            </w:r>
            <w:r>
              <w:rPr>
                <w:noProof/>
                <w:webHidden/>
              </w:rPr>
              <w:t>75</w:t>
            </w:r>
            <w:r>
              <w:rPr>
                <w:noProof/>
                <w:webHidden/>
              </w:rPr>
              <w:fldChar w:fldCharType="end"/>
            </w:r>
          </w:hyperlink>
        </w:p>
        <w:p w14:paraId="25B84C46" w14:textId="0B58CBEE" w:rsidR="00F73988" w:rsidRDefault="00F73988">
          <w:pPr>
            <w:pStyle w:val="TDC2"/>
            <w:tabs>
              <w:tab w:val="right" w:leader="dot" w:pos="9394"/>
            </w:tabs>
            <w:rPr>
              <w:rFonts w:eastAsiaTheme="minorEastAsia"/>
              <w:noProof/>
              <w:kern w:val="2"/>
              <w:sz w:val="24"/>
              <w:szCs w:val="24"/>
              <w:lang w:eastAsia="es-CO"/>
              <w14:ligatures w14:val="standardContextual"/>
            </w:rPr>
          </w:pPr>
          <w:hyperlink w:anchor="_Toc224844353" w:history="1">
            <w:r w:rsidRPr="00E31E8B">
              <w:rPr>
                <w:rStyle w:val="Hipervnculo"/>
                <w:noProof/>
              </w:rPr>
              <w:t>ENERGÍA ELÉCTRICA</w:t>
            </w:r>
            <w:r>
              <w:rPr>
                <w:noProof/>
                <w:webHidden/>
              </w:rPr>
              <w:tab/>
            </w:r>
            <w:r>
              <w:rPr>
                <w:noProof/>
                <w:webHidden/>
              </w:rPr>
              <w:fldChar w:fldCharType="begin"/>
            </w:r>
            <w:r>
              <w:rPr>
                <w:noProof/>
                <w:webHidden/>
              </w:rPr>
              <w:instrText xml:space="preserve"> PAGEREF _Toc224844353 \h </w:instrText>
            </w:r>
            <w:r>
              <w:rPr>
                <w:noProof/>
                <w:webHidden/>
              </w:rPr>
            </w:r>
            <w:r>
              <w:rPr>
                <w:noProof/>
                <w:webHidden/>
              </w:rPr>
              <w:fldChar w:fldCharType="separate"/>
            </w:r>
            <w:r>
              <w:rPr>
                <w:noProof/>
                <w:webHidden/>
              </w:rPr>
              <w:t>75</w:t>
            </w:r>
            <w:r>
              <w:rPr>
                <w:noProof/>
                <w:webHidden/>
              </w:rPr>
              <w:fldChar w:fldCharType="end"/>
            </w:r>
          </w:hyperlink>
        </w:p>
        <w:p w14:paraId="2A52D23A" w14:textId="16F0004D"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54" w:history="1">
            <w:r w:rsidRPr="00E31E8B">
              <w:rPr>
                <w:rStyle w:val="Hipervnculo"/>
                <w:noProof/>
              </w:rPr>
              <w:t>CAPÍTULO I</w:t>
            </w:r>
            <w:r>
              <w:rPr>
                <w:noProof/>
                <w:webHidden/>
              </w:rPr>
              <w:tab/>
            </w:r>
            <w:r>
              <w:rPr>
                <w:noProof/>
                <w:webHidden/>
              </w:rPr>
              <w:fldChar w:fldCharType="begin"/>
            </w:r>
            <w:r>
              <w:rPr>
                <w:noProof/>
                <w:webHidden/>
              </w:rPr>
              <w:instrText xml:space="preserve"> PAGEREF _Toc224844354 \h </w:instrText>
            </w:r>
            <w:r>
              <w:rPr>
                <w:noProof/>
                <w:webHidden/>
              </w:rPr>
            </w:r>
            <w:r>
              <w:rPr>
                <w:noProof/>
                <w:webHidden/>
              </w:rPr>
              <w:fldChar w:fldCharType="separate"/>
            </w:r>
            <w:r>
              <w:rPr>
                <w:noProof/>
                <w:webHidden/>
              </w:rPr>
              <w:t>75</w:t>
            </w:r>
            <w:r>
              <w:rPr>
                <w:noProof/>
                <w:webHidden/>
              </w:rPr>
              <w:fldChar w:fldCharType="end"/>
            </w:r>
          </w:hyperlink>
        </w:p>
        <w:p w14:paraId="4657C8C5" w14:textId="3DE31C87" w:rsidR="00F73988" w:rsidRDefault="00F73988">
          <w:pPr>
            <w:pStyle w:val="TDC4"/>
            <w:tabs>
              <w:tab w:val="right" w:leader="dot" w:pos="9394"/>
            </w:tabs>
            <w:rPr>
              <w:noProof/>
            </w:rPr>
          </w:pPr>
          <w:hyperlink w:anchor="_Toc224844355" w:history="1">
            <w:r w:rsidRPr="00E31E8B">
              <w:rPr>
                <w:rStyle w:val="Hipervnculo"/>
                <w:noProof/>
              </w:rPr>
              <w:t xml:space="preserve">CONSIDERACIONES </w:t>
            </w:r>
            <w:r w:rsidRPr="00E31E8B">
              <w:rPr>
                <w:rStyle w:val="Hipervnculo"/>
                <w:bCs/>
                <w:noProof/>
              </w:rPr>
              <w:t>PREVIAS</w:t>
            </w:r>
            <w:r>
              <w:rPr>
                <w:noProof/>
                <w:webHidden/>
              </w:rPr>
              <w:tab/>
            </w:r>
            <w:r>
              <w:rPr>
                <w:noProof/>
                <w:webHidden/>
              </w:rPr>
              <w:fldChar w:fldCharType="begin"/>
            </w:r>
            <w:r>
              <w:rPr>
                <w:noProof/>
                <w:webHidden/>
              </w:rPr>
              <w:instrText xml:space="preserve"> PAGEREF _Toc224844355 \h </w:instrText>
            </w:r>
            <w:r>
              <w:rPr>
                <w:noProof/>
                <w:webHidden/>
              </w:rPr>
            </w:r>
            <w:r>
              <w:rPr>
                <w:noProof/>
                <w:webHidden/>
              </w:rPr>
              <w:fldChar w:fldCharType="separate"/>
            </w:r>
            <w:r>
              <w:rPr>
                <w:noProof/>
                <w:webHidden/>
              </w:rPr>
              <w:t>75</w:t>
            </w:r>
            <w:r>
              <w:rPr>
                <w:noProof/>
                <w:webHidden/>
              </w:rPr>
              <w:fldChar w:fldCharType="end"/>
            </w:r>
          </w:hyperlink>
        </w:p>
        <w:p w14:paraId="30BE1545" w14:textId="065E8D52"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56" w:history="1">
            <w:r w:rsidRPr="00E31E8B">
              <w:rPr>
                <w:rStyle w:val="Hipervnculo"/>
                <w:noProof/>
              </w:rPr>
              <w:t>CAPÍTULO II</w:t>
            </w:r>
            <w:r>
              <w:rPr>
                <w:noProof/>
                <w:webHidden/>
              </w:rPr>
              <w:tab/>
            </w:r>
            <w:r>
              <w:rPr>
                <w:noProof/>
                <w:webHidden/>
              </w:rPr>
              <w:fldChar w:fldCharType="begin"/>
            </w:r>
            <w:r>
              <w:rPr>
                <w:noProof/>
                <w:webHidden/>
              </w:rPr>
              <w:instrText xml:space="preserve"> PAGEREF _Toc224844356 \h </w:instrText>
            </w:r>
            <w:r>
              <w:rPr>
                <w:noProof/>
                <w:webHidden/>
              </w:rPr>
            </w:r>
            <w:r>
              <w:rPr>
                <w:noProof/>
                <w:webHidden/>
              </w:rPr>
              <w:fldChar w:fldCharType="separate"/>
            </w:r>
            <w:r>
              <w:rPr>
                <w:noProof/>
                <w:webHidden/>
              </w:rPr>
              <w:t>76</w:t>
            </w:r>
            <w:r>
              <w:rPr>
                <w:noProof/>
                <w:webHidden/>
              </w:rPr>
              <w:fldChar w:fldCharType="end"/>
            </w:r>
          </w:hyperlink>
        </w:p>
        <w:p w14:paraId="0742BA88" w14:textId="29C103DE" w:rsidR="00F73988" w:rsidRDefault="00F73988">
          <w:pPr>
            <w:pStyle w:val="TDC4"/>
            <w:tabs>
              <w:tab w:val="right" w:leader="dot" w:pos="9394"/>
            </w:tabs>
            <w:rPr>
              <w:noProof/>
            </w:rPr>
          </w:pPr>
          <w:hyperlink w:anchor="_Toc224844357" w:history="1">
            <w:r w:rsidRPr="00E31E8B">
              <w:rPr>
                <w:rStyle w:val="Hipervnculo"/>
                <w:noProof/>
              </w:rPr>
              <w:t>ESTRUCTURACIÓN</w:t>
            </w:r>
            <w:r>
              <w:rPr>
                <w:noProof/>
                <w:webHidden/>
              </w:rPr>
              <w:tab/>
            </w:r>
            <w:r>
              <w:rPr>
                <w:noProof/>
                <w:webHidden/>
              </w:rPr>
              <w:fldChar w:fldCharType="begin"/>
            </w:r>
            <w:r>
              <w:rPr>
                <w:noProof/>
                <w:webHidden/>
              </w:rPr>
              <w:instrText xml:space="preserve"> PAGEREF _Toc224844357 \h </w:instrText>
            </w:r>
            <w:r>
              <w:rPr>
                <w:noProof/>
                <w:webHidden/>
              </w:rPr>
            </w:r>
            <w:r>
              <w:rPr>
                <w:noProof/>
                <w:webHidden/>
              </w:rPr>
              <w:fldChar w:fldCharType="separate"/>
            </w:r>
            <w:r>
              <w:rPr>
                <w:noProof/>
                <w:webHidden/>
              </w:rPr>
              <w:t>76</w:t>
            </w:r>
            <w:r>
              <w:rPr>
                <w:noProof/>
                <w:webHidden/>
              </w:rPr>
              <w:fldChar w:fldCharType="end"/>
            </w:r>
          </w:hyperlink>
        </w:p>
        <w:p w14:paraId="25FAAB4E" w14:textId="5775D553" w:rsidR="00F73988" w:rsidRDefault="00F73988">
          <w:pPr>
            <w:pStyle w:val="TDC5"/>
            <w:tabs>
              <w:tab w:val="right" w:leader="dot" w:pos="9394"/>
            </w:tabs>
            <w:rPr>
              <w:noProof/>
            </w:rPr>
          </w:pPr>
          <w:hyperlink w:anchor="_Toc224844358" w:history="1">
            <w:r w:rsidRPr="00E31E8B">
              <w:rPr>
                <w:rStyle w:val="Hipervnculo"/>
                <w:noProof/>
              </w:rPr>
              <w:t>III-</w:t>
            </w:r>
            <w:r w:rsidRPr="00E31E8B">
              <w:rPr>
                <w:rStyle w:val="Hipervnculo"/>
                <w:bCs/>
                <w:noProof/>
              </w:rPr>
              <w:t>2.1 Mecanismos</w:t>
            </w:r>
            <w:r w:rsidRPr="00E31E8B">
              <w:rPr>
                <w:rStyle w:val="Hipervnculo"/>
                <w:noProof/>
              </w:rPr>
              <w:t xml:space="preserve"> para presentación de proyectos.</w:t>
            </w:r>
            <w:r>
              <w:rPr>
                <w:noProof/>
                <w:webHidden/>
              </w:rPr>
              <w:tab/>
            </w:r>
            <w:r>
              <w:rPr>
                <w:noProof/>
                <w:webHidden/>
              </w:rPr>
              <w:fldChar w:fldCharType="begin"/>
            </w:r>
            <w:r>
              <w:rPr>
                <w:noProof/>
                <w:webHidden/>
              </w:rPr>
              <w:instrText xml:space="preserve"> PAGEREF _Toc224844358 \h </w:instrText>
            </w:r>
            <w:r>
              <w:rPr>
                <w:noProof/>
                <w:webHidden/>
              </w:rPr>
            </w:r>
            <w:r>
              <w:rPr>
                <w:noProof/>
                <w:webHidden/>
              </w:rPr>
              <w:fldChar w:fldCharType="separate"/>
            </w:r>
            <w:r>
              <w:rPr>
                <w:noProof/>
                <w:webHidden/>
              </w:rPr>
              <w:t>76</w:t>
            </w:r>
            <w:r>
              <w:rPr>
                <w:noProof/>
                <w:webHidden/>
              </w:rPr>
              <w:fldChar w:fldCharType="end"/>
            </w:r>
          </w:hyperlink>
        </w:p>
        <w:p w14:paraId="1C8A9625" w14:textId="4909236E" w:rsidR="00F73988" w:rsidRDefault="00F73988">
          <w:pPr>
            <w:pStyle w:val="TDC5"/>
            <w:tabs>
              <w:tab w:val="right" w:leader="dot" w:pos="9394"/>
            </w:tabs>
            <w:rPr>
              <w:noProof/>
            </w:rPr>
          </w:pPr>
          <w:hyperlink w:anchor="_Toc224844359" w:history="1">
            <w:r w:rsidRPr="00E31E8B">
              <w:rPr>
                <w:rStyle w:val="Hipervnculo"/>
                <w:noProof/>
              </w:rPr>
              <w:t>III-2.2 Tipos de Proyectos de Energía Eléctrica</w:t>
            </w:r>
            <w:r>
              <w:rPr>
                <w:noProof/>
                <w:webHidden/>
              </w:rPr>
              <w:tab/>
            </w:r>
            <w:r>
              <w:rPr>
                <w:noProof/>
                <w:webHidden/>
              </w:rPr>
              <w:fldChar w:fldCharType="begin"/>
            </w:r>
            <w:r>
              <w:rPr>
                <w:noProof/>
                <w:webHidden/>
              </w:rPr>
              <w:instrText xml:space="preserve"> PAGEREF _Toc224844359 \h </w:instrText>
            </w:r>
            <w:r>
              <w:rPr>
                <w:noProof/>
                <w:webHidden/>
              </w:rPr>
            </w:r>
            <w:r>
              <w:rPr>
                <w:noProof/>
                <w:webHidden/>
              </w:rPr>
              <w:fldChar w:fldCharType="separate"/>
            </w:r>
            <w:r>
              <w:rPr>
                <w:noProof/>
                <w:webHidden/>
              </w:rPr>
              <w:t>77</w:t>
            </w:r>
            <w:r>
              <w:rPr>
                <w:noProof/>
                <w:webHidden/>
              </w:rPr>
              <w:fldChar w:fldCharType="end"/>
            </w:r>
          </w:hyperlink>
        </w:p>
        <w:p w14:paraId="0BAED5DF" w14:textId="00EB4360" w:rsidR="00F73988" w:rsidRDefault="00F73988">
          <w:pPr>
            <w:pStyle w:val="TDC5"/>
            <w:tabs>
              <w:tab w:val="right" w:leader="dot" w:pos="9394"/>
            </w:tabs>
            <w:rPr>
              <w:noProof/>
            </w:rPr>
          </w:pPr>
          <w:hyperlink w:anchor="_Toc224844360" w:history="1">
            <w:r w:rsidRPr="00E31E8B">
              <w:rPr>
                <w:rStyle w:val="Hipervnculo"/>
                <w:bCs/>
                <w:noProof/>
              </w:rPr>
              <w:t xml:space="preserve">III-2.3 </w:t>
            </w:r>
            <w:r w:rsidRPr="00E31E8B">
              <w:rPr>
                <w:rStyle w:val="Hipervnculo"/>
                <w:noProof/>
              </w:rPr>
              <w:t>Procedimientos Para Acceder a Recursos</w:t>
            </w:r>
            <w:r>
              <w:rPr>
                <w:noProof/>
                <w:webHidden/>
              </w:rPr>
              <w:tab/>
            </w:r>
            <w:r>
              <w:rPr>
                <w:noProof/>
                <w:webHidden/>
              </w:rPr>
              <w:fldChar w:fldCharType="begin"/>
            </w:r>
            <w:r>
              <w:rPr>
                <w:noProof/>
                <w:webHidden/>
              </w:rPr>
              <w:instrText xml:space="preserve"> PAGEREF _Toc224844360 \h </w:instrText>
            </w:r>
            <w:r>
              <w:rPr>
                <w:noProof/>
                <w:webHidden/>
              </w:rPr>
            </w:r>
            <w:r>
              <w:rPr>
                <w:noProof/>
                <w:webHidden/>
              </w:rPr>
              <w:fldChar w:fldCharType="separate"/>
            </w:r>
            <w:r>
              <w:rPr>
                <w:noProof/>
                <w:webHidden/>
              </w:rPr>
              <w:t>78</w:t>
            </w:r>
            <w:r>
              <w:rPr>
                <w:noProof/>
                <w:webHidden/>
              </w:rPr>
              <w:fldChar w:fldCharType="end"/>
            </w:r>
          </w:hyperlink>
        </w:p>
        <w:p w14:paraId="4D4F89FA" w14:textId="60EAD5C7" w:rsidR="00F73988" w:rsidRDefault="00F73988">
          <w:pPr>
            <w:pStyle w:val="TDC5"/>
            <w:tabs>
              <w:tab w:val="right" w:leader="dot" w:pos="9394"/>
            </w:tabs>
            <w:rPr>
              <w:noProof/>
            </w:rPr>
          </w:pPr>
          <w:hyperlink w:anchor="_Toc224844361" w:history="1">
            <w:r w:rsidRPr="00E31E8B">
              <w:rPr>
                <w:rStyle w:val="Hipervnculo"/>
                <w:noProof/>
              </w:rPr>
              <w:t>III-2.4 Requisitos Para Acceder a Recursos</w:t>
            </w:r>
            <w:r>
              <w:rPr>
                <w:noProof/>
                <w:webHidden/>
              </w:rPr>
              <w:tab/>
            </w:r>
            <w:r>
              <w:rPr>
                <w:noProof/>
                <w:webHidden/>
              </w:rPr>
              <w:fldChar w:fldCharType="begin"/>
            </w:r>
            <w:r>
              <w:rPr>
                <w:noProof/>
                <w:webHidden/>
              </w:rPr>
              <w:instrText xml:space="preserve"> PAGEREF _Toc224844361 \h </w:instrText>
            </w:r>
            <w:r>
              <w:rPr>
                <w:noProof/>
                <w:webHidden/>
              </w:rPr>
            </w:r>
            <w:r>
              <w:rPr>
                <w:noProof/>
                <w:webHidden/>
              </w:rPr>
              <w:fldChar w:fldCharType="separate"/>
            </w:r>
            <w:r>
              <w:rPr>
                <w:noProof/>
                <w:webHidden/>
              </w:rPr>
              <w:t>79</w:t>
            </w:r>
            <w:r>
              <w:rPr>
                <w:noProof/>
                <w:webHidden/>
              </w:rPr>
              <w:fldChar w:fldCharType="end"/>
            </w:r>
          </w:hyperlink>
        </w:p>
        <w:p w14:paraId="7F6D1DF9" w14:textId="35A21626" w:rsidR="00F73988" w:rsidRDefault="00F73988">
          <w:pPr>
            <w:pStyle w:val="TDC5"/>
            <w:tabs>
              <w:tab w:val="right" w:leader="dot" w:pos="9394"/>
            </w:tabs>
            <w:rPr>
              <w:noProof/>
            </w:rPr>
          </w:pPr>
          <w:hyperlink w:anchor="_Toc224844362" w:history="1">
            <w:r w:rsidRPr="00E31E8B">
              <w:rPr>
                <w:rStyle w:val="Hipervnculo"/>
                <w:noProof/>
              </w:rPr>
              <w:t>III-2.5 Proyectos de Comunidades Energéticas y Colombia Solar</w:t>
            </w:r>
            <w:r>
              <w:rPr>
                <w:noProof/>
                <w:webHidden/>
              </w:rPr>
              <w:tab/>
            </w:r>
            <w:r>
              <w:rPr>
                <w:noProof/>
                <w:webHidden/>
              </w:rPr>
              <w:fldChar w:fldCharType="begin"/>
            </w:r>
            <w:r>
              <w:rPr>
                <w:noProof/>
                <w:webHidden/>
              </w:rPr>
              <w:instrText xml:space="preserve"> PAGEREF _Toc224844362 \h </w:instrText>
            </w:r>
            <w:r>
              <w:rPr>
                <w:noProof/>
                <w:webHidden/>
              </w:rPr>
            </w:r>
            <w:r>
              <w:rPr>
                <w:noProof/>
                <w:webHidden/>
              </w:rPr>
              <w:fldChar w:fldCharType="separate"/>
            </w:r>
            <w:r>
              <w:rPr>
                <w:noProof/>
                <w:webHidden/>
              </w:rPr>
              <w:t>96</w:t>
            </w:r>
            <w:r>
              <w:rPr>
                <w:noProof/>
                <w:webHidden/>
              </w:rPr>
              <w:fldChar w:fldCharType="end"/>
            </w:r>
          </w:hyperlink>
        </w:p>
        <w:p w14:paraId="1823D7B7" w14:textId="605EC39F" w:rsidR="00F73988" w:rsidRDefault="00F73988">
          <w:pPr>
            <w:pStyle w:val="TDC5"/>
            <w:tabs>
              <w:tab w:val="right" w:leader="dot" w:pos="9394"/>
            </w:tabs>
            <w:rPr>
              <w:noProof/>
            </w:rPr>
          </w:pPr>
          <w:hyperlink w:anchor="_Toc224844363" w:history="1">
            <w:r w:rsidRPr="00E31E8B">
              <w:rPr>
                <w:rStyle w:val="Hipervnculo"/>
                <w:noProof/>
              </w:rPr>
              <w:t>III-2.6 Proyectos de Interés Nacional y/o estratégico</w:t>
            </w:r>
            <w:r>
              <w:rPr>
                <w:noProof/>
                <w:webHidden/>
              </w:rPr>
              <w:tab/>
            </w:r>
            <w:r>
              <w:rPr>
                <w:noProof/>
                <w:webHidden/>
              </w:rPr>
              <w:fldChar w:fldCharType="begin"/>
            </w:r>
            <w:r>
              <w:rPr>
                <w:noProof/>
                <w:webHidden/>
              </w:rPr>
              <w:instrText xml:space="preserve"> PAGEREF _Toc224844363 \h </w:instrText>
            </w:r>
            <w:r>
              <w:rPr>
                <w:noProof/>
                <w:webHidden/>
              </w:rPr>
            </w:r>
            <w:r>
              <w:rPr>
                <w:noProof/>
                <w:webHidden/>
              </w:rPr>
              <w:fldChar w:fldCharType="separate"/>
            </w:r>
            <w:r>
              <w:rPr>
                <w:noProof/>
                <w:webHidden/>
              </w:rPr>
              <w:t>96</w:t>
            </w:r>
            <w:r>
              <w:rPr>
                <w:noProof/>
                <w:webHidden/>
              </w:rPr>
              <w:fldChar w:fldCharType="end"/>
            </w:r>
          </w:hyperlink>
        </w:p>
        <w:p w14:paraId="32173D81" w14:textId="0AFDC605" w:rsidR="00F73988" w:rsidRDefault="00F73988">
          <w:pPr>
            <w:pStyle w:val="TDC5"/>
            <w:tabs>
              <w:tab w:val="right" w:leader="dot" w:pos="9394"/>
            </w:tabs>
            <w:rPr>
              <w:noProof/>
            </w:rPr>
          </w:pPr>
          <w:hyperlink w:anchor="_Toc224844364" w:history="1">
            <w:r w:rsidRPr="00E31E8B">
              <w:rPr>
                <w:rStyle w:val="Hipervnculo"/>
                <w:noProof/>
              </w:rPr>
              <w:t>III-2.7 Requisitos Para Garantizar la Sostenibilidad de Proyectos de Energía</w:t>
            </w:r>
            <w:r>
              <w:rPr>
                <w:noProof/>
                <w:webHidden/>
              </w:rPr>
              <w:tab/>
            </w:r>
            <w:r>
              <w:rPr>
                <w:noProof/>
                <w:webHidden/>
              </w:rPr>
              <w:fldChar w:fldCharType="begin"/>
            </w:r>
            <w:r>
              <w:rPr>
                <w:noProof/>
                <w:webHidden/>
              </w:rPr>
              <w:instrText xml:space="preserve"> PAGEREF _Toc224844364 \h </w:instrText>
            </w:r>
            <w:r>
              <w:rPr>
                <w:noProof/>
                <w:webHidden/>
              </w:rPr>
            </w:r>
            <w:r>
              <w:rPr>
                <w:noProof/>
                <w:webHidden/>
              </w:rPr>
              <w:fldChar w:fldCharType="separate"/>
            </w:r>
            <w:r>
              <w:rPr>
                <w:noProof/>
                <w:webHidden/>
              </w:rPr>
              <w:t>97</w:t>
            </w:r>
            <w:r>
              <w:rPr>
                <w:noProof/>
                <w:webHidden/>
              </w:rPr>
              <w:fldChar w:fldCharType="end"/>
            </w:r>
          </w:hyperlink>
        </w:p>
        <w:p w14:paraId="409F5647" w14:textId="25362384"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65" w:history="1">
            <w:r w:rsidRPr="00E31E8B">
              <w:rPr>
                <w:rStyle w:val="Hipervnculo"/>
                <w:noProof/>
                <w:lang w:eastAsia="es-CO"/>
              </w:rPr>
              <w:t>CAPÍTULO III</w:t>
            </w:r>
            <w:r>
              <w:rPr>
                <w:noProof/>
                <w:webHidden/>
              </w:rPr>
              <w:tab/>
            </w:r>
            <w:r>
              <w:rPr>
                <w:noProof/>
                <w:webHidden/>
              </w:rPr>
              <w:fldChar w:fldCharType="begin"/>
            </w:r>
            <w:r>
              <w:rPr>
                <w:noProof/>
                <w:webHidden/>
              </w:rPr>
              <w:instrText xml:space="preserve"> PAGEREF _Toc224844365 \h </w:instrText>
            </w:r>
            <w:r>
              <w:rPr>
                <w:noProof/>
                <w:webHidden/>
              </w:rPr>
            </w:r>
            <w:r>
              <w:rPr>
                <w:noProof/>
                <w:webHidden/>
              </w:rPr>
              <w:fldChar w:fldCharType="separate"/>
            </w:r>
            <w:r>
              <w:rPr>
                <w:noProof/>
                <w:webHidden/>
              </w:rPr>
              <w:t>98</w:t>
            </w:r>
            <w:r>
              <w:rPr>
                <w:noProof/>
                <w:webHidden/>
              </w:rPr>
              <w:fldChar w:fldCharType="end"/>
            </w:r>
          </w:hyperlink>
        </w:p>
        <w:p w14:paraId="3BBDC885" w14:textId="148D173F" w:rsidR="00F73988" w:rsidRDefault="00F73988">
          <w:pPr>
            <w:pStyle w:val="TDC4"/>
            <w:tabs>
              <w:tab w:val="right" w:leader="dot" w:pos="9394"/>
            </w:tabs>
            <w:rPr>
              <w:noProof/>
            </w:rPr>
          </w:pPr>
          <w:hyperlink w:anchor="_Toc224844366" w:history="1">
            <w:r w:rsidRPr="00E31E8B">
              <w:rPr>
                <w:rStyle w:val="Hipervnculo"/>
                <w:noProof/>
              </w:rPr>
              <w:t>VIABILIZACIÓN</w:t>
            </w:r>
            <w:r>
              <w:rPr>
                <w:noProof/>
                <w:webHidden/>
              </w:rPr>
              <w:tab/>
            </w:r>
            <w:r>
              <w:rPr>
                <w:noProof/>
                <w:webHidden/>
              </w:rPr>
              <w:fldChar w:fldCharType="begin"/>
            </w:r>
            <w:r>
              <w:rPr>
                <w:noProof/>
                <w:webHidden/>
              </w:rPr>
              <w:instrText xml:space="preserve"> PAGEREF _Toc224844366 \h </w:instrText>
            </w:r>
            <w:r>
              <w:rPr>
                <w:noProof/>
                <w:webHidden/>
              </w:rPr>
            </w:r>
            <w:r>
              <w:rPr>
                <w:noProof/>
                <w:webHidden/>
              </w:rPr>
              <w:fldChar w:fldCharType="separate"/>
            </w:r>
            <w:r>
              <w:rPr>
                <w:noProof/>
                <w:webHidden/>
              </w:rPr>
              <w:t>98</w:t>
            </w:r>
            <w:r>
              <w:rPr>
                <w:noProof/>
                <w:webHidden/>
              </w:rPr>
              <w:fldChar w:fldCharType="end"/>
            </w:r>
          </w:hyperlink>
        </w:p>
        <w:p w14:paraId="7AC27147" w14:textId="3514185C" w:rsidR="00F73988" w:rsidRDefault="00F73988">
          <w:pPr>
            <w:pStyle w:val="TDC5"/>
            <w:tabs>
              <w:tab w:val="right" w:leader="dot" w:pos="9394"/>
            </w:tabs>
            <w:rPr>
              <w:noProof/>
            </w:rPr>
          </w:pPr>
          <w:hyperlink w:anchor="_Toc224844367" w:history="1">
            <w:r w:rsidRPr="00E31E8B">
              <w:rPr>
                <w:rStyle w:val="Hipervnculo"/>
                <w:noProof/>
              </w:rPr>
              <w:t>III-3.1 Parámetros generales para viabilidad técnica y financiera</w:t>
            </w:r>
            <w:r>
              <w:rPr>
                <w:noProof/>
                <w:webHidden/>
              </w:rPr>
              <w:tab/>
            </w:r>
            <w:r>
              <w:rPr>
                <w:noProof/>
                <w:webHidden/>
              </w:rPr>
              <w:fldChar w:fldCharType="begin"/>
            </w:r>
            <w:r>
              <w:rPr>
                <w:noProof/>
                <w:webHidden/>
              </w:rPr>
              <w:instrText xml:space="preserve"> PAGEREF _Toc224844367 \h </w:instrText>
            </w:r>
            <w:r>
              <w:rPr>
                <w:noProof/>
                <w:webHidden/>
              </w:rPr>
            </w:r>
            <w:r>
              <w:rPr>
                <w:noProof/>
                <w:webHidden/>
              </w:rPr>
              <w:fldChar w:fldCharType="separate"/>
            </w:r>
            <w:r>
              <w:rPr>
                <w:noProof/>
                <w:webHidden/>
              </w:rPr>
              <w:t>98</w:t>
            </w:r>
            <w:r>
              <w:rPr>
                <w:noProof/>
                <w:webHidden/>
              </w:rPr>
              <w:fldChar w:fldCharType="end"/>
            </w:r>
          </w:hyperlink>
        </w:p>
        <w:p w14:paraId="10809E44" w14:textId="4EC3358F" w:rsidR="00F73988" w:rsidRDefault="00F73988">
          <w:pPr>
            <w:pStyle w:val="TDC5"/>
            <w:tabs>
              <w:tab w:val="right" w:leader="dot" w:pos="9394"/>
            </w:tabs>
            <w:rPr>
              <w:noProof/>
            </w:rPr>
          </w:pPr>
          <w:hyperlink w:anchor="_Toc224844368" w:history="1">
            <w:r w:rsidRPr="00E31E8B">
              <w:rPr>
                <w:rStyle w:val="Hipervnculo"/>
                <w:bCs/>
                <w:noProof/>
              </w:rPr>
              <w:t xml:space="preserve">III-3.2 </w:t>
            </w:r>
            <w:r w:rsidRPr="00E31E8B">
              <w:rPr>
                <w:rStyle w:val="Hipervnculo"/>
                <w:noProof/>
              </w:rPr>
              <w:t>Acreditación de la idoneidad.</w:t>
            </w:r>
            <w:r>
              <w:rPr>
                <w:noProof/>
                <w:webHidden/>
              </w:rPr>
              <w:tab/>
            </w:r>
            <w:r>
              <w:rPr>
                <w:noProof/>
                <w:webHidden/>
              </w:rPr>
              <w:fldChar w:fldCharType="begin"/>
            </w:r>
            <w:r>
              <w:rPr>
                <w:noProof/>
                <w:webHidden/>
              </w:rPr>
              <w:instrText xml:space="preserve"> PAGEREF _Toc224844368 \h </w:instrText>
            </w:r>
            <w:r>
              <w:rPr>
                <w:noProof/>
                <w:webHidden/>
              </w:rPr>
            </w:r>
            <w:r>
              <w:rPr>
                <w:noProof/>
                <w:webHidden/>
              </w:rPr>
              <w:fldChar w:fldCharType="separate"/>
            </w:r>
            <w:r>
              <w:rPr>
                <w:noProof/>
                <w:webHidden/>
              </w:rPr>
              <w:t>98</w:t>
            </w:r>
            <w:r>
              <w:rPr>
                <w:noProof/>
                <w:webHidden/>
              </w:rPr>
              <w:fldChar w:fldCharType="end"/>
            </w:r>
          </w:hyperlink>
        </w:p>
        <w:p w14:paraId="314458B7" w14:textId="0F744934" w:rsidR="00F73988" w:rsidRDefault="00F73988">
          <w:pPr>
            <w:pStyle w:val="TDC5"/>
            <w:tabs>
              <w:tab w:val="right" w:leader="dot" w:pos="9394"/>
            </w:tabs>
            <w:rPr>
              <w:noProof/>
            </w:rPr>
          </w:pPr>
          <w:hyperlink w:anchor="_Toc224844369" w:history="1">
            <w:r w:rsidRPr="00E31E8B">
              <w:rPr>
                <w:rStyle w:val="Hipervnculo"/>
                <w:bCs/>
                <w:noProof/>
              </w:rPr>
              <w:t xml:space="preserve">III-3.3 </w:t>
            </w:r>
            <w:r w:rsidRPr="00E31E8B">
              <w:rPr>
                <w:rStyle w:val="Hipervnculo"/>
                <w:noProof/>
              </w:rPr>
              <w:t>Acreditación de la capacidad financiera.</w:t>
            </w:r>
            <w:r>
              <w:rPr>
                <w:noProof/>
                <w:webHidden/>
              </w:rPr>
              <w:tab/>
            </w:r>
            <w:r>
              <w:rPr>
                <w:noProof/>
                <w:webHidden/>
              </w:rPr>
              <w:fldChar w:fldCharType="begin"/>
            </w:r>
            <w:r>
              <w:rPr>
                <w:noProof/>
                <w:webHidden/>
              </w:rPr>
              <w:instrText xml:space="preserve"> PAGEREF _Toc224844369 \h </w:instrText>
            </w:r>
            <w:r>
              <w:rPr>
                <w:noProof/>
                <w:webHidden/>
              </w:rPr>
            </w:r>
            <w:r>
              <w:rPr>
                <w:noProof/>
                <w:webHidden/>
              </w:rPr>
              <w:fldChar w:fldCharType="separate"/>
            </w:r>
            <w:r>
              <w:rPr>
                <w:noProof/>
                <w:webHidden/>
              </w:rPr>
              <w:t>99</w:t>
            </w:r>
            <w:r>
              <w:rPr>
                <w:noProof/>
                <w:webHidden/>
              </w:rPr>
              <w:fldChar w:fldCharType="end"/>
            </w:r>
          </w:hyperlink>
        </w:p>
        <w:p w14:paraId="260C3F4C" w14:textId="6E7EA9CF" w:rsidR="00F73988" w:rsidRDefault="00F73988">
          <w:pPr>
            <w:pStyle w:val="TDC5"/>
            <w:tabs>
              <w:tab w:val="right" w:leader="dot" w:pos="9394"/>
            </w:tabs>
            <w:rPr>
              <w:noProof/>
            </w:rPr>
          </w:pPr>
          <w:hyperlink w:anchor="_Toc224844370" w:history="1">
            <w:r w:rsidRPr="00E31E8B">
              <w:rPr>
                <w:rStyle w:val="Hipervnculo"/>
                <w:bCs/>
                <w:noProof/>
              </w:rPr>
              <w:t xml:space="preserve">III-3.4 </w:t>
            </w:r>
            <w:r w:rsidRPr="00E31E8B">
              <w:rPr>
                <w:rStyle w:val="Hipervnculo"/>
                <w:noProof/>
              </w:rPr>
              <w:t>Acreditación de la experiencia.</w:t>
            </w:r>
            <w:r>
              <w:rPr>
                <w:noProof/>
                <w:webHidden/>
              </w:rPr>
              <w:tab/>
            </w:r>
            <w:r>
              <w:rPr>
                <w:noProof/>
                <w:webHidden/>
              </w:rPr>
              <w:fldChar w:fldCharType="begin"/>
            </w:r>
            <w:r>
              <w:rPr>
                <w:noProof/>
                <w:webHidden/>
              </w:rPr>
              <w:instrText xml:space="preserve"> PAGEREF _Toc224844370 \h </w:instrText>
            </w:r>
            <w:r>
              <w:rPr>
                <w:noProof/>
                <w:webHidden/>
              </w:rPr>
            </w:r>
            <w:r>
              <w:rPr>
                <w:noProof/>
                <w:webHidden/>
              </w:rPr>
              <w:fldChar w:fldCharType="separate"/>
            </w:r>
            <w:r>
              <w:rPr>
                <w:noProof/>
                <w:webHidden/>
              </w:rPr>
              <w:t>99</w:t>
            </w:r>
            <w:r>
              <w:rPr>
                <w:noProof/>
                <w:webHidden/>
              </w:rPr>
              <w:fldChar w:fldCharType="end"/>
            </w:r>
          </w:hyperlink>
        </w:p>
        <w:p w14:paraId="3EE4FFC8" w14:textId="5EC1FB25" w:rsidR="00F73988" w:rsidRDefault="00F73988">
          <w:pPr>
            <w:pStyle w:val="TDC5"/>
            <w:tabs>
              <w:tab w:val="right" w:leader="dot" w:pos="9394"/>
            </w:tabs>
            <w:rPr>
              <w:noProof/>
            </w:rPr>
          </w:pPr>
          <w:hyperlink w:anchor="_Toc224844371" w:history="1">
            <w:r w:rsidRPr="00E31E8B">
              <w:rPr>
                <w:rStyle w:val="Hipervnculo"/>
                <w:bCs/>
                <w:noProof/>
              </w:rPr>
              <w:t xml:space="preserve">III-3.5 </w:t>
            </w:r>
            <w:r w:rsidRPr="00E31E8B">
              <w:rPr>
                <w:rStyle w:val="Hipervnculo"/>
                <w:noProof/>
              </w:rPr>
              <w:t>Acreditación de parámetros adicionales</w:t>
            </w:r>
            <w:r>
              <w:rPr>
                <w:noProof/>
                <w:webHidden/>
              </w:rPr>
              <w:tab/>
            </w:r>
            <w:r>
              <w:rPr>
                <w:noProof/>
                <w:webHidden/>
              </w:rPr>
              <w:fldChar w:fldCharType="begin"/>
            </w:r>
            <w:r>
              <w:rPr>
                <w:noProof/>
                <w:webHidden/>
              </w:rPr>
              <w:instrText xml:space="preserve"> PAGEREF _Toc224844371 \h </w:instrText>
            </w:r>
            <w:r>
              <w:rPr>
                <w:noProof/>
                <w:webHidden/>
              </w:rPr>
            </w:r>
            <w:r>
              <w:rPr>
                <w:noProof/>
                <w:webHidden/>
              </w:rPr>
              <w:fldChar w:fldCharType="separate"/>
            </w:r>
            <w:r>
              <w:rPr>
                <w:noProof/>
                <w:webHidden/>
              </w:rPr>
              <w:t>100</w:t>
            </w:r>
            <w:r>
              <w:rPr>
                <w:noProof/>
                <w:webHidden/>
              </w:rPr>
              <w:fldChar w:fldCharType="end"/>
            </w:r>
          </w:hyperlink>
        </w:p>
        <w:p w14:paraId="723565D5" w14:textId="104F9E14"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72" w:history="1">
            <w:r w:rsidRPr="00E31E8B">
              <w:rPr>
                <w:rStyle w:val="Hipervnculo"/>
                <w:noProof/>
              </w:rPr>
              <w:t>CAPÍTULO IV</w:t>
            </w:r>
            <w:r>
              <w:rPr>
                <w:noProof/>
                <w:webHidden/>
              </w:rPr>
              <w:tab/>
            </w:r>
            <w:r>
              <w:rPr>
                <w:noProof/>
                <w:webHidden/>
              </w:rPr>
              <w:fldChar w:fldCharType="begin"/>
            </w:r>
            <w:r>
              <w:rPr>
                <w:noProof/>
                <w:webHidden/>
              </w:rPr>
              <w:instrText xml:space="preserve"> PAGEREF _Toc224844372 \h </w:instrText>
            </w:r>
            <w:r>
              <w:rPr>
                <w:noProof/>
                <w:webHidden/>
              </w:rPr>
            </w:r>
            <w:r>
              <w:rPr>
                <w:noProof/>
                <w:webHidden/>
              </w:rPr>
              <w:fldChar w:fldCharType="separate"/>
            </w:r>
            <w:r>
              <w:rPr>
                <w:noProof/>
                <w:webHidden/>
              </w:rPr>
              <w:t>100</w:t>
            </w:r>
            <w:r>
              <w:rPr>
                <w:noProof/>
                <w:webHidden/>
              </w:rPr>
              <w:fldChar w:fldCharType="end"/>
            </w:r>
          </w:hyperlink>
        </w:p>
        <w:p w14:paraId="059095D7" w14:textId="3C2A25EE" w:rsidR="00F73988" w:rsidRDefault="00F73988">
          <w:pPr>
            <w:pStyle w:val="TDC4"/>
            <w:tabs>
              <w:tab w:val="right" w:leader="dot" w:pos="9394"/>
            </w:tabs>
            <w:rPr>
              <w:noProof/>
            </w:rPr>
          </w:pPr>
          <w:hyperlink w:anchor="_Toc224844373" w:history="1">
            <w:r w:rsidRPr="00E31E8B">
              <w:rPr>
                <w:rStyle w:val="Hipervnculo"/>
                <w:noProof/>
              </w:rPr>
              <w:t>PRIORIZACIÓN</w:t>
            </w:r>
            <w:r>
              <w:rPr>
                <w:noProof/>
                <w:webHidden/>
              </w:rPr>
              <w:tab/>
            </w:r>
            <w:r>
              <w:rPr>
                <w:noProof/>
                <w:webHidden/>
              </w:rPr>
              <w:fldChar w:fldCharType="begin"/>
            </w:r>
            <w:r>
              <w:rPr>
                <w:noProof/>
                <w:webHidden/>
              </w:rPr>
              <w:instrText xml:space="preserve"> PAGEREF _Toc224844373 \h </w:instrText>
            </w:r>
            <w:r>
              <w:rPr>
                <w:noProof/>
                <w:webHidden/>
              </w:rPr>
            </w:r>
            <w:r>
              <w:rPr>
                <w:noProof/>
                <w:webHidden/>
              </w:rPr>
              <w:fldChar w:fldCharType="separate"/>
            </w:r>
            <w:r>
              <w:rPr>
                <w:noProof/>
                <w:webHidden/>
              </w:rPr>
              <w:t>100</w:t>
            </w:r>
            <w:r>
              <w:rPr>
                <w:noProof/>
                <w:webHidden/>
              </w:rPr>
              <w:fldChar w:fldCharType="end"/>
            </w:r>
          </w:hyperlink>
        </w:p>
        <w:p w14:paraId="16D11D85" w14:textId="22D8523E" w:rsidR="00F73988" w:rsidRDefault="00F73988">
          <w:pPr>
            <w:pStyle w:val="TDC5"/>
            <w:tabs>
              <w:tab w:val="right" w:leader="dot" w:pos="9394"/>
            </w:tabs>
            <w:rPr>
              <w:noProof/>
            </w:rPr>
          </w:pPr>
          <w:hyperlink w:anchor="_Toc224844374" w:history="1">
            <w:r w:rsidRPr="00E31E8B">
              <w:rPr>
                <w:rStyle w:val="Hipervnculo"/>
                <w:noProof/>
              </w:rPr>
              <w:t>III-4.1 Criterios de priorización para proyectos de energía eléctrica</w:t>
            </w:r>
            <w:r>
              <w:rPr>
                <w:noProof/>
                <w:webHidden/>
              </w:rPr>
              <w:tab/>
            </w:r>
            <w:r>
              <w:rPr>
                <w:noProof/>
                <w:webHidden/>
              </w:rPr>
              <w:fldChar w:fldCharType="begin"/>
            </w:r>
            <w:r>
              <w:rPr>
                <w:noProof/>
                <w:webHidden/>
              </w:rPr>
              <w:instrText xml:space="preserve"> PAGEREF _Toc224844374 \h </w:instrText>
            </w:r>
            <w:r>
              <w:rPr>
                <w:noProof/>
                <w:webHidden/>
              </w:rPr>
            </w:r>
            <w:r>
              <w:rPr>
                <w:noProof/>
                <w:webHidden/>
              </w:rPr>
              <w:fldChar w:fldCharType="separate"/>
            </w:r>
            <w:r>
              <w:rPr>
                <w:noProof/>
                <w:webHidden/>
              </w:rPr>
              <w:t>100</w:t>
            </w:r>
            <w:r>
              <w:rPr>
                <w:noProof/>
                <w:webHidden/>
              </w:rPr>
              <w:fldChar w:fldCharType="end"/>
            </w:r>
          </w:hyperlink>
        </w:p>
        <w:p w14:paraId="6F662492" w14:textId="7975DC3D" w:rsidR="00F73988" w:rsidRDefault="00F73988">
          <w:pPr>
            <w:pStyle w:val="TDC5"/>
            <w:tabs>
              <w:tab w:val="right" w:leader="dot" w:pos="9394"/>
            </w:tabs>
            <w:rPr>
              <w:noProof/>
            </w:rPr>
          </w:pPr>
          <w:hyperlink w:anchor="_Toc224844375" w:history="1">
            <w:r w:rsidRPr="00E31E8B">
              <w:rPr>
                <w:rStyle w:val="Hipervnculo"/>
                <w:bCs/>
                <w:noProof/>
              </w:rPr>
              <w:t xml:space="preserve">III-4.2 </w:t>
            </w:r>
            <w:r w:rsidRPr="00E31E8B">
              <w:rPr>
                <w:rStyle w:val="Hipervnculo"/>
                <w:noProof/>
              </w:rPr>
              <w:t>Presentación de Proyectos al Comité de Administración del FONENERGÍA</w:t>
            </w:r>
            <w:r>
              <w:rPr>
                <w:noProof/>
                <w:webHidden/>
              </w:rPr>
              <w:tab/>
            </w:r>
            <w:r>
              <w:rPr>
                <w:noProof/>
                <w:webHidden/>
              </w:rPr>
              <w:fldChar w:fldCharType="begin"/>
            </w:r>
            <w:r>
              <w:rPr>
                <w:noProof/>
                <w:webHidden/>
              </w:rPr>
              <w:instrText xml:space="preserve"> PAGEREF _Toc224844375 \h </w:instrText>
            </w:r>
            <w:r>
              <w:rPr>
                <w:noProof/>
                <w:webHidden/>
              </w:rPr>
            </w:r>
            <w:r>
              <w:rPr>
                <w:noProof/>
                <w:webHidden/>
              </w:rPr>
              <w:fldChar w:fldCharType="separate"/>
            </w:r>
            <w:r>
              <w:rPr>
                <w:noProof/>
                <w:webHidden/>
              </w:rPr>
              <w:t>102</w:t>
            </w:r>
            <w:r>
              <w:rPr>
                <w:noProof/>
                <w:webHidden/>
              </w:rPr>
              <w:fldChar w:fldCharType="end"/>
            </w:r>
          </w:hyperlink>
        </w:p>
        <w:p w14:paraId="3C95EA27" w14:textId="403CF3EA" w:rsidR="00F73988" w:rsidRDefault="00F73988">
          <w:pPr>
            <w:pStyle w:val="TDC5"/>
            <w:tabs>
              <w:tab w:val="right" w:leader="dot" w:pos="9394"/>
            </w:tabs>
            <w:rPr>
              <w:noProof/>
            </w:rPr>
          </w:pPr>
          <w:hyperlink w:anchor="_Toc224844376" w:history="1">
            <w:r w:rsidRPr="00E31E8B">
              <w:rPr>
                <w:rStyle w:val="Hipervnculo"/>
                <w:bCs/>
                <w:noProof/>
              </w:rPr>
              <w:t xml:space="preserve">III-4.3 </w:t>
            </w:r>
            <w:r w:rsidRPr="00E31E8B">
              <w:rPr>
                <w:rStyle w:val="Hipervnculo"/>
                <w:noProof/>
              </w:rPr>
              <w:t>Etapa Precontractual</w:t>
            </w:r>
            <w:r>
              <w:rPr>
                <w:noProof/>
                <w:webHidden/>
              </w:rPr>
              <w:tab/>
            </w:r>
            <w:r>
              <w:rPr>
                <w:noProof/>
                <w:webHidden/>
              </w:rPr>
              <w:fldChar w:fldCharType="begin"/>
            </w:r>
            <w:r>
              <w:rPr>
                <w:noProof/>
                <w:webHidden/>
              </w:rPr>
              <w:instrText xml:space="preserve"> PAGEREF _Toc224844376 \h </w:instrText>
            </w:r>
            <w:r>
              <w:rPr>
                <w:noProof/>
                <w:webHidden/>
              </w:rPr>
            </w:r>
            <w:r>
              <w:rPr>
                <w:noProof/>
                <w:webHidden/>
              </w:rPr>
              <w:fldChar w:fldCharType="separate"/>
            </w:r>
            <w:r>
              <w:rPr>
                <w:noProof/>
                <w:webHidden/>
              </w:rPr>
              <w:t>102</w:t>
            </w:r>
            <w:r>
              <w:rPr>
                <w:noProof/>
                <w:webHidden/>
              </w:rPr>
              <w:fldChar w:fldCharType="end"/>
            </w:r>
          </w:hyperlink>
        </w:p>
        <w:p w14:paraId="5E44B069" w14:textId="54BE4190"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77" w:history="1">
            <w:r w:rsidRPr="00E31E8B">
              <w:rPr>
                <w:rStyle w:val="Hipervnculo"/>
                <w:noProof/>
                <w:lang w:val="es-ES"/>
              </w:rPr>
              <w:t>CAPÍTULO V</w:t>
            </w:r>
            <w:r>
              <w:rPr>
                <w:noProof/>
                <w:webHidden/>
              </w:rPr>
              <w:tab/>
            </w:r>
            <w:r>
              <w:rPr>
                <w:noProof/>
                <w:webHidden/>
              </w:rPr>
              <w:fldChar w:fldCharType="begin"/>
            </w:r>
            <w:r>
              <w:rPr>
                <w:noProof/>
                <w:webHidden/>
              </w:rPr>
              <w:instrText xml:space="preserve"> PAGEREF _Toc224844377 \h </w:instrText>
            </w:r>
            <w:r>
              <w:rPr>
                <w:noProof/>
                <w:webHidden/>
              </w:rPr>
            </w:r>
            <w:r>
              <w:rPr>
                <w:noProof/>
                <w:webHidden/>
              </w:rPr>
              <w:fldChar w:fldCharType="separate"/>
            </w:r>
            <w:r>
              <w:rPr>
                <w:noProof/>
                <w:webHidden/>
              </w:rPr>
              <w:t>102</w:t>
            </w:r>
            <w:r>
              <w:rPr>
                <w:noProof/>
                <w:webHidden/>
              </w:rPr>
              <w:fldChar w:fldCharType="end"/>
            </w:r>
          </w:hyperlink>
        </w:p>
        <w:p w14:paraId="0C30889C" w14:textId="13744FC1" w:rsidR="00F73988" w:rsidRDefault="00F73988">
          <w:pPr>
            <w:pStyle w:val="TDC4"/>
            <w:tabs>
              <w:tab w:val="right" w:leader="dot" w:pos="9394"/>
            </w:tabs>
            <w:rPr>
              <w:noProof/>
            </w:rPr>
          </w:pPr>
          <w:hyperlink w:anchor="_Toc224844378" w:history="1">
            <w:r w:rsidRPr="00E31E8B">
              <w:rPr>
                <w:rStyle w:val="Hipervnculo"/>
                <w:noProof/>
                <w:lang w:val="es-ES"/>
              </w:rPr>
              <w:t>SEGUIMIENTO</w:t>
            </w:r>
            <w:r>
              <w:rPr>
                <w:noProof/>
                <w:webHidden/>
              </w:rPr>
              <w:tab/>
            </w:r>
            <w:r>
              <w:rPr>
                <w:noProof/>
                <w:webHidden/>
              </w:rPr>
              <w:fldChar w:fldCharType="begin"/>
            </w:r>
            <w:r>
              <w:rPr>
                <w:noProof/>
                <w:webHidden/>
              </w:rPr>
              <w:instrText xml:space="preserve"> PAGEREF _Toc224844378 \h </w:instrText>
            </w:r>
            <w:r>
              <w:rPr>
                <w:noProof/>
                <w:webHidden/>
              </w:rPr>
            </w:r>
            <w:r>
              <w:rPr>
                <w:noProof/>
                <w:webHidden/>
              </w:rPr>
              <w:fldChar w:fldCharType="separate"/>
            </w:r>
            <w:r>
              <w:rPr>
                <w:noProof/>
                <w:webHidden/>
              </w:rPr>
              <w:t>102</w:t>
            </w:r>
            <w:r>
              <w:rPr>
                <w:noProof/>
                <w:webHidden/>
              </w:rPr>
              <w:fldChar w:fldCharType="end"/>
            </w:r>
          </w:hyperlink>
        </w:p>
        <w:p w14:paraId="3CF581B1" w14:textId="3D5BB2B3"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79" w:history="1">
            <w:r w:rsidRPr="00E31E8B">
              <w:rPr>
                <w:rStyle w:val="Hipervnculo"/>
                <w:noProof/>
                <w:lang w:val="es-ES"/>
              </w:rPr>
              <w:t>CAPÍTULO VI</w:t>
            </w:r>
            <w:r>
              <w:rPr>
                <w:noProof/>
                <w:webHidden/>
              </w:rPr>
              <w:tab/>
            </w:r>
            <w:r>
              <w:rPr>
                <w:noProof/>
                <w:webHidden/>
              </w:rPr>
              <w:fldChar w:fldCharType="begin"/>
            </w:r>
            <w:r>
              <w:rPr>
                <w:noProof/>
                <w:webHidden/>
              </w:rPr>
              <w:instrText xml:space="preserve"> PAGEREF _Toc224844379 \h </w:instrText>
            </w:r>
            <w:r>
              <w:rPr>
                <w:noProof/>
                <w:webHidden/>
              </w:rPr>
            </w:r>
            <w:r>
              <w:rPr>
                <w:noProof/>
                <w:webHidden/>
              </w:rPr>
              <w:fldChar w:fldCharType="separate"/>
            </w:r>
            <w:r>
              <w:rPr>
                <w:noProof/>
                <w:webHidden/>
              </w:rPr>
              <w:t>103</w:t>
            </w:r>
            <w:r>
              <w:rPr>
                <w:noProof/>
                <w:webHidden/>
              </w:rPr>
              <w:fldChar w:fldCharType="end"/>
            </w:r>
          </w:hyperlink>
        </w:p>
        <w:p w14:paraId="317D45E8" w14:textId="088B5FB4" w:rsidR="00F73988" w:rsidRDefault="00F73988">
          <w:pPr>
            <w:pStyle w:val="TDC4"/>
            <w:tabs>
              <w:tab w:val="right" w:leader="dot" w:pos="9394"/>
            </w:tabs>
            <w:rPr>
              <w:noProof/>
            </w:rPr>
          </w:pPr>
          <w:hyperlink w:anchor="_Toc224844380" w:history="1">
            <w:r w:rsidRPr="00E31E8B">
              <w:rPr>
                <w:rStyle w:val="Hipervnculo"/>
                <w:noProof/>
                <w:lang w:val="es-ES"/>
              </w:rPr>
              <w:t>ACTIVOS ENERGÍA ELÉCTRICA</w:t>
            </w:r>
            <w:r>
              <w:rPr>
                <w:noProof/>
                <w:webHidden/>
              </w:rPr>
              <w:tab/>
            </w:r>
            <w:r>
              <w:rPr>
                <w:noProof/>
                <w:webHidden/>
              </w:rPr>
              <w:fldChar w:fldCharType="begin"/>
            </w:r>
            <w:r>
              <w:rPr>
                <w:noProof/>
                <w:webHidden/>
              </w:rPr>
              <w:instrText xml:space="preserve"> PAGEREF _Toc224844380 \h </w:instrText>
            </w:r>
            <w:r>
              <w:rPr>
                <w:noProof/>
                <w:webHidden/>
              </w:rPr>
            </w:r>
            <w:r>
              <w:rPr>
                <w:noProof/>
                <w:webHidden/>
              </w:rPr>
              <w:fldChar w:fldCharType="separate"/>
            </w:r>
            <w:r>
              <w:rPr>
                <w:noProof/>
                <w:webHidden/>
              </w:rPr>
              <w:t>103</w:t>
            </w:r>
            <w:r>
              <w:rPr>
                <w:noProof/>
                <w:webHidden/>
              </w:rPr>
              <w:fldChar w:fldCharType="end"/>
            </w:r>
          </w:hyperlink>
        </w:p>
        <w:p w14:paraId="2DEFB09F" w14:textId="5A39E316" w:rsidR="00F73988" w:rsidRDefault="00F73988">
          <w:pPr>
            <w:pStyle w:val="TDC5"/>
            <w:tabs>
              <w:tab w:val="right" w:leader="dot" w:pos="9394"/>
            </w:tabs>
            <w:rPr>
              <w:noProof/>
            </w:rPr>
          </w:pPr>
          <w:hyperlink w:anchor="_Toc224844381" w:history="1">
            <w:r w:rsidRPr="00E31E8B">
              <w:rPr>
                <w:rStyle w:val="Hipervnculo"/>
                <w:bCs/>
                <w:noProof/>
              </w:rPr>
              <w:t xml:space="preserve">III-6.1 </w:t>
            </w:r>
            <w:r w:rsidRPr="00E31E8B">
              <w:rPr>
                <w:rStyle w:val="Hipervnculo"/>
                <w:noProof/>
              </w:rPr>
              <w:t>Propiedad de la infraestructura construida y cofinanciada.</w:t>
            </w:r>
            <w:r>
              <w:rPr>
                <w:noProof/>
                <w:webHidden/>
              </w:rPr>
              <w:tab/>
            </w:r>
            <w:r>
              <w:rPr>
                <w:noProof/>
                <w:webHidden/>
              </w:rPr>
              <w:fldChar w:fldCharType="begin"/>
            </w:r>
            <w:r>
              <w:rPr>
                <w:noProof/>
                <w:webHidden/>
              </w:rPr>
              <w:instrText xml:space="preserve"> PAGEREF _Toc224844381 \h </w:instrText>
            </w:r>
            <w:r>
              <w:rPr>
                <w:noProof/>
                <w:webHidden/>
              </w:rPr>
            </w:r>
            <w:r>
              <w:rPr>
                <w:noProof/>
                <w:webHidden/>
              </w:rPr>
              <w:fldChar w:fldCharType="separate"/>
            </w:r>
            <w:r>
              <w:rPr>
                <w:noProof/>
                <w:webHidden/>
              </w:rPr>
              <w:t>103</w:t>
            </w:r>
            <w:r>
              <w:rPr>
                <w:noProof/>
                <w:webHidden/>
              </w:rPr>
              <w:fldChar w:fldCharType="end"/>
            </w:r>
          </w:hyperlink>
        </w:p>
        <w:p w14:paraId="5F578758" w14:textId="47028402" w:rsidR="00F73988" w:rsidRDefault="00F73988">
          <w:pPr>
            <w:pStyle w:val="TDC5"/>
            <w:tabs>
              <w:tab w:val="right" w:leader="dot" w:pos="9394"/>
            </w:tabs>
            <w:rPr>
              <w:noProof/>
            </w:rPr>
          </w:pPr>
          <w:hyperlink w:anchor="_Toc224844382" w:history="1">
            <w:r w:rsidRPr="00E31E8B">
              <w:rPr>
                <w:rStyle w:val="Hipervnculo"/>
                <w:bCs/>
                <w:noProof/>
              </w:rPr>
              <w:t xml:space="preserve">III-6.2 </w:t>
            </w:r>
            <w:r w:rsidRPr="00E31E8B">
              <w:rPr>
                <w:rStyle w:val="Hipervnculo"/>
                <w:noProof/>
              </w:rPr>
              <w:t>Valoración de la infraestructura.</w:t>
            </w:r>
            <w:r>
              <w:rPr>
                <w:noProof/>
                <w:webHidden/>
              </w:rPr>
              <w:tab/>
            </w:r>
            <w:r>
              <w:rPr>
                <w:noProof/>
                <w:webHidden/>
              </w:rPr>
              <w:fldChar w:fldCharType="begin"/>
            </w:r>
            <w:r>
              <w:rPr>
                <w:noProof/>
                <w:webHidden/>
              </w:rPr>
              <w:instrText xml:space="preserve"> PAGEREF _Toc224844382 \h </w:instrText>
            </w:r>
            <w:r>
              <w:rPr>
                <w:noProof/>
                <w:webHidden/>
              </w:rPr>
            </w:r>
            <w:r>
              <w:rPr>
                <w:noProof/>
                <w:webHidden/>
              </w:rPr>
              <w:fldChar w:fldCharType="separate"/>
            </w:r>
            <w:r>
              <w:rPr>
                <w:noProof/>
                <w:webHidden/>
              </w:rPr>
              <w:t>103</w:t>
            </w:r>
            <w:r>
              <w:rPr>
                <w:noProof/>
                <w:webHidden/>
              </w:rPr>
              <w:fldChar w:fldCharType="end"/>
            </w:r>
          </w:hyperlink>
        </w:p>
        <w:p w14:paraId="3BF03507" w14:textId="79D5CB89" w:rsidR="00F73988" w:rsidRDefault="00F73988">
          <w:pPr>
            <w:pStyle w:val="TDC5"/>
            <w:tabs>
              <w:tab w:val="right" w:leader="dot" w:pos="9394"/>
            </w:tabs>
            <w:rPr>
              <w:noProof/>
            </w:rPr>
          </w:pPr>
          <w:hyperlink w:anchor="_Toc224844383" w:history="1">
            <w:r w:rsidRPr="00E31E8B">
              <w:rPr>
                <w:rStyle w:val="Hipervnculo"/>
                <w:bCs/>
                <w:noProof/>
              </w:rPr>
              <w:t xml:space="preserve">III-6.3 </w:t>
            </w:r>
            <w:r w:rsidRPr="00E31E8B">
              <w:rPr>
                <w:rStyle w:val="Hipervnculo"/>
                <w:noProof/>
              </w:rPr>
              <w:t>Determinación de porcentajes de copropiedad de los activos de proyectos de energía eléctrica cuando hay cofinanciación.</w:t>
            </w:r>
            <w:r>
              <w:rPr>
                <w:noProof/>
                <w:webHidden/>
              </w:rPr>
              <w:tab/>
            </w:r>
            <w:r>
              <w:rPr>
                <w:noProof/>
                <w:webHidden/>
              </w:rPr>
              <w:fldChar w:fldCharType="begin"/>
            </w:r>
            <w:r>
              <w:rPr>
                <w:noProof/>
                <w:webHidden/>
              </w:rPr>
              <w:instrText xml:space="preserve"> PAGEREF _Toc224844383 \h </w:instrText>
            </w:r>
            <w:r>
              <w:rPr>
                <w:noProof/>
                <w:webHidden/>
              </w:rPr>
            </w:r>
            <w:r>
              <w:rPr>
                <w:noProof/>
                <w:webHidden/>
              </w:rPr>
              <w:fldChar w:fldCharType="separate"/>
            </w:r>
            <w:r>
              <w:rPr>
                <w:noProof/>
                <w:webHidden/>
              </w:rPr>
              <w:t>103</w:t>
            </w:r>
            <w:r>
              <w:rPr>
                <w:noProof/>
                <w:webHidden/>
              </w:rPr>
              <w:fldChar w:fldCharType="end"/>
            </w:r>
          </w:hyperlink>
        </w:p>
        <w:p w14:paraId="092F2344" w14:textId="64D513D3" w:rsidR="00F73988" w:rsidRDefault="00F73988">
          <w:pPr>
            <w:pStyle w:val="TDC5"/>
            <w:tabs>
              <w:tab w:val="right" w:leader="dot" w:pos="9394"/>
            </w:tabs>
            <w:rPr>
              <w:noProof/>
            </w:rPr>
          </w:pPr>
          <w:hyperlink w:anchor="_Toc224844384" w:history="1">
            <w:r w:rsidRPr="00E31E8B">
              <w:rPr>
                <w:rStyle w:val="Hipervnculo"/>
                <w:noProof/>
              </w:rPr>
              <w:t>III-</w:t>
            </w:r>
            <w:r w:rsidRPr="00E31E8B">
              <w:rPr>
                <w:rStyle w:val="Hipervnculo"/>
                <w:bCs/>
                <w:noProof/>
              </w:rPr>
              <w:t xml:space="preserve">6.4 </w:t>
            </w:r>
            <w:r w:rsidRPr="00E31E8B">
              <w:rPr>
                <w:rStyle w:val="Hipervnculo"/>
                <w:noProof/>
              </w:rPr>
              <w:t>Contabilización de aportes de la Nación para proyectos de Energía Eléctrica.</w:t>
            </w:r>
            <w:r>
              <w:rPr>
                <w:noProof/>
                <w:webHidden/>
              </w:rPr>
              <w:tab/>
            </w:r>
            <w:r>
              <w:rPr>
                <w:noProof/>
                <w:webHidden/>
              </w:rPr>
              <w:fldChar w:fldCharType="begin"/>
            </w:r>
            <w:r>
              <w:rPr>
                <w:noProof/>
                <w:webHidden/>
              </w:rPr>
              <w:instrText xml:space="preserve"> PAGEREF _Toc224844384 \h </w:instrText>
            </w:r>
            <w:r>
              <w:rPr>
                <w:noProof/>
                <w:webHidden/>
              </w:rPr>
            </w:r>
            <w:r>
              <w:rPr>
                <w:noProof/>
                <w:webHidden/>
              </w:rPr>
              <w:fldChar w:fldCharType="separate"/>
            </w:r>
            <w:r>
              <w:rPr>
                <w:noProof/>
                <w:webHidden/>
              </w:rPr>
              <w:t>104</w:t>
            </w:r>
            <w:r>
              <w:rPr>
                <w:noProof/>
                <w:webHidden/>
              </w:rPr>
              <w:fldChar w:fldCharType="end"/>
            </w:r>
          </w:hyperlink>
        </w:p>
        <w:p w14:paraId="70689362" w14:textId="3C6FCAAD" w:rsidR="00F73988" w:rsidRDefault="00F73988">
          <w:pPr>
            <w:pStyle w:val="TDC5"/>
            <w:tabs>
              <w:tab w:val="right" w:leader="dot" w:pos="9394"/>
            </w:tabs>
            <w:rPr>
              <w:noProof/>
            </w:rPr>
          </w:pPr>
          <w:hyperlink w:anchor="_Toc224844385" w:history="1">
            <w:r w:rsidRPr="00E31E8B">
              <w:rPr>
                <w:rStyle w:val="Hipervnculo"/>
                <w:bCs/>
                <w:noProof/>
              </w:rPr>
              <w:t xml:space="preserve">III-6.5 </w:t>
            </w:r>
            <w:r w:rsidRPr="00E31E8B">
              <w:rPr>
                <w:rStyle w:val="Hipervnculo"/>
                <w:noProof/>
              </w:rPr>
              <w:t>Contabilización de la reposición y expansión de la infraestructura cofinanciada y actualización del inventario para proyectos de Energía Eléctrica.</w:t>
            </w:r>
            <w:r>
              <w:rPr>
                <w:noProof/>
                <w:webHidden/>
              </w:rPr>
              <w:tab/>
            </w:r>
            <w:r>
              <w:rPr>
                <w:noProof/>
                <w:webHidden/>
              </w:rPr>
              <w:fldChar w:fldCharType="begin"/>
            </w:r>
            <w:r>
              <w:rPr>
                <w:noProof/>
                <w:webHidden/>
              </w:rPr>
              <w:instrText xml:space="preserve"> PAGEREF _Toc224844385 \h </w:instrText>
            </w:r>
            <w:r>
              <w:rPr>
                <w:noProof/>
                <w:webHidden/>
              </w:rPr>
            </w:r>
            <w:r>
              <w:rPr>
                <w:noProof/>
                <w:webHidden/>
              </w:rPr>
              <w:fldChar w:fldCharType="separate"/>
            </w:r>
            <w:r>
              <w:rPr>
                <w:noProof/>
                <w:webHidden/>
              </w:rPr>
              <w:t>105</w:t>
            </w:r>
            <w:r>
              <w:rPr>
                <w:noProof/>
                <w:webHidden/>
              </w:rPr>
              <w:fldChar w:fldCharType="end"/>
            </w:r>
          </w:hyperlink>
        </w:p>
        <w:p w14:paraId="76EB12D4" w14:textId="6CC20B83" w:rsidR="00F73988" w:rsidRDefault="00F73988">
          <w:pPr>
            <w:pStyle w:val="TDC5"/>
            <w:tabs>
              <w:tab w:val="right" w:leader="dot" w:pos="9394"/>
            </w:tabs>
            <w:rPr>
              <w:noProof/>
            </w:rPr>
          </w:pPr>
          <w:hyperlink w:anchor="_Toc224844386" w:history="1">
            <w:r w:rsidRPr="00E31E8B">
              <w:rPr>
                <w:rStyle w:val="Hipervnculo"/>
                <w:bCs/>
                <w:noProof/>
              </w:rPr>
              <w:t xml:space="preserve">III-6.6 </w:t>
            </w:r>
            <w:r w:rsidRPr="00E31E8B">
              <w:rPr>
                <w:rStyle w:val="Hipervnculo"/>
                <w:noProof/>
              </w:rPr>
              <w:t>AOM a los activos en ZNI.</w:t>
            </w:r>
            <w:r>
              <w:rPr>
                <w:noProof/>
                <w:webHidden/>
              </w:rPr>
              <w:tab/>
            </w:r>
            <w:r>
              <w:rPr>
                <w:noProof/>
                <w:webHidden/>
              </w:rPr>
              <w:fldChar w:fldCharType="begin"/>
            </w:r>
            <w:r>
              <w:rPr>
                <w:noProof/>
                <w:webHidden/>
              </w:rPr>
              <w:instrText xml:space="preserve"> PAGEREF _Toc224844386 \h </w:instrText>
            </w:r>
            <w:r>
              <w:rPr>
                <w:noProof/>
                <w:webHidden/>
              </w:rPr>
            </w:r>
            <w:r>
              <w:rPr>
                <w:noProof/>
                <w:webHidden/>
              </w:rPr>
              <w:fldChar w:fldCharType="separate"/>
            </w:r>
            <w:r>
              <w:rPr>
                <w:noProof/>
                <w:webHidden/>
              </w:rPr>
              <w:t>105</w:t>
            </w:r>
            <w:r>
              <w:rPr>
                <w:noProof/>
                <w:webHidden/>
              </w:rPr>
              <w:fldChar w:fldCharType="end"/>
            </w:r>
          </w:hyperlink>
        </w:p>
        <w:p w14:paraId="333E5583" w14:textId="2540AD4A" w:rsidR="00F73988" w:rsidRDefault="00F73988">
          <w:pPr>
            <w:pStyle w:val="TDC5"/>
            <w:tabs>
              <w:tab w:val="right" w:leader="dot" w:pos="9394"/>
            </w:tabs>
            <w:rPr>
              <w:noProof/>
            </w:rPr>
          </w:pPr>
          <w:hyperlink w:anchor="_Toc224844387" w:history="1">
            <w:r w:rsidRPr="00E31E8B">
              <w:rPr>
                <w:rStyle w:val="Hipervnculo"/>
                <w:bCs/>
                <w:noProof/>
              </w:rPr>
              <w:t xml:space="preserve">III-6.7 </w:t>
            </w:r>
            <w:r w:rsidRPr="00E31E8B">
              <w:rPr>
                <w:rStyle w:val="Hipervnculo"/>
                <w:noProof/>
              </w:rPr>
              <w:t>AOM a los activos en SIN.</w:t>
            </w:r>
            <w:r>
              <w:rPr>
                <w:noProof/>
                <w:webHidden/>
              </w:rPr>
              <w:tab/>
            </w:r>
            <w:r>
              <w:rPr>
                <w:noProof/>
                <w:webHidden/>
              </w:rPr>
              <w:fldChar w:fldCharType="begin"/>
            </w:r>
            <w:r>
              <w:rPr>
                <w:noProof/>
                <w:webHidden/>
              </w:rPr>
              <w:instrText xml:space="preserve"> PAGEREF _Toc224844387 \h </w:instrText>
            </w:r>
            <w:r>
              <w:rPr>
                <w:noProof/>
                <w:webHidden/>
              </w:rPr>
            </w:r>
            <w:r>
              <w:rPr>
                <w:noProof/>
                <w:webHidden/>
              </w:rPr>
              <w:fldChar w:fldCharType="separate"/>
            </w:r>
            <w:r>
              <w:rPr>
                <w:noProof/>
                <w:webHidden/>
              </w:rPr>
              <w:t>106</w:t>
            </w:r>
            <w:r>
              <w:rPr>
                <w:noProof/>
                <w:webHidden/>
              </w:rPr>
              <w:fldChar w:fldCharType="end"/>
            </w:r>
          </w:hyperlink>
        </w:p>
        <w:p w14:paraId="79635E39" w14:textId="12F01066" w:rsidR="00F73988" w:rsidRDefault="00F73988">
          <w:pPr>
            <w:pStyle w:val="TDC5"/>
            <w:tabs>
              <w:tab w:val="right" w:leader="dot" w:pos="9394"/>
            </w:tabs>
            <w:rPr>
              <w:noProof/>
            </w:rPr>
          </w:pPr>
          <w:hyperlink w:anchor="_Toc224844388" w:history="1">
            <w:r w:rsidRPr="00E31E8B">
              <w:rPr>
                <w:rStyle w:val="Hipervnculo"/>
                <w:noProof/>
              </w:rPr>
              <w:t>III-6.8  Transferencia de activos.</w:t>
            </w:r>
            <w:r>
              <w:rPr>
                <w:noProof/>
                <w:webHidden/>
              </w:rPr>
              <w:tab/>
            </w:r>
            <w:r>
              <w:rPr>
                <w:noProof/>
                <w:webHidden/>
              </w:rPr>
              <w:fldChar w:fldCharType="begin"/>
            </w:r>
            <w:r>
              <w:rPr>
                <w:noProof/>
                <w:webHidden/>
              </w:rPr>
              <w:instrText xml:space="preserve"> PAGEREF _Toc224844388 \h </w:instrText>
            </w:r>
            <w:r>
              <w:rPr>
                <w:noProof/>
                <w:webHidden/>
              </w:rPr>
            </w:r>
            <w:r>
              <w:rPr>
                <w:noProof/>
                <w:webHidden/>
              </w:rPr>
              <w:fldChar w:fldCharType="separate"/>
            </w:r>
            <w:r>
              <w:rPr>
                <w:noProof/>
                <w:webHidden/>
              </w:rPr>
              <w:t>106</w:t>
            </w:r>
            <w:r>
              <w:rPr>
                <w:noProof/>
                <w:webHidden/>
              </w:rPr>
              <w:fldChar w:fldCharType="end"/>
            </w:r>
          </w:hyperlink>
        </w:p>
        <w:p w14:paraId="7422B687" w14:textId="28677367" w:rsidR="00F73988" w:rsidRDefault="00F73988">
          <w:pPr>
            <w:pStyle w:val="TDC5"/>
            <w:tabs>
              <w:tab w:val="right" w:leader="dot" w:pos="9394"/>
            </w:tabs>
            <w:rPr>
              <w:noProof/>
            </w:rPr>
          </w:pPr>
          <w:hyperlink w:anchor="_Toc224844389" w:history="1">
            <w:r w:rsidRPr="00E31E8B">
              <w:rPr>
                <w:rStyle w:val="Hipervnculo"/>
                <w:bCs/>
                <w:noProof/>
              </w:rPr>
              <w:t xml:space="preserve">III-6.9  </w:t>
            </w:r>
            <w:r w:rsidRPr="00E31E8B">
              <w:rPr>
                <w:rStyle w:val="Hipervnculo"/>
                <w:noProof/>
              </w:rPr>
              <w:t>Responsabilidad sobre los activos.</w:t>
            </w:r>
            <w:r>
              <w:rPr>
                <w:noProof/>
                <w:webHidden/>
              </w:rPr>
              <w:tab/>
            </w:r>
            <w:r>
              <w:rPr>
                <w:noProof/>
                <w:webHidden/>
              </w:rPr>
              <w:fldChar w:fldCharType="begin"/>
            </w:r>
            <w:r>
              <w:rPr>
                <w:noProof/>
                <w:webHidden/>
              </w:rPr>
              <w:instrText xml:space="preserve"> PAGEREF _Toc224844389 \h </w:instrText>
            </w:r>
            <w:r>
              <w:rPr>
                <w:noProof/>
                <w:webHidden/>
              </w:rPr>
            </w:r>
            <w:r>
              <w:rPr>
                <w:noProof/>
                <w:webHidden/>
              </w:rPr>
              <w:fldChar w:fldCharType="separate"/>
            </w:r>
            <w:r>
              <w:rPr>
                <w:noProof/>
                <w:webHidden/>
              </w:rPr>
              <w:t>107</w:t>
            </w:r>
            <w:r>
              <w:rPr>
                <w:noProof/>
                <w:webHidden/>
              </w:rPr>
              <w:fldChar w:fldCharType="end"/>
            </w:r>
          </w:hyperlink>
        </w:p>
        <w:p w14:paraId="72C142C4" w14:textId="0D5385A7" w:rsidR="00F73988" w:rsidRDefault="00F73988">
          <w:pPr>
            <w:pStyle w:val="TDC5"/>
            <w:tabs>
              <w:tab w:val="right" w:leader="dot" w:pos="9394"/>
            </w:tabs>
            <w:rPr>
              <w:noProof/>
            </w:rPr>
          </w:pPr>
          <w:hyperlink w:anchor="_Toc224844390" w:history="1">
            <w:r w:rsidRPr="00E31E8B">
              <w:rPr>
                <w:rStyle w:val="Hipervnculo"/>
                <w:bCs/>
                <w:noProof/>
              </w:rPr>
              <w:t>III-6.10 La</w:t>
            </w:r>
            <w:r w:rsidRPr="00E31E8B">
              <w:rPr>
                <w:rStyle w:val="Hipervnculo"/>
                <w:noProof/>
              </w:rPr>
              <w:t xml:space="preserve"> infraestructura frente a la tarifa.</w:t>
            </w:r>
            <w:r>
              <w:rPr>
                <w:noProof/>
                <w:webHidden/>
              </w:rPr>
              <w:tab/>
            </w:r>
            <w:r>
              <w:rPr>
                <w:noProof/>
                <w:webHidden/>
              </w:rPr>
              <w:fldChar w:fldCharType="begin"/>
            </w:r>
            <w:r>
              <w:rPr>
                <w:noProof/>
                <w:webHidden/>
              </w:rPr>
              <w:instrText xml:space="preserve"> PAGEREF _Toc224844390 \h </w:instrText>
            </w:r>
            <w:r>
              <w:rPr>
                <w:noProof/>
                <w:webHidden/>
              </w:rPr>
            </w:r>
            <w:r>
              <w:rPr>
                <w:noProof/>
                <w:webHidden/>
              </w:rPr>
              <w:fldChar w:fldCharType="separate"/>
            </w:r>
            <w:r>
              <w:rPr>
                <w:noProof/>
                <w:webHidden/>
              </w:rPr>
              <w:t>107</w:t>
            </w:r>
            <w:r>
              <w:rPr>
                <w:noProof/>
                <w:webHidden/>
              </w:rPr>
              <w:fldChar w:fldCharType="end"/>
            </w:r>
          </w:hyperlink>
        </w:p>
        <w:p w14:paraId="7B2B3E6E" w14:textId="6C161CE3" w:rsidR="00F73988" w:rsidRDefault="00F73988">
          <w:pPr>
            <w:pStyle w:val="TDC5"/>
            <w:tabs>
              <w:tab w:val="right" w:leader="dot" w:pos="9394"/>
            </w:tabs>
            <w:rPr>
              <w:noProof/>
            </w:rPr>
          </w:pPr>
          <w:hyperlink w:anchor="_Toc224844391" w:history="1">
            <w:r w:rsidRPr="00E31E8B">
              <w:rPr>
                <w:rStyle w:val="Hipervnculo"/>
                <w:bCs/>
                <w:noProof/>
              </w:rPr>
              <w:t xml:space="preserve">III-6.11 </w:t>
            </w:r>
            <w:r w:rsidRPr="00E31E8B">
              <w:rPr>
                <w:rStyle w:val="Hipervnculo"/>
                <w:noProof/>
              </w:rPr>
              <w:t>Activos para prestación del servicio</w:t>
            </w:r>
            <w:r>
              <w:rPr>
                <w:noProof/>
                <w:webHidden/>
              </w:rPr>
              <w:tab/>
            </w:r>
            <w:r>
              <w:rPr>
                <w:noProof/>
                <w:webHidden/>
              </w:rPr>
              <w:fldChar w:fldCharType="begin"/>
            </w:r>
            <w:r>
              <w:rPr>
                <w:noProof/>
                <w:webHidden/>
              </w:rPr>
              <w:instrText xml:space="preserve"> PAGEREF _Toc224844391 \h </w:instrText>
            </w:r>
            <w:r>
              <w:rPr>
                <w:noProof/>
                <w:webHidden/>
              </w:rPr>
            </w:r>
            <w:r>
              <w:rPr>
                <w:noProof/>
                <w:webHidden/>
              </w:rPr>
              <w:fldChar w:fldCharType="separate"/>
            </w:r>
            <w:r>
              <w:rPr>
                <w:noProof/>
                <w:webHidden/>
              </w:rPr>
              <w:t>108</w:t>
            </w:r>
            <w:r>
              <w:rPr>
                <w:noProof/>
                <w:webHidden/>
              </w:rPr>
              <w:fldChar w:fldCharType="end"/>
            </w:r>
          </w:hyperlink>
        </w:p>
        <w:p w14:paraId="4506EB16" w14:textId="07BE7A2F" w:rsidR="00F73988" w:rsidRDefault="00F73988">
          <w:pPr>
            <w:pStyle w:val="TDC5"/>
            <w:tabs>
              <w:tab w:val="right" w:leader="dot" w:pos="9394"/>
            </w:tabs>
            <w:rPr>
              <w:noProof/>
            </w:rPr>
          </w:pPr>
          <w:hyperlink w:anchor="_Toc224844392" w:history="1">
            <w:r w:rsidRPr="00E31E8B">
              <w:rPr>
                <w:rStyle w:val="Hipervnculo"/>
                <w:bCs/>
                <w:noProof/>
              </w:rPr>
              <w:t xml:space="preserve">III-6.12  </w:t>
            </w:r>
            <w:r w:rsidRPr="00E31E8B">
              <w:rPr>
                <w:rStyle w:val="Hipervnculo"/>
                <w:noProof/>
              </w:rPr>
              <w:t>Del incumplimiento en la prestación del servicio público.</w:t>
            </w:r>
            <w:r>
              <w:rPr>
                <w:noProof/>
                <w:webHidden/>
              </w:rPr>
              <w:tab/>
            </w:r>
            <w:r>
              <w:rPr>
                <w:noProof/>
                <w:webHidden/>
              </w:rPr>
              <w:fldChar w:fldCharType="begin"/>
            </w:r>
            <w:r>
              <w:rPr>
                <w:noProof/>
                <w:webHidden/>
              </w:rPr>
              <w:instrText xml:space="preserve"> PAGEREF _Toc224844392 \h </w:instrText>
            </w:r>
            <w:r>
              <w:rPr>
                <w:noProof/>
                <w:webHidden/>
              </w:rPr>
            </w:r>
            <w:r>
              <w:rPr>
                <w:noProof/>
                <w:webHidden/>
              </w:rPr>
              <w:fldChar w:fldCharType="separate"/>
            </w:r>
            <w:r>
              <w:rPr>
                <w:noProof/>
                <w:webHidden/>
              </w:rPr>
              <w:t>109</w:t>
            </w:r>
            <w:r>
              <w:rPr>
                <w:noProof/>
                <w:webHidden/>
              </w:rPr>
              <w:fldChar w:fldCharType="end"/>
            </w:r>
          </w:hyperlink>
        </w:p>
        <w:p w14:paraId="35757ED7" w14:textId="1C3B4AB7" w:rsidR="00F73988" w:rsidRDefault="00F73988">
          <w:pPr>
            <w:pStyle w:val="TDC1"/>
            <w:tabs>
              <w:tab w:val="right" w:leader="dot" w:pos="9394"/>
            </w:tabs>
            <w:rPr>
              <w:rFonts w:eastAsiaTheme="minorEastAsia"/>
              <w:noProof/>
              <w:kern w:val="2"/>
              <w:sz w:val="24"/>
              <w:szCs w:val="24"/>
              <w:lang w:eastAsia="es-CO"/>
              <w14:ligatures w14:val="standardContextual"/>
            </w:rPr>
          </w:pPr>
          <w:hyperlink w:anchor="_Toc224844393" w:history="1">
            <w:r w:rsidRPr="00E31E8B">
              <w:rPr>
                <w:rStyle w:val="Hipervnculo"/>
                <w:noProof/>
              </w:rPr>
              <w:t>TITULO IV</w:t>
            </w:r>
            <w:r>
              <w:rPr>
                <w:noProof/>
                <w:webHidden/>
              </w:rPr>
              <w:tab/>
            </w:r>
            <w:r>
              <w:rPr>
                <w:noProof/>
                <w:webHidden/>
              </w:rPr>
              <w:fldChar w:fldCharType="begin"/>
            </w:r>
            <w:r>
              <w:rPr>
                <w:noProof/>
                <w:webHidden/>
              </w:rPr>
              <w:instrText xml:space="preserve"> PAGEREF _Toc224844393 \h </w:instrText>
            </w:r>
            <w:r>
              <w:rPr>
                <w:noProof/>
                <w:webHidden/>
              </w:rPr>
            </w:r>
            <w:r>
              <w:rPr>
                <w:noProof/>
                <w:webHidden/>
              </w:rPr>
              <w:fldChar w:fldCharType="separate"/>
            </w:r>
            <w:r>
              <w:rPr>
                <w:noProof/>
                <w:webHidden/>
              </w:rPr>
              <w:t>110</w:t>
            </w:r>
            <w:r>
              <w:rPr>
                <w:noProof/>
                <w:webHidden/>
              </w:rPr>
              <w:fldChar w:fldCharType="end"/>
            </w:r>
          </w:hyperlink>
        </w:p>
        <w:p w14:paraId="778FBB65" w14:textId="12FB4C46" w:rsidR="00F73988" w:rsidRDefault="00F73988">
          <w:pPr>
            <w:pStyle w:val="TDC2"/>
            <w:tabs>
              <w:tab w:val="right" w:leader="dot" w:pos="9394"/>
            </w:tabs>
            <w:rPr>
              <w:rFonts w:eastAsiaTheme="minorEastAsia"/>
              <w:noProof/>
              <w:kern w:val="2"/>
              <w:sz w:val="24"/>
              <w:szCs w:val="24"/>
              <w:lang w:eastAsia="es-CO"/>
              <w14:ligatures w14:val="standardContextual"/>
            </w:rPr>
          </w:pPr>
          <w:hyperlink w:anchor="_Toc224844394" w:history="1">
            <w:r w:rsidRPr="00E31E8B">
              <w:rPr>
                <w:rStyle w:val="Hipervnculo"/>
                <w:noProof/>
              </w:rPr>
              <w:t>FUNCIONES ADICIONALES ASIGNADAS A FONENERGIA</w:t>
            </w:r>
            <w:r>
              <w:rPr>
                <w:noProof/>
                <w:webHidden/>
              </w:rPr>
              <w:tab/>
            </w:r>
            <w:r>
              <w:rPr>
                <w:noProof/>
                <w:webHidden/>
              </w:rPr>
              <w:fldChar w:fldCharType="begin"/>
            </w:r>
            <w:r>
              <w:rPr>
                <w:noProof/>
                <w:webHidden/>
              </w:rPr>
              <w:instrText xml:space="preserve"> PAGEREF _Toc224844394 \h </w:instrText>
            </w:r>
            <w:r>
              <w:rPr>
                <w:noProof/>
                <w:webHidden/>
              </w:rPr>
            </w:r>
            <w:r>
              <w:rPr>
                <w:noProof/>
                <w:webHidden/>
              </w:rPr>
              <w:fldChar w:fldCharType="separate"/>
            </w:r>
            <w:r>
              <w:rPr>
                <w:noProof/>
                <w:webHidden/>
              </w:rPr>
              <w:t>110</w:t>
            </w:r>
            <w:r>
              <w:rPr>
                <w:noProof/>
                <w:webHidden/>
              </w:rPr>
              <w:fldChar w:fldCharType="end"/>
            </w:r>
          </w:hyperlink>
        </w:p>
        <w:p w14:paraId="601501DC" w14:textId="08D5B30C"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395" w:history="1">
            <w:r w:rsidRPr="00E31E8B">
              <w:rPr>
                <w:rStyle w:val="Hipervnculo"/>
                <w:noProof/>
              </w:rPr>
              <w:t>CAPÍTULO I</w:t>
            </w:r>
            <w:r>
              <w:rPr>
                <w:noProof/>
                <w:webHidden/>
              </w:rPr>
              <w:tab/>
            </w:r>
            <w:r>
              <w:rPr>
                <w:noProof/>
                <w:webHidden/>
              </w:rPr>
              <w:fldChar w:fldCharType="begin"/>
            </w:r>
            <w:r>
              <w:rPr>
                <w:noProof/>
                <w:webHidden/>
              </w:rPr>
              <w:instrText xml:space="preserve"> PAGEREF _Toc224844395 \h </w:instrText>
            </w:r>
            <w:r>
              <w:rPr>
                <w:noProof/>
                <w:webHidden/>
              </w:rPr>
            </w:r>
            <w:r>
              <w:rPr>
                <w:noProof/>
                <w:webHidden/>
              </w:rPr>
              <w:fldChar w:fldCharType="separate"/>
            </w:r>
            <w:r>
              <w:rPr>
                <w:noProof/>
                <w:webHidden/>
              </w:rPr>
              <w:t>110</w:t>
            </w:r>
            <w:r>
              <w:rPr>
                <w:noProof/>
                <w:webHidden/>
              </w:rPr>
              <w:fldChar w:fldCharType="end"/>
            </w:r>
          </w:hyperlink>
        </w:p>
        <w:p w14:paraId="20F52B9E" w14:textId="5A0A5C97" w:rsidR="00F73988" w:rsidRDefault="00F73988">
          <w:pPr>
            <w:pStyle w:val="TDC4"/>
            <w:tabs>
              <w:tab w:val="right" w:leader="dot" w:pos="9394"/>
            </w:tabs>
            <w:rPr>
              <w:noProof/>
            </w:rPr>
          </w:pPr>
          <w:hyperlink w:anchor="_Toc224844396" w:history="1">
            <w:r w:rsidRPr="00E31E8B">
              <w:rPr>
                <w:rStyle w:val="Hipervnculo"/>
                <w:noProof/>
              </w:rPr>
              <w:t>CONSTRUCCIÓN DE INFRAESTRUCTURA CON RECURSOS DEL FOES</w:t>
            </w:r>
            <w:r>
              <w:rPr>
                <w:noProof/>
                <w:webHidden/>
              </w:rPr>
              <w:tab/>
            </w:r>
            <w:r>
              <w:rPr>
                <w:noProof/>
                <w:webHidden/>
              </w:rPr>
              <w:fldChar w:fldCharType="begin"/>
            </w:r>
            <w:r>
              <w:rPr>
                <w:noProof/>
                <w:webHidden/>
              </w:rPr>
              <w:instrText xml:space="preserve"> PAGEREF _Toc224844396 \h </w:instrText>
            </w:r>
            <w:r>
              <w:rPr>
                <w:noProof/>
                <w:webHidden/>
              </w:rPr>
            </w:r>
            <w:r>
              <w:rPr>
                <w:noProof/>
                <w:webHidden/>
              </w:rPr>
              <w:fldChar w:fldCharType="separate"/>
            </w:r>
            <w:r>
              <w:rPr>
                <w:noProof/>
                <w:webHidden/>
              </w:rPr>
              <w:t>110</w:t>
            </w:r>
            <w:r>
              <w:rPr>
                <w:noProof/>
                <w:webHidden/>
              </w:rPr>
              <w:fldChar w:fldCharType="end"/>
            </w:r>
          </w:hyperlink>
        </w:p>
        <w:p w14:paraId="789705F1" w14:textId="3B317E6D" w:rsidR="00F73988" w:rsidRDefault="00F73988">
          <w:pPr>
            <w:pStyle w:val="TDC5"/>
            <w:tabs>
              <w:tab w:val="right" w:leader="dot" w:pos="9394"/>
            </w:tabs>
            <w:rPr>
              <w:noProof/>
            </w:rPr>
          </w:pPr>
          <w:hyperlink w:anchor="_Toc224844397" w:history="1">
            <w:r w:rsidRPr="00E31E8B">
              <w:rPr>
                <w:rStyle w:val="Hipervnculo"/>
                <w:noProof/>
              </w:rPr>
              <w:t>IV-1.1 Antecedentes del FOES</w:t>
            </w:r>
            <w:r>
              <w:rPr>
                <w:noProof/>
                <w:webHidden/>
              </w:rPr>
              <w:tab/>
            </w:r>
            <w:r>
              <w:rPr>
                <w:noProof/>
                <w:webHidden/>
              </w:rPr>
              <w:fldChar w:fldCharType="begin"/>
            </w:r>
            <w:r>
              <w:rPr>
                <w:noProof/>
                <w:webHidden/>
              </w:rPr>
              <w:instrText xml:space="preserve"> PAGEREF _Toc224844397 \h </w:instrText>
            </w:r>
            <w:r>
              <w:rPr>
                <w:noProof/>
                <w:webHidden/>
              </w:rPr>
            </w:r>
            <w:r>
              <w:rPr>
                <w:noProof/>
                <w:webHidden/>
              </w:rPr>
              <w:fldChar w:fldCharType="separate"/>
            </w:r>
            <w:r>
              <w:rPr>
                <w:noProof/>
                <w:webHidden/>
              </w:rPr>
              <w:t>110</w:t>
            </w:r>
            <w:r>
              <w:rPr>
                <w:noProof/>
                <w:webHidden/>
              </w:rPr>
              <w:fldChar w:fldCharType="end"/>
            </w:r>
          </w:hyperlink>
        </w:p>
        <w:p w14:paraId="54CBDB92" w14:textId="4EBC050F" w:rsidR="00F73988" w:rsidRDefault="00F73988">
          <w:pPr>
            <w:pStyle w:val="TDC5"/>
            <w:tabs>
              <w:tab w:val="right" w:leader="dot" w:pos="9394"/>
            </w:tabs>
            <w:rPr>
              <w:noProof/>
            </w:rPr>
          </w:pPr>
          <w:hyperlink w:anchor="_Toc224844398" w:history="1">
            <w:r w:rsidRPr="00E31E8B">
              <w:rPr>
                <w:rStyle w:val="Hipervnculo"/>
                <w:noProof/>
              </w:rPr>
              <w:t>IV-1.2 Proyectos con FNCER en Áreas Especiales</w:t>
            </w:r>
            <w:r>
              <w:rPr>
                <w:noProof/>
                <w:webHidden/>
              </w:rPr>
              <w:tab/>
            </w:r>
            <w:r>
              <w:rPr>
                <w:noProof/>
                <w:webHidden/>
              </w:rPr>
              <w:fldChar w:fldCharType="begin"/>
            </w:r>
            <w:r>
              <w:rPr>
                <w:noProof/>
                <w:webHidden/>
              </w:rPr>
              <w:instrText xml:space="preserve"> PAGEREF _Toc224844398 \h </w:instrText>
            </w:r>
            <w:r>
              <w:rPr>
                <w:noProof/>
                <w:webHidden/>
              </w:rPr>
            </w:r>
            <w:r>
              <w:rPr>
                <w:noProof/>
                <w:webHidden/>
              </w:rPr>
              <w:fldChar w:fldCharType="separate"/>
            </w:r>
            <w:r>
              <w:rPr>
                <w:noProof/>
                <w:webHidden/>
              </w:rPr>
              <w:t>113</w:t>
            </w:r>
            <w:r>
              <w:rPr>
                <w:noProof/>
                <w:webHidden/>
              </w:rPr>
              <w:fldChar w:fldCharType="end"/>
            </w:r>
          </w:hyperlink>
        </w:p>
        <w:p w14:paraId="2BB354F8" w14:textId="09DFE774" w:rsidR="00F73988" w:rsidRDefault="00F73988">
          <w:pPr>
            <w:pStyle w:val="TDC5"/>
            <w:tabs>
              <w:tab w:val="right" w:leader="dot" w:pos="9394"/>
            </w:tabs>
            <w:rPr>
              <w:noProof/>
            </w:rPr>
          </w:pPr>
          <w:hyperlink w:anchor="_Toc224844399" w:history="1">
            <w:r w:rsidRPr="00E31E8B">
              <w:rPr>
                <w:rStyle w:val="Hipervnculo"/>
                <w:noProof/>
              </w:rPr>
              <w:t>IV-1.3  Requisitos para la presentación de proyectos</w:t>
            </w:r>
            <w:r>
              <w:rPr>
                <w:noProof/>
                <w:webHidden/>
              </w:rPr>
              <w:tab/>
            </w:r>
            <w:r>
              <w:rPr>
                <w:noProof/>
                <w:webHidden/>
              </w:rPr>
              <w:fldChar w:fldCharType="begin"/>
            </w:r>
            <w:r>
              <w:rPr>
                <w:noProof/>
                <w:webHidden/>
              </w:rPr>
              <w:instrText xml:space="preserve"> PAGEREF _Toc224844399 \h </w:instrText>
            </w:r>
            <w:r>
              <w:rPr>
                <w:noProof/>
                <w:webHidden/>
              </w:rPr>
            </w:r>
            <w:r>
              <w:rPr>
                <w:noProof/>
                <w:webHidden/>
              </w:rPr>
              <w:fldChar w:fldCharType="separate"/>
            </w:r>
            <w:r>
              <w:rPr>
                <w:noProof/>
                <w:webHidden/>
              </w:rPr>
              <w:t>113</w:t>
            </w:r>
            <w:r>
              <w:rPr>
                <w:noProof/>
                <w:webHidden/>
              </w:rPr>
              <w:fldChar w:fldCharType="end"/>
            </w:r>
          </w:hyperlink>
        </w:p>
        <w:p w14:paraId="19CF7B46" w14:textId="55E323E9"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400" w:history="1">
            <w:r w:rsidRPr="00E31E8B">
              <w:rPr>
                <w:rStyle w:val="Hipervnculo"/>
                <w:noProof/>
              </w:rPr>
              <w:t>CAPÍTULO II</w:t>
            </w:r>
            <w:r>
              <w:rPr>
                <w:noProof/>
                <w:webHidden/>
              </w:rPr>
              <w:tab/>
            </w:r>
            <w:r>
              <w:rPr>
                <w:noProof/>
                <w:webHidden/>
              </w:rPr>
              <w:fldChar w:fldCharType="begin"/>
            </w:r>
            <w:r>
              <w:rPr>
                <w:noProof/>
                <w:webHidden/>
              </w:rPr>
              <w:instrText xml:space="preserve"> PAGEREF _Toc224844400 \h </w:instrText>
            </w:r>
            <w:r>
              <w:rPr>
                <w:noProof/>
                <w:webHidden/>
              </w:rPr>
            </w:r>
            <w:r>
              <w:rPr>
                <w:noProof/>
                <w:webHidden/>
              </w:rPr>
              <w:fldChar w:fldCharType="separate"/>
            </w:r>
            <w:r>
              <w:rPr>
                <w:noProof/>
                <w:webHidden/>
              </w:rPr>
              <w:t>115</w:t>
            </w:r>
            <w:r>
              <w:rPr>
                <w:noProof/>
                <w:webHidden/>
              </w:rPr>
              <w:fldChar w:fldCharType="end"/>
            </w:r>
          </w:hyperlink>
        </w:p>
        <w:p w14:paraId="47B8E35A" w14:textId="52377944" w:rsidR="00F73988" w:rsidRDefault="00F73988">
          <w:pPr>
            <w:pStyle w:val="TDC4"/>
            <w:tabs>
              <w:tab w:val="right" w:leader="dot" w:pos="9394"/>
            </w:tabs>
            <w:rPr>
              <w:noProof/>
            </w:rPr>
          </w:pPr>
          <w:hyperlink w:anchor="_Toc224844401" w:history="1">
            <w:r w:rsidRPr="00E31E8B">
              <w:rPr>
                <w:rStyle w:val="Hipervnculo"/>
                <w:noProof/>
              </w:rPr>
              <w:t>OBRAS POR IMPUESTOS</w:t>
            </w:r>
            <w:r>
              <w:rPr>
                <w:noProof/>
                <w:webHidden/>
              </w:rPr>
              <w:tab/>
            </w:r>
            <w:r>
              <w:rPr>
                <w:noProof/>
                <w:webHidden/>
              </w:rPr>
              <w:fldChar w:fldCharType="begin"/>
            </w:r>
            <w:r>
              <w:rPr>
                <w:noProof/>
                <w:webHidden/>
              </w:rPr>
              <w:instrText xml:space="preserve"> PAGEREF _Toc224844401 \h </w:instrText>
            </w:r>
            <w:r>
              <w:rPr>
                <w:noProof/>
                <w:webHidden/>
              </w:rPr>
            </w:r>
            <w:r>
              <w:rPr>
                <w:noProof/>
                <w:webHidden/>
              </w:rPr>
              <w:fldChar w:fldCharType="separate"/>
            </w:r>
            <w:r>
              <w:rPr>
                <w:noProof/>
                <w:webHidden/>
              </w:rPr>
              <w:t>115</w:t>
            </w:r>
            <w:r>
              <w:rPr>
                <w:noProof/>
                <w:webHidden/>
              </w:rPr>
              <w:fldChar w:fldCharType="end"/>
            </w:r>
          </w:hyperlink>
        </w:p>
        <w:p w14:paraId="1AF6D302" w14:textId="28EA71A2" w:rsidR="00F73988" w:rsidRDefault="00F73988">
          <w:pPr>
            <w:pStyle w:val="TDC5"/>
            <w:tabs>
              <w:tab w:val="right" w:leader="dot" w:pos="9394"/>
            </w:tabs>
            <w:rPr>
              <w:noProof/>
            </w:rPr>
          </w:pPr>
          <w:hyperlink w:anchor="_Toc224844402" w:history="1">
            <w:r w:rsidRPr="00E31E8B">
              <w:rPr>
                <w:rStyle w:val="Hipervnculo"/>
                <w:noProof/>
              </w:rPr>
              <w:t>IV-2.1 Antecedentes mecanismo Obras por Impuestos</w:t>
            </w:r>
            <w:r>
              <w:rPr>
                <w:noProof/>
                <w:webHidden/>
              </w:rPr>
              <w:tab/>
            </w:r>
            <w:r>
              <w:rPr>
                <w:noProof/>
                <w:webHidden/>
              </w:rPr>
              <w:fldChar w:fldCharType="begin"/>
            </w:r>
            <w:r>
              <w:rPr>
                <w:noProof/>
                <w:webHidden/>
              </w:rPr>
              <w:instrText xml:space="preserve"> PAGEREF _Toc224844402 \h </w:instrText>
            </w:r>
            <w:r>
              <w:rPr>
                <w:noProof/>
                <w:webHidden/>
              </w:rPr>
            </w:r>
            <w:r>
              <w:rPr>
                <w:noProof/>
                <w:webHidden/>
              </w:rPr>
              <w:fldChar w:fldCharType="separate"/>
            </w:r>
            <w:r>
              <w:rPr>
                <w:noProof/>
                <w:webHidden/>
              </w:rPr>
              <w:t>115</w:t>
            </w:r>
            <w:r>
              <w:rPr>
                <w:noProof/>
                <w:webHidden/>
              </w:rPr>
              <w:fldChar w:fldCharType="end"/>
            </w:r>
          </w:hyperlink>
        </w:p>
        <w:p w14:paraId="0A09A901" w14:textId="7BA7D637" w:rsidR="00F73988" w:rsidRDefault="00F73988">
          <w:pPr>
            <w:pStyle w:val="TDC5"/>
            <w:tabs>
              <w:tab w:val="right" w:leader="dot" w:pos="9394"/>
            </w:tabs>
            <w:rPr>
              <w:noProof/>
            </w:rPr>
          </w:pPr>
          <w:hyperlink w:anchor="_Toc224844403" w:history="1">
            <w:r w:rsidRPr="00E31E8B">
              <w:rPr>
                <w:rStyle w:val="Hipervnculo"/>
                <w:noProof/>
              </w:rPr>
              <w:t>IV-2.2 Las ZOMAC</w:t>
            </w:r>
            <w:r>
              <w:rPr>
                <w:noProof/>
                <w:webHidden/>
              </w:rPr>
              <w:tab/>
            </w:r>
            <w:r>
              <w:rPr>
                <w:noProof/>
                <w:webHidden/>
              </w:rPr>
              <w:fldChar w:fldCharType="begin"/>
            </w:r>
            <w:r>
              <w:rPr>
                <w:noProof/>
                <w:webHidden/>
              </w:rPr>
              <w:instrText xml:space="preserve"> PAGEREF _Toc224844403 \h </w:instrText>
            </w:r>
            <w:r>
              <w:rPr>
                <w:noProof/>
                <w:webHidden/>
              </w:rPr>
            </w:r>
            <w:r>
              <w:rPr>
                <w:noProof/>
                <w:webHidden/>
              </w:rPr>
              <w:fldChar w:fldCharType="separate"/>
            </w:r>
            <w:r>
              <w:rPr>
                <w:noProof/>
                <w:webHidden/>
              </w:rPr>
              <w:t>121</w:t>
            </w:r>
            <w:r>
              <w:rPr>
                <w:noProof/>
                <w:webHidden/>
              </w:rPr>
              <w:fldChar w:fldCharType="end"/>
            </w:r>
          </w:hyperlink>
        </w:p>
        <w:p w14:paraId="2FA54476" w14:textId="42572DBC" w:rsidR="00F73988" w:rsidRDefault="00F73988">
          <w:pPr>
            <w:pStyle w:val="TDC5"/>
            <w:tabs>
              <w:tab w:val="right" w:leader="dot" w:pos="9394"/>
            </w:tabs>
            <w:rPr>
              <w:noProof/>
            </w:rPr>
          </w:pPr>
          <w:hyperlink w:anchor="_Toc224844404" w:history="1">
            <w:r w:rsidRPr="00E31E8B">
              <w:rPr>
                <w:rStyle w:val="Hipervnculo"/>
                <w:noProof/>
              </w:rPr>
              <w:t>IV-2.3 Los PDET</w:t>
            </w:r>
            <w:r>
              <w:rPr>
                <w:noProof/>
                <w:webHidden/>
              </w:rPr>
              <w:tab/>
            </w:r>
            <w:r>
              <w:rPr>
                <w:noProof/>
                <w:webHidden/>
              </w:rPr>
              <w:fldChar w:fldCharType="begin"/>
            </w:r>
            <w:r>
              <w:rPr>
                <w:noProof/>
                <w:webHidden/>
              </w:rPr>
              <w:instrText xml:space="preserve"> PAGEREF _Toc224844404 \h </w:instrText>
            </w:r>
            <w:r>
              <w:rPr>
                <w:noProof/>
                <w:webHidden/>
              </w:rPr>
            </w:r>
            <w:r>
              <w:rPr>
                <w:noProof/>
                <w:webHidden/>
              </w:rPr>
              <w:fldChar w:fldCharType="separate"/>
            </w:r>
            <w:r>
              <w:rPr>
                <w:noProof/>
                <w:webHidden/>
              </w:rPr>
              <w:t>121</w:t>
            </w:r>
            <w:r>
              <w:rPr>
                <w:noProof/>
                <w:webHidden/>
              </w:rPr>
              <w:fldChar w:fldCharType="end"/>
            </w:r>
          </w:hyperlink>
        </w:p>
        <w:p w14:paraId="72402613" w14:textId="16FE4294" w:rsidR="00F73988" w:rsidRDefault="00F73988">
          <w:pPr>
            <w:pStyle w:val="TDC5"/>
            <w:tabs>
              <w:tab w:val="right" w:leader="dot" w:pos="9394"/>
            </w:tabs>
            <w:rPr>
              <w:noProof/>
            </w:rPr>
          </w:pPr>
          <w:hyperlink w:anchor="_Toc224844405" w:history="1">
            <w:r w:rsidRPr="00E31E8B">
              <w:rPr>
                <w:rStyle w:val="Hipervnculo"/>
                <w:noProof/>
              </w:rPr>
              <w:t>IV-2.4 Concepto de Viabilidad Sectorial</w:t>
            </w:r>
            <w:r>
              <w:rPr>
                <w:noProof/>
                <w:webHidden/>
              </w:rPr>
              <w:tab/>
            </w:r>
            <w:r>
              <w:rPr>
                <w:noProof/>
                <w:webHidden/>
              </w:rPr>
              <w:fldChar w:fldCharType="begin"/>
            </w:r>
            <w:r>
              <w:rPr>
                <w:noProof/>
                <w:webHidden/>
              </w:rPr>
              <w:instrText xml:space="preserve"> PAGEREF _Toc224844405 \h </w:instrText>
            </w:r>
            <w:r>
              <w:rPr>
                <w:noProof/>
                <w:webHidden/>
              </w:rPr>
            </w:r>
            <w:r>
              <w:rPr>
                <w:noProof/>
                <w:webHidden/>
              </w:rPr>
              <w:fldChar w:fldCharType="separate"/>
            </w:r>
            <w:r>
              <w:rPr>
                <w:noProof/>
                <w:webHidden/>
              </w:rPr>
              <w:t>123</w:t>
            </w:r>
            <w:r>
              <w:rPr>
                <w:noProof/>
                <w:webHidden/>
              </w:rPr>
              <w:fldChar w:fldCharType="end"/>
            </w:r>
          </w:hyperlink>
        </w:p>
        <w:p w14:paraId="2201A47C" w14:textId="26A629A5" w:rsidR="00F73988" w:rsidRDefault="00F73988">
          <w:pPr>
            <w:pStyle w:val="TDC5"/>
            <w:tabs>
              <w:tab w:val="right" w:leader="dot" w:pos="9394"/>
            </w:tabs>
            <w:rPr>
              <w:noProof/>
            </w:rPr>
          </w:pPr>
          <w:hyperlink w:anchor="_Toc224844406" w:history="1">
            <w:r w:rsidRPr="00E31E8B">
              <w:rPr>
                <w:rStyle w:val="Hipervnculo"/>
                <w:noProof/>
              </w:rPr>
              <w:t>IV-2.5 Suscripción de Convenios</w:t>
            </w:r>
            <w:r>
              <w:rPr>
                <w:noProof/>
                <w:webHidden/>
              </w:rPr>
              <w:tab/>
            </w:r>
            <w:r>
              <w:rPr>
                <w:noProof/>
                <w:webHidden/>
              </w:rPr>
              <w:fldChar w:fldCharType="begin"/>
            </w:r>
            <w:r>
              <w:rPr>
                <w:noProof/>
                <w:webHidden/>
              </w:rPr>
              <w:instrText xml:space="preserve"> PAGEREF _Toc224844406 \h </w:instrText>
            </w:r>
            <w:r>
              <w:rPr>
                <w:noProof/>
                <w:webHidden/>
              </w:rPr>
            </w:r>
            <w:r>
              <w:rPr>
                <w:noProof/>
                <w:webHidden/>
              </w:rPr>
              <w:fldChar w:fldCharType="separate"/>
            </w:r>
            <w:r>
              <w:rPr>
                <w:noProof/>
                <w:webHidden/>
              </w:rPr>
              <w:t>123</w:t>
            </w:r>
            <w:r>
              <w:rPr>
                <w:noProof/>
                <w:webHidden/>
              </w:rPr>
              <w:fldChar w:fldCharType="end"/>
            </w:r>
          </w:hyperlink>
        </w:p>
        <w:p w14:paraId="340FED02" w14:textId="25A3B63F" w:rsidR="00F73988" w:rsidRDefault="00F73988">
          <w:pPr>
            <w:pStyle w:val="TDC5"/>
            <w:tabs>
              <w:tab w:val="right" w:leader="dot" w:pos="9394"/>
            </w:tabs>
            <w:rPr>
              <w:noProof/>
            </w:rPr>
          </w:pPr>
          <w:hyperlink w:anchor="_Toc224844407" w:history="1">
            <w:r w:rsidRPr="00E31E8B">
              <w:rPr>
                <w:rStyle w:val="Hipervnculo"/>
                <w:noProof/>
              </w:rPr>
              <w:t>IV-2.6 Contratación de Interventorías</w:t>
            </w:r>
            <w:r>
              <w:rPr>
                <w:noProof/>
                <w:webHidden/>
              </w:rPr>
              <w:tab/>
            </w:r>
            <w:r>
              <w:rPr>
                <w:noProof/>
                <w:webHidden/>
              </w:rPr>
              <w:fldChar w:fldCharType="begin"/>
            </w:r>
            <w:r>
              <w:rPr>
                <w:noProof/>
                <w:webHidden/>
              </w:rPr>
              <w:instrText xml:space="preserve"> PAGEREF _Toc224844407 \h </w:instrText>
            </w:r>
            <w:r>
              <w:rPr>
                <w:noProof/>
                <w:webHidden/>
              </w:rPr>
            </w:r>
            <w:r>
              <w:rPr>
                <w:noProof/>
                <w:webHidden/>
              </w:rPr>
              <w:fldChar w:fldCharType="separate"/>
            </w:r>
            <w:r>
              <w:rPr>
                <w:noProof/>
                <w:webHidden/>
              </w:rPr>
              <w:t>123</w:t>
            </w:r>
            <w:r>
              <w:rPr>
                <w:noProof/>
                <w:webHidden/>
              </w:rPr>
              <w:fldChar w:fldCharType="end"/>
            </w:r>
          </w:hyperlink>
        </w:p>
        <w:p w14:paraId="620435E6" w14:textId="73739847" w:rsidR="00F73988" w:rsidRDefault="00F73988">
          <w:pPr>
            <w:pStyle w:val="TDC5"/>
            <w:tabs>
              <w:tab w:val="right" w:leader="dot" w:pos="9394"/>
            </w:tabs>
            <w:rPr>
              <w:noProof/>
            </w:rPr>
          </w:pPr>
          <w:hyperlink w:anchor="_Toc224844408" w:history="1">
            <w:r w:rsidRPr="00E31E8B">
              <w:rPr>
                <w:rStyle w:val="Hipervnculo"/>
                <w:noProof/>
              </w:rPr>
              <w:t>IV-2.7 Parámetros para el recibo de infraestructura eléctrica y gas</w:t>
            </w:r>
            <w:r>
              <w:rPr>
                <w:noProof/>
                <w:webHidden/>
              </w:rPr>
              <w:tab/>
            </w:r>
            <w:r>
              <w:rPr>
                <w:noProof/>
                <w:webHidden/>
              </w:rPr>
              <w:fldChar w:fldCharType="begin"/>
            </w:r>
            <w:r>
              <w:rPr>
                <w:noProof/>
                <w:webHidden/>
              </w:rPr>
              <w:instrText xml:space="preserve"> PAGEREF _Toc224844408 \h </w:instrText>
            </w:r>
            <w:r>
              <w:rPr>
                <w:noProof/>
                <w:webHidden/>
              </w:rPr>
            </w:r>
            <w:r>
              <w:rPr>
                <w:noProof/>
                <w:webHidden/>
              </w:rPr>
              <w:fldChar w:fldCharType="separate"/>
            </w:r>
            <w:r>
              <w:rPr>
                <w:noProof/>
                <w:webHidden/>
              </w:rPr>
              <w:t>124</w:t>
            </w:r>
            <w:r>
              <w:rPr>
                <w:noProof/>
                <w:webHidden/>
              </w:rPr>
              <w:fldChar w:fldCharType="end"/>
            </w:r>
          </w:hyperlink>
        </w:p>
        <w:p w14:paraId="5694A008" w14:textId="58A266A5"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409" w:history="1">
            <w:r w:rsidRPr="00E31E8B">
              <w:rPr>
                <w:rStyle w:val="Hipervnculo"/>
                <w:noProof/>
              </w:rPr>
              <w:t>CAPÍTULO III</w:t>
            </w:r>
            <w:r>
              <w:rPr>
                <w:noProof/>
                <w:webHidden/>
              </w:rPr>
              <w:tab/>
            </w:r>
            <w:r>
              <w:rPr>
                <w:noProof/>
                <w:webHidden/>
              </w:rPr>
              <w:fldChar w:fldCharType="begin"/>
            </w:r>
            <w:r>
              <w:rPr>
                <w:noProof/>
                <w:webHidden/>
              </w:rPr>
              <w:instrText xml:space="preserve"> PAGEREF _Toc224844409 \h </w:instrText>
            </w:r>
            <w:r>
              <w:rPr>
                <w:noProof/>
                <w:webHidden/>
              </w:rPr>
            </w:r>
            <w:r>
              <w:rPr>
                <w:noProof/>
                <w:webHidden/>
              </w:rPr>
              <w:fldChar w:fldCharType="separate"/>
            </w:r>
            <w:r>
              <w:rPr>
                <w:noProof/>
                <w:webHidden/>
              </w:rPr>
              <w:t>126</w:t>
            </w:r>
            <w:r>
              <w:rPr>
                <w:noProof/>
                <w:webHidden/>
              </w:rPr>
              <w:fldChar w:fldCharType="end"/>
            </w:r>
          </w:hyperlink>
        </w:p>
        <w:p w14:paraId="1ECC26D4" w14:textId="2190318C" w:rsidR="00F73988" w:rsidRDefault="00F73988">
          <w:pPr>
            <w:pStyle w:val="TDC4"/>
            <w:tabs>
              <w:tab w:val="right" w:leader="dot" w:pos="9394"/>
            </w:tabs>
            <w:rPr>
              <w:noProof/>
            </w:rPr>
          </w:pPr>
          <w:hyperlink w:anchor="_Toc224844410" w:history="1">
            <w:r w:rsidRPr="00E31E8B">
              <w:rPr>
                <w:rStyle w:val="Hipervnculo"/>
                <w:noProof/>
              </w:rPr>
              <w:t>PROYECTOS CON GAS LICUADO DE PETRÓLEO-GLP</w:t>
            </w:r>
            <w:r>
              <w:rPr>
                <w:noProof/>
                <w:webHidden/>
              </w:rPr>
              <w:tab/>
            </w:r>
            <w:r>
              <w:rPr>
                <w:noProof/>
                <w:webHidden/>
              </w:rPr>
              <w:fldChar w:fldCharType="begin"/>
            </w:r>
            <w:r>
              <w:rPr>
                <w:noProof/>
                <w:webHidden/>
              </w:rPr>
              <w:instrText xml:space="preserve"> PAGEREF _Toc224844410 \h </w:instrText>
            </w:r>
            <w:r>
              <w:rPr>
                <w:noProof/>
                <w:webHidden/>
              </w:rPr>
            </w:r>
            <w:r>
              <w:rPr>
                <w:noProof/>
                <w:webHidden/>
              </w:rPr>
              <w:fldChar w:fldCharType="separate"/>
            </w:r>
            <w:r>
              <w:rPr>
                <w:noProof/>
                <w:webHidden/>
              </w:rPr>
              <w:t>126</w:t>
            </w:r>
            <w:r>
              <w:rPr>
                <w:noProof/>
                <w:webHidden/>
              </w:rPr>
              <w:fldChar w:fldCharType="end"/>
            </w:r>
          </w:hyperlink>
        </w:p>
        <w:p w14:paraId="18FA5747" w14:textId="5647E47D" w:rsidR="00F73988" w:rsidRDefault="00F73988">
          <w:pPr>
            <w:pStyle w:val="TDC5"/>
            <w:tabs>
              <w:tab w:val="right" w:leader="dot" w:pos="9394"/>
            </w:tabs>
            <w:rPr>
              <w:noProof/>
            </w:rPr>
          </w:pPr>
          <w:hyperlink w:anchor="_Toc224844411" w:history="1">
            <w:r w:rsidRPr="00E31E8B">
              <w:rPr>
                <w:rStyle w:val="Hipervnculo"/>
                <w:noProof/>
              </w:rPr>
              <w:t>IV-3.1 Antecedentes PGN</w:t>
            </w:r>
            <w:r>
              <w:rPr>
                <w:noProof/>
                <w:webHidden/>
              </w:rPr>
              <w:tab/>
            </w:r>
            <w:r>
              <w:rPr>
                <w:noProof/>
                <w:webHidden/>
              </w:rPr>
              <w:fldChar w:fldCharType="begin"/>
            </w:r>
            <w:r>
              <w:rPr>
                <w:noProof/>
                <w:webHidden/>
              </w:rPr>
              <w:instrText xml:space="preserve"> PAGEREF _Toc224844411 \h </w:instrText>
            </w:r>
            <w:r>
              <w:rPr>
                <w:noProof/>
                <w:webHidden/>
              </w:rPr>
            </w:r>
            <w:r>
              <w:rPr>
                <w:noProof/>
                <w:webHidden/>
              </w:rPr>
              <w:fldChar w:fldCharType="separate"/>
            </w:r>
            <w:r>
              <w:rPr>
                <w:noProof/>
                <w:webHidden/>
              </w:rPr>
              <w:t>126</w:t>
            </w:r>
            <w:r>
              <w:rPr>
                <w:noProof/>
                <w:webHidden/>
              </w:rPr>
              <w:fldChar w:fldCharType="end"/>
            </w:r>
          </w:hyperlink>
        </w:p>
        <w:p w14:paraId="56F3047A" w14:textId="12C9F58E" w:rsidR="00F73988" w:rsidRDefault="00F73988">
          <w:pPr>
            <w:pStyle w:val="TDC5"/>
            <w:tabs>
              <w:tab w:val="right" w:leader="dot" w:pos="9394"/>
            </w:tabs>
            <w:rPr>
              <w:noProof/>
            </w:rPr>
          </w:pPr>
          <w:hyperlink w:anchor="_Toc224844412" w:history="1">
            <w:r w:rsidRPr="00E31E8B">
              <w:rPr>
                <w:rStyle w:val="Hipervnculo"/>
                <w:noProof/>
              </w:rPr>
              <w:t>IV-3.2 Tipos de proyectos que pueden presentarse.</w:t>
            </w:r>
            <w:r>
              <w:rPr>
                <w:noProof/>
                <w:webHidden/>
              </w:rPr>
              <w:tab/>
            </w:r>
            <w:r>
              <w:rPr>
                <w:noProof/>
                <w:webHidden/>
              </w:rPr>
              <w:fldChar w:fldCharType="begin"/>
            </w:r>
            <w:r>
              <w:rPr>
                <w:noProof/>
                <w:webHidden/>
              </w:rPr>
              <w:instrText xml:space="preserve"> PAGEREF _Toc224844412 \h </w:instrText>
            </w:r>
            <w:r>
              <w:rPr>
                <w:noProof/>
                <w:webHidden/>
              </w:rPr>
            </w:r>
            <w:r>
              <w:rPr>
                <w:noProof/>
                <w:webHidden/>
              </w:rPr>
              <w:fldChar w:fldCharType="separate"/>
            </w:r>
            <w:r>
              <w:rPr>
                <w:noProof/>
                <w:webHidden/>
              </w:rPr>
              <w:t>127</w:t>
            </w:r>
            <w:r>
              <w:rPr>
                <w:noProof/>
                <w:webHidden/>
              </w:rPr>
              <w:fldChar w:fldCharType="end"/>
            </w:r>
          </w:hyperlink>
        </w:p>
        <w:p w14:paraId="43FF9350" w14:textId="28FBCDE3" w:rsidR="00F73988" w:rsidRDefault="00F73988">
          <w:pPr>
            <w:pStyle w:val="TDC5"/>
            <w:tabs>
              <w:tab w:val="right" w:leader="dot" w:pos="9394"/>
            </w:tabs>
            <w:rPr>
              <w:noProof/>
            </w:rPr>
          </w:pPr>
          <w:hyperlink w:anchor="_Toc224844413" w:history="1">
            <w:r w:rsidRPr="00E31E8B">
              <w:rPr>
                <w:rStyle w:val="Hipervnculo"/>
                <w:noProof/>
              </w:rPr>
              <w:t>IV-3.3. Requisitos para la presentación, evaluación y priorización de proyectos de Gas Licuado de Petróleo-GLP</w:t>
            </w:r>
            <w:r>
              <w:rPr>
                <w:noProof/>
                <w:webHidden/>
              </w:rPr>
              <w:tab/>
            </w:r>
            <w:r>
              <w:rPr>
                <w:noProof/>
                <w:webHidden/>
              </w:rPr>
              <w:fldChar w:fldCharType="begin"/>
            </w:r>
            <w:r>
              <w:rPr>
                <w:noProof/>
                <w:webHidden/>
              </w:rPr>
              <w:instrText xml:space="preserve"> PAGEREF _Toc224844413 \h </w:instrText>
            </w:r>
            <w:r>
              <w:rPr>
                <w:noProof/>
                <w:webHidden/>
              </w:rPr>
            </w:r>
            <w:r>
              <w:rPr>
                <w:noProof/>
                <w:webHidden/>
              </w:rPr>
              <w:fldChar w:fldCharType="separate"/>
            </w:r>
            <w:r>
              <w:rPr>
                <w:noProof/>
                <w:webHidden/>
              </w:rPr>
              <w:t>127</w:t>
            </w:r>
            <w:r>
              <w:rPr>
                <w:noProof/>
                <w:webHidden/>
              </w:rPr>
              <w:fldChar w:fldCharType="end"/>
            </w:r>
          </w:hyperlink>
        </w:p>
        <w:p w14:paraId="3EC3397B" w14:textId="7767F9C6"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414" w:history="1">
            <w:r w:rsidRPr="00E31E8B">
              <w:rPr>
                <w:rStyle w:val="Hipervnculo"/>
                <w:noProof/>
              </w:rPr>
              <w:t>CAPÍTULO IV</w:t>
            </w:r>
            <w:r>
              <w:rPr>
                <w:noProof/>
                <w:webHidden/>
              </w:rPr>
              <w:tab/>
            </w:r>
            <w:r>
              <w:rPr>
                <w:noProof/>
                <w:webHidden/>
              </w:rPr>
              <w:fldChar w:fldCharType="begin"/>
            </w:r>
            <w:r>
              <w:rPr>
                <w:noProof/>
                <w:webHidden/>
              </w:rPr>
              <w:instrText xml:space="preserve"> PAGEREF _Toc224844414 \h </w:instrText>
            </w:r>
            <w:r>
              <w:rPr>
                <w:noProof/>
                <w:webHidden/>
              </w:rPr>
            </w:r>
            <w:r>
              <w:rPr>
                <w:noProof/>
                <w:webHidden/>
              </w:rPr>
              <w:fldChar w:fldCharType="separate"/>
            </w:r>
            <w:r>
              <w:rPr>
                <w:noProof/>
                <w:webHidden/>
              </w:rPr>
              <w:t>128</w:t>
            </w:r>
            <w:r>
              <w:rPr>
                <w:noProof/>
                <w:webHidden/>
              </w:rPr>
              <w:fldChar w:fldCharType="end"/>
            </w:r>
          </w:hyperlink>
        </w:p>
        <w:p w14:paraId="62810038" w14:textId="158FB558" w:rsidR="00F73988" w:rsidRDefault="00F73988">
          <w:pPr>
            <w:pStyle w:val="TDC4"/>
            <w:tabs>
              <w:tab w:val="right" w:leader="dot" w:pos="9394"/>
            </w:tabs>
            <w:rPr>
              <w:noProof/>
            </w:rPr>
          </w:pPr>
          <w:hyperlink w:anchor="_Toc224844415" w:history="1">
            <w:r w:rsidRPr="00E31E8B">
              <w:rPr>
                <w:rStyle w:val="Hipervnculo"/>
                <w:noProof/>
              </w:rPr>
              <w:t>COMUNIDADES ENERGÉTICAS</w:t>
            </w:r>
            <w:r>
              <w:rPr>
                <w:noProof/>
                <w:webHidden/>
              </w:rPr>
              <w:tab/>
            </w:r>
            <w:r>
              <w:rPr>
                <w:noProof/>
                <w:webHidden/>
              </w:rPr>
              <w:fldChar w:fldCharType="begin"/>
            </w:r>
            <w:r>
              <w:rPr>
                <w:noProof/>
                <w:webHidden/>
              </w:rPr>
              <w:instrText xml:space="preserve"> PAGEREF _Toc224844415 \h </w:instrText>
            </w:r>
            <w:r>
              <w:rPr>
                <w:noProof/>
                <w:webHidden/>
              </w:rPr>
            </w:r>
            <w:r>
              <w:rPr>
                <w:noProof/>
                <w:webHidden/>
              </w:rPr>
              <w:fldChar w:fldCharType="separate"/>
            </w:r>
            <w:r>
              <w:rPr>
                <w:noProof/>
                <w:webHidden/>
              </w:rPr>
              <w:t>128</w:t>
            </w:r>
            <w:r>
              <w:rPr>
                <w:noProof/>
                <w:webHidden/>
              </w:rPr>
              <w:fldChar w:fldCharType="end"/>
            </w:r>
          </w:hyperlink>
        </w:p>
        <w:p w14:paraId="09F24AB3" w14:textId="60B84C87" w:rsidR="00F73988" w:rsidRDefault="00F73988">
          <w:pPr>
            <w:pStyle w:val="TDC5"/>
            <w:tabs>
              <w:tab w:val="right" w:leader="dot" w:pos="9394"/>
            </w:tabs>
            <w:rPr>
              <w:noProof/>
            </w:rPr>
          </w:pPr>
          <w:hyperlink w:anchor="_Toc224844416" w:history="1">
            <w:r w:rsidRPr="00E31E8B">
              <w:rPr>
                <w:rStyle w:val="Hipervnculo"/>
                <w:noProof/>
              </w:rPr>
              <w:t>IV-4.1 Antecedentes Comunidades Energéticas</w:t>
            </w:r>
            <w:r>
              <w:rPr>
                <w:noProof/>
                <w:webHidden/>
              </w:rPr>
              <w:tab/>
            </w:r>
            <w:r>
              <w:rPr>
                <w:noProof/>
                <w:webHidden/>
              </w:rPr>
              <w:fldChar w:fldCharType="begin"/>
            </w:r>
            <w:r>
              <w:rPr>
                <w:noProof/>
                <w:webHidden/>
              </w:rPr>
              <w:instrText xml:space="preserve"> PAGEREF _Toc224844416 \h </w:instrText>
            </w:r>
            <w:r>
              <w:rPr>
                <w:noProof/>
                <w:webHidden/>
              </w:rPr>
            </w:r>
            <w:r>
              <w:rPr>
                <w:noProof/>
                <w:webHidden/>
              </w:rPr>
              <w:fldChar w:fldCharType="separate"/>
            </w:r>
            <w:r>
              <w:rPr>
                <w:noProof/>
                <w:webHidden/>
              </w:rPr>
              <w:t>128</w:t>
            </w:r>
            <w:r>
              <w:rPr>
                <w:noProof/>
                <w:webHidden/>
              </w:rPr>
              <w:fldChar w:fldCharType="end"/>
            </w:r>
          </w:hyperlink>
        </w:p>
        <w:p w14:paraId="2F286D26" w14:textId="15CC4AD3" w:rsidR="00F73988" w:rsidRDefault="00F73988">
          <w:pPr>
            <w:pStyle w:val="TDC5"/>
            <w:tabs>
              <w:tab w:val="right" w:leader="dot" w:pos="9394"/>
            </w:tabs>
            <w:rPr>
              <w:noProof/>
            </w:rPr>
          </w:pPr>
          <w:hyperlink w:anchor="_Toc224844417" w:history="1">
            <w:r w:rsidRPr="00E31E8B">
              <w:rPr>
                <w:rStyle w:val="Hipervnculo"/>
                <w:noProof/>
              </w:rPr>
              <w:t>IV-4.2 Criterios para la focalización de recursos de FONENERGÍA a Comunidades Energéticas</w:t>
            </w:r>
            <w:r>
              <w:rPr>
                <w:noProof/>
                <w:webHidden/>
              </w:rPr>
              <w:tab/>
            </w:r>
            <w:r>
              <w:rPr>
                <w:noProof/>
                <w:webHidden/>
              </w:rPr>
              <w:fldChar w:fldCharType="begin"/>
            </w:r>
            <w:r>
              <w:rPr>
                <w:noProof/>
                <w:webHidden/>
              </w:rPr>
              <w:instrText xml:space="preserve"> PAGEREF _Toc224844417 \h </w:instrText>
            </w:r>
            <w:r>
              <w:rPr>
                <w:noProof/>
                <w:webHidden/>
              </w:rPr>
            </w:r>
            <w:r>
              <w:rPr>
                <w:noProof/>
                <w:webHidden/>
              </w:rPr>
              <w:fldChar w:fldCharType="separate"/>
            </w:r>
            <w:r>
              <w:rPr>
                <w:noProof/>
                <w:webHidden/>
              </w:rPr>
              <w:t>130</w:t>
            </w:r>
            <w:r>
              <w:rPr>
                <w:noProof/>
                <w:webHidden/>
              </w:rPr>
              <w:fldChar w:fldCharType="end"/>
            </w:r>
          </w:hyperlink>
        </w:p>
        <w:p w14:paraId="3CF02684" w14:textId="37BE00DD" w:rsidR="00F73988" w:rsidRDefault="00F73988">
          <w:pPr>
            <w:pStyle w:val="TDC5"/>
            <w:tabs>
              <w:tab w:val="right" w:leader="dot" w:pos="9394"/>
            </w:tabs>
            <w:rPr>
              <w:noProof/>
            </w:rPr>
          </w:pPr>
          <w:hyperlink w:anchor="_Toc224844418" w:history="1">
            <w:r w:rsidRPr="00E31E8B">
              <w:rPr>
                <w:rStyle w:val="Hipervnculo"/>
                <w:noProof/>
              </w:rPr>
              <w:t>IV-4.3 Requisitos para la presentación de proyectos</w:t>
            </w:r>
            <w:r>
              <w:rPr>
                <w:noProof/>
                <w:webHidden/>
              </w:rPr>
              <w:tab/>
            </w:r>
            <w:r>
              <w:rPr>
                <w:noProof/>
                <w:webHidden/>
              </w:rPr>
              <w:fldChar w:fldCharType="begin"/>
            </w:r>
            <w:r>
              <w:rPr>
                <w:noProof/>
                <w:webHidden/>
              </w:rPr>
              <w:instrText xml:space="preserve"> PAGEREF _Toc224844418 \h </w:instrText>
            </w:r>
            <w:r>
              <w:rPr>
                <w:noProof/>
                <w:webHidden/>
              </w:rPr>
            </w:r>
            <w:r>
              <w:rPr>
                <w:noProof/>
                <w:webHidden/>
              </w:rPr>
              <w:fldChar w:fldCharType="separate"/>
            </w:r>
            <w:r>
              <w:rPr>
                <w:noProof/>
                <w:webHidden/>
              </w:rPr>
              <w:t>130</w:t>
            </w:r>
            <w:r>
              <w:rPr>
                <w:noProof/>
                <w:webHidden/>
              </w:rPr>
              <w:fldChar w:fldCharType="end"/>
            </w:r>
          </w:hyperlink>
        </w:p>
        <w:p w14:paraId="64027C61" w14:textId="56640513" w:rsidR="00F73988" w:rsidRDefault="00F73988">
          <w:pPr>
            <w:pStyle w:val="TDC3"/>
            <w:tabs>
              <w:tab w:val="right" w:leader="dot" w:pos="9394"/>
            </w:tabs>
            <w:rPr>
              <w:rFonts w:eastAsiaTheme="minorEastAsia"/>
              <w:noProof/>
              <w:kern w:val="2"/>
              <w:sz w:val="24"/>
              <w:szCs w:val="24"/>
              <w:lang w:eastAsia="es-CO"/>
              <w14:ligatures w14:val="standardContextual"/>
            </w:rPr>
          </w:pPr>
          <w:hyperlink w:anchor="_Toc224844419" w:history="1">
            <w:r w:rsidRPr="00E31E8B">
              <w:rPr>
                <w:rStyle w:val="Hipervnculo"/>
                <w:noProof/>
              </w:rPr>
              <w:t>CAPÍTULO V</w:t>
            </w:r>
            <w:r>
              <w:rPr>
                <w:noProof/>
                <w:webHidden/>
              </w:rPr>
              <w:tab/>
            </w:r>
            <w:r>
              <w:rPr>
                <w:noProof/>
                <w:webHidden/>
              </w:rPr>
              <w:fldChar w:fldCharType="begin"/>
            </w:r>
            <w:r>
              <w:rPr>
                <w:noProof/>
                <w:webHidden/>
              </w:rPr>
              <w:instrText xml:space="preserve"> PAGEREF _Toc224844419 \h </w:instrText>
            </w:r>
            <w:r>
              <w:rPr>
                <w:noProof/>
                <w:webHidden/>
              </w:rPr>
            </w:r>
            <w:r>
              <w:rPr>
                <w:noProof/>
                <w:webHidden/>
              </w:rPr>
              <w:fldChar w:fldCharType="separate"/>
            </w:r>
            <w:r>
              <w:rPr>
                <w:noProof/>
                <w:webHidden/>
              </w:rPr>
              <w:t>131</w:t>
            </w:r>
            <w:r>
              <w:rPr>
                <w:noProof/>
                <w:webHidden/>
              </w:rPr>
              <w:fldChar w:fldCharType="end"/>
            </w:r>
          </w:hyperlink>
        </w:p>
        <w:p w14:paraId="4E6A7AB1" w14:textId="2C0BDB7D" w:rsidR="00F73988" w:rsidRDefault="00F73988">
          <w:pPr>
            <w:pStyle w:val="TDC4"/>
            <w:tabs>
              <w:tab w:val="right" w:leader="dot" w:pos="9394"/>
            </w:tabs>
            <w:rPr>
              <w:noProof/>
            </w:rPr>
          </w:pPr>
          <w:hyperlink w:anchor="_Toc224844420" w:history="1">
            <w:r w:rsidRPr="00E31E8B">
              <w:rPr>
                <w:rStyle w:val="Hipervnculo"/>
                <w:noProof/>
              </w:rPr>
              <w:t>PROGRAMA COLOMBIA SOLAR</w:t>
            </w:r>
            <w:r>
              <w:rPr>
                <w:noProof/>
                <w:webHidden/>
              </w:rPr>
              <w:tab/>
            </w:r>
            <w:r>
              <w:rPr>
                <w:noProof/>
                <w:webHidden/>
              </w:rPr>
              <w:fldChar w:fldCharType="begin"/>
            </w:r>
            <w:r>
              <w:rPr>
                <w:noProof/>
                <w:webHidden/>
              </w:rPr>
              <w:instrText xml:space="preserve"> PAGEREF _Toc224844420 \h </w:instrText>
            </w:r>
            <w:r>
              <w:rPr>
                <w:noProof/>
                <w:webHidden/>
              </w:rPr>
            </w:r>
            <w:r>
              <w:rPr>
                <w:noProof/>
                <w:webHidden/>
              </w:rPr>
              <w:fldChar w:fldCharType="separate"/>
            </w:r>
            <w:r>
              <w:rPr>
                <w:noProof/>
                <w:webHidden/>
              </w:rPr>
              <w:t>131</w:t>
            </w:r>
            <w:r>
              <w:rPr>
                <w:noProof/>
                <w:webHidden/>
              </w:rPr>
              <w:fldChar w:fldCharType="end"/>
            </w:r>
          </w:hyperlink>
        </w:p>
        <w:p w14:paraId="65F1AFE4" w14:textId="5FB4480B" w:rsidR="00F73988" w:rsidRDefault="00F73988">
          <w:pPr>
            <w:pStyle w:val="TDC5"/>
            <w:tabs>
              <w:tab w:val="right" w:leader="dot" w:pos="9394"/>
            </w:tabs>
            <w:rPr>
              <w:noProof/>
            </w:rPr>
          </w:pPr>
          <w:hyperlink w:anchor="_Toc224844421" w:history="1">
            <w:r w:rsidRPr="00E31E8B">
              <w:rPr>
                <w:rStyle w:val="Hipervnculo"/>
                <w:noProof/>
              </w:rPr>
              <w:t>IV-5.1 Antecedentes del Programa Colombia Solar</w:t>
            </w:r>
            <w:r>
              <w:rPr>
                <w:noProof/>
                <w:webHidden/>
              </w:rPr>
              <w:tab/>
            </w:r>
            <w:r>
              <w:rPr>
                <w:noProof/>
                <w:webHidden/>
              </w:rPr>
              <w:fldChar w:fldCharType="begin"/>
            </w:r>
            <w:r>
              <w:rPr>
                <w:noProof/>
                <w:webHidden/>
              </w:rPr>
              <w:instrText xml:space="preserve"> PAGEREF _Toc224844421 \h </w:instrText>
            </w:r>
            <w:r>
              <w:rPr>
                <w:noProof/>
                <w:webHidden/>
              </w:rPr>
            </w:r>
            <w:r>
              <w:rPr>
                <w:noProof/>
                <w:webHidden/>
              </w:rPr>
              <w:fldChar w:fldCharType="separate"/>
            </w:r>
            <w:r>
              <w:rPr>
                <w:noProof/>
                <w:webHidden/>
              </w:rPr>
              <w:t>131</w:t>
            </w:r>
            <w:r>
              <w:rPr>
                <w:noProof/>
                <w:webHidden/>
              </w:rPr>
              <w:fldChar w:fldCharType="end"/>
            </w:r>
          </w:hyperlink>
        </w:p>
        <w:p w14:paraId="03F5A4A2" w14:textId="0D4CFF6A" w:rsidR="00F73988" w:rsidRDefault="00F73988">
          <w:pPr>
            <w:pStyle w:val="TDC5"/>
            <w:tabs>
              <w:tab w:val="right" w:leader="dot" w:pos="9394"/>
            </w:tabs>
            <w:rPr>
              <w:noProof/>
            </w:rPr>
          </w:pPr>
          <w:hyperlink w:anchor="_Toc224844422" w:history="1">
            <w:r w:rsidRPr="00E31E8B">
              <w:rPr>
                <w:rStyle w:val="Hipervnculo"/>
                <w:noProof/>
              </w:rPr>
              <w:t>IV-5.2 Requisitos para la presentación de proyectos</w:t>
            </w:r>
            <w:r>
              <w:rPr>
                <w:noProof/>
                <w:webHidden/>
              </w:rPr>
              <w:tab/>
            </w:r>
            <w:r>
              <w:rPr>
                <w:noProof/>
                <w:webHidden/>
              </w:rPr>
              <w:fldChar w:fldCharType="begin"/>
            </w:r>
            <w:r>
              <w:rPr>
                <w:noProof/>
                <w:webHidden/>
              </w:rPr>
              <w:instrText xml:space="preserve"> PAGEREF _Toc224844422 \h </w:instrText>
            </w:r>
            <w:r>
              <w:rPr>
                <w:noProof/>
                <w:webHidden/>
              </w:rPr>
            </w:r>
            <w:r>
              <w:rPr>
                <w:noProof/>
                <w:webHidden/>
              </w:rPr>
              <w:fldChar w:fldCharType="separate"/>
            </w:r>
            <w:r>
              <w:rPr>
                <w:noProof/>
                <w:webHidden/>
              </w:rPr>
              <w:t>132</w:t>
            </w:r>
            <w:r>
              <w:rPr>
                <w:noProof/>
                <w:webHidden/>
              </w:rPr>
              <w:fldChar w:fldCharType="end"/>
            </w:r>
          </w:hyperlink>
        </w:p>
        <w:p w14:paraId="7CFED0A3" w14:textId="168B466A" w:rsidR="00831F88" w:rsidRDefault="00831F88">
          <w:r>
            <w:fldChar w:fldCharType="end"/>
          </w:r>
        </w:p>
      </w:sdtContent>
    </w:sdt>
    <w:p w14:paraId="31C1EDD1" w14:textId="490FF122" w:rsidR="00C76110" w:rsidRDefault="00C76110" w:rsidP="008E39FD">
      <w:pPr>
        <w:spacing w:after="0" w:line="240" w:lineRule="auto"/>
        <w:rPr>
          <w:rFonts w:ascii="Arial" w:hAnsi="Arial" w:cs="Arial"/>
          <w:b/>
          <w:bCs/>
          <w:sz w:val="28"/>
          <w:szCs w:val="28"/>
        </w:rPr>
      </w:pPr>
      <w:r>
        <w:rPr>
          <w:rFonts w:ascii="Arial" w:hAnsi="Arial" w:cs="Arial"/>
          <w:b/>
          <w:bCs/>
          <w:sz w:val="28"/>
          <w:szCs w:val="28"/>
        </w:rPr>
        <w:br w:type="page"/>
      </w:r>
    </w:p>
    <w:p w14:paraId="428A04C5" w14:textId="77777777" w:rsidR="004B40A4" w:rsidRDefault="004B40A4" w:rsidP="008E39FD">
      <w:pPr>
        <w:spacing w:after="0" w:line="240" w:lineRule="auto"/>
        <w:rPr>
          <w:rFonts w:ascii="Arial" w:hAnsi="Arial" w:cs="Arial"/>
          <w:b/>
          <w:bCs/>
          <w:sz w:val="28"/>
          <w:szCs w:val="28"/>
        </w:rPr>
      </w:pPr>
    </w:p>
    <w:p w14:paraId="4412A048" w14:textId="61FAF698" w:rsidR="004B40A4" w:rsidRPr="00AD6EFB" w:rsidRDefault="004B40A4" w:rsidP="008E39FD">
      <w:pPr>
        <w:jc w:val="center"/>
        <w:rPr>
          <w:rFonts w:ascii="Arial" w:hAnsi="Arial" w:cs="Arial"/>
          <w:b/>
          <w:bCs/>
          <w:sz w:val="24"/>
          <w:szCs w:val="24"/>
        </w:rPr>
      </w:pPr>
      <w:r w:rsidRPr="5AB7284D">
        <w:rPr>
          <w:rFonts w:ascii="Arial" w:hAnsi="Arial" w:cs="Arial"/>
          <w:b/>
          <w:bCs/>
          <w:sz w:val="24"/>
          <w:szCs w:val="24"/>
        </w:rPr>
        <w:t>CONSIDERACIONES PREVIA</w:t>
      </w:r>
      <w:r w:rsidR="0415C3B0" w:rsidRPr="5AB7284D">
        <w:rPr>
          <w:rFonts w:ascii="Arial" w:hAnsi="Arial" w:cs="Arial"/>
          <w:b/>
          <w:bCs/>
          <w:sz w:val="24"/>
          <w:szCs w:val="24"/>
        </w:rPr>
        <w:t>S</w:t>
      </w:r>
    </w:p>
    <w:p w14:paraId="1C82E870" w14:textId="6E060CB8" w:rsidR="7914576F" w:rsidRDefault="7914576F" w:rsidP="00B03685">
      <w:pPr>
        <w:widowControl w:val="0"/>
        <w:spacing w:after="0"/>
        <w:jc w:val="both"/>
        <w:rPr>
          <w:rFonts w:ascii="Arial" w:eastAsia="Arial MT" w:hAnsi="Arial" w:cs="Arial"/>
          <w:sz w:val="24"/>
          <w:szCs w:val="24"/>
          <w:lang w:val="es-ES"/>
        </w:rPr>
      </w:pPr>
    </w:p>
    <w:p w14:paraId="3FFFDFF7" w14:textId="7CC9174C" w:rsidR="00396E58" w:rsidRDefault="004B40A4" w:rsidP="00B03685">
      <w:pPr>
        <w:widowControl w:val="0"/>
        <w:suppressAutoHyphens w:val="0"/>
        <w:autoSpaceDE w:val="0"/>
        <w:autoSpaceDN w:val="0"/>
        <w:spacing w:after="0"/>
        <w:jc w:val="both"/>
        <w:rPr>
          <w:rFonts w:ascii="Arial" w:eastAsia="Arial MT" w:hAnsi="Arial" w:cs="Arial"/>
          <w:sz w:val="24"/>
          <w:szCs w:val="24"/>
          <w:lang w:val="es-ES"/>
        </w:rPr>
      </w:pPr>
      <w:r w:rsidRPr="005C0CA0">
        <w:rPr>
          <w:rFonts w:ascii="Arial" w:eastAsia="Arial MT" w:hAnsi="Arial" w:cs="Arial"/>
          <w:sz w:val="24"/>
          <w:szCs w:val="24"/>
          <w:lang w:val="es-ES"/>
        </w:rPr>
        <w:t xml:space="preserve">En </w:t>
      </w:r>
      <w:r w:rsidR="003F7571">
        <w:rPr>
          <w:rFonts w:ascii="Arial" w:eastAsia="Arial MT" w:hAnsi="Arial" w:cs="Arial"/>
          <w:sz w:val="24"/>
          <w:szCs w:val="24"/>
          <w:lang w:val="es-ES"/>
        </w:rPr>
        <w:t>materia d</w:t>
      </w:r>
      <w:r w:rsidRPr="005C0CA0">
        <w:rPr>
          <w:rFonts w:ascii="Arial" w:eastAsia="Arial MT" w:hAnsi="Arial" w:cs="Arial"/>
          <w:sz w:val="24"/>
          <w:szCs w:val="24"/>
          <w:lang w:val="es-ES"/>
        </w:rPr>
        <w:t>el servicio público domiciliario de gas combustible por redes de tubería, la Ley 142 de 1994, artículo 8 dispone</w:t>
      </w:r>
      <w:r w:rsidR="00396E58">
        <w:rPr>
          <w:rFonts w:ascii="Arial" w:eastAsia="Arial MT" w:hAnsi="Arial" w:cs="Arial"/>
          <w:sz w:val="24"/>
          <w:szCs w:val="24"/>
          <w:lang w:val="es-ES"/>
        </w:rPr>
        <w:t>:</w:t>
      </w:r>
    </w:p>
    <w:p w14:paraId="69A26F77" w14:textId="77777777" w:rsidR="00396E58" w:rsidRDefault="00396E58" w:rsidP="00B03685">
      <w:pPr>
        <w:widowControl w:val="0"/>
        <w:suppressAutoHyphens w:val="0"/>
        <w:autoSpaceDE w:val="0"/>
        <w:autoSpaceDN w:val="0"/>
        <w:spacing w:after="0"/>
        <w:jc w:val="both"/>
        <w:rPr>
          <w:rFonts w:ascii="Arial" w:eastAsia="Arial MT" w:hAnsi="Arial" w:cs="Arial"/>
          <w:sz w:val="24"/>
          <w:szCs w:val="24"/>
          <w:lang w:val="es-ES"/>
        </w:rPr>
      </w:pPr>
    </w:p>
    <w:p w14:paraId="199BC9FE" w14:textId="09C8DDB7" w:rsidR="004B40A4" w:rsidRPr="00B03685" w:rsidRDefault="003257FC" w:rsidP="00B03685">
      <w:pPr>
        <w:widowControl w:val="0"/>
        <w:suppressAutoHyphens w:val="0"/>
        <w:autoSpaceDE w:val="0"/>
        <w:autoSpaceDN w:val="0"/>
        <w:spacing w:after="0"/>
        <w:ind w:left="567"/>
        <w:jc w:val="both"/>
        <w:rPr>
          <w:rFonts w:ascii="Arial" w:eastAsia="Arial MT" w:hAnsi="Arial" w:cs="Arial"/>
          <w:i/>
          <w:lang w:val="es-ES"/>
        </w:rPr>
      </w:pPr>
      <w:r w:rsidRPr="00B03685">
        <w:rPr>
          <w:rFonts w:ascii="Arial" w:eastAsia="Arial MT" w:hAnsi="Arial" w:cs="Arial"/>
          <w:i/>
          <w:iCs/>
          <w:lang w:val="es-ES"/>
        </w:rPr>
        <w:t>E</w:t>
      </w:r>
      <w:r w:rsidR="004B40A4" w:rsidRPr="00B03685">
        <w:rPr>
          <w:rFonts w:ascii="Arial" w:eastAsia="Arial MT" w:hAnsi="Arial" w:cs="Arial"/>
          <w:i/>
          <w:iCs/>
          <w:lang w:val="es-ES"/>
        </w:rPr>
        <w:t>s</w:t>
      </w:r>
      <w:r w:rsidR="004B40A4" w:rsidRPr="00B03685">
        <w:rPr>
          <w:rFonts w:ascii="Arial" w:eastAsia="Arial MT" w:hAnsi="Arial" w:cs="Arial"/>
          <w:i/>
          <w:lang w:val="es-ES"/>
        </w:rPr>
        <w:t xml:space="preserve"> competencia de la Nación 8.2. En forma privativa planificar, asignar y gestionar el uso del gas combustible en cuanto sea económica y técnicamente posible, a través de empresas oficiales, mixtas o privadas.”</w:t>
      </w:r>
    </w:p>
    <w:p w14:paraId="08A0D4F7" w14:textId="77777777" w:rsidR="004B40A4" w:rsidRPr="005C0CA0" w:rsidRDefault="004B40A4" w:rsidP="00B03685">
      <w:pPr>
        <w:suppressAutoHyphens w:val="0"/>
        <w:spacing w:after="0"/>
        <w:jc w:val="both"/>
        <w:rPr>
          <w:rFonts w:ascii="Arial" w:eastAsia="Times New Roman" w:hAnsi="Arial" w:cs="Arial"/>
          <w:i/>
          <w:iCs/>
          <w:sz w:val="24"/>
          <w:szCs w:val="24"/>
          <w:lang w:eastAsia="es-CO"/>
        </w:rPr>
      </w:pPr>
    </w:p>
    <w:p w14:paraId="2CAFADCF" w14:textId="77777777" w:rsidR="00CD6852" w:rsidRDefault="004B40A4" w:rsidP="00B03685">
      <w:pPr>
        <w:suppressAutoHyphens w:val="0"/>
        <w:spacing w:after="0"/>
        <w:jc w:val="both"/>
        <w:rPr>
          <w:rFonts w:ascii="Arial" w:eastAsia="Times New Roman" w:hAnsi="Arial" w:cs="Arial"/>
          <w:sz w:val="24"/>
          <w:szCs w:val="24"/>
          <w:lang w:eastAsia="es-CO"/>
        </w:rPr>
      </w:pPr>
      <w:r w:rsidRPr="5AB7284D">
        <w:rPr>
          <w:rFonts w:ascii="Arial" w:eastAsia="Times New Roman" w:hAnsi="Arial" w:cs="Arial"/>
          <w:sz w:val="24"/>
          <w:szCs w:val="24"/>
          <w:lang w:eastAsia="es-CO"/>
        </w:rPr>
        <w:t xml:space="preserve">Por su parte en el artículo 175 </w:t>
      </w:r>
      <w:r w:rsidR="340343D3" w:rsidRPr="5AB7284D">
        <w:rPr>
          <w:rFonts w:ascii="Arial" w:eastAsia="Times New Roman" w:hAnsi="Arial" w:cs="Arial"/>
          <w:sz w:val="24"/>
          <w:szCs w:val="24"/>
          <w:lang w:eastAsia="es-CO"/>
        </w:rPr>
        <w:t>ibidem</w:t>
      </w:r>
      <w:r w:rsidRPr="5AB7284D">
        <w:rPr>
          <w:rFonts w:ascii="Arial" w:eastAsia="Times New Roman" w:hAnsi="Arial" w:cs="Arial"/>
          <w:sz w:val="24"/>
          <w:szCs w:val="24"/>
          <w:lang w:eastAsia="es-CO"/>
        </w:rPr>
        <w:t>, establece como estímulo a los usuarios de gas combustible</w:t>
      </w:r>
      <w:r w:rsidR="00CD6852">
        <w:rPr>
          <w:rFonts w:ascii="Arial" w:eastAsia="Times New Roman" w:hAnsi="Arial" w:cs="Arial"/>
          <w:sz w:val="24"/>
          <w:szCs w:val="24"/>
          <w:lang w:eastAsia="es-CO"/>
        </w:rPr>
        <w:t>:</w:t>
      </w:r>
    </w:p>
    <w:p w14:paraId="027E42E5" w14:textId="77777777" w:rsidR="00CD6852" w:rsidRDefault="00CD6852" w:rsidP="00B03685">
      <w:pPr>
        <w:suppressAutoHyphens w:val="0"/>
        <w:spacing w:after="0"/>
        <w:jc w:val="both"/>
        <w:rPr>
          <w:rFonts w:ascii="Arial" w:eastAsia="Times New Roman" w:hAnsi="Arial" w:cs="Arial"/>
          <w:sz w:val="24"/>
          <w:szCs w:val="24"/>
          <w:lang w:eastAsia="es-CO"/>
        </w:rPr>
      </w:pPr>
    </w:p>
    <w:p w14:paraId="1D16CA58" w14:textId="32C34837" w:rsidR="004B40A4" w:rsidRPr="00B03685" w:rsidRDefault="004B40A4" w:rsidP="00B03685">
      <w:pPr>
        <w:suppressAutoHyphens w:val="0"/>
        <w:spacing w:after="0"/>
        <w:ind w:left="567"/>
        <w:jc w:val="both"/>
        <w:rPr>
          <w:rFonts w:ascii="Arial" w:eastAsia="Times New Roman" w:hAnsi="Arial" w:cs="Arial"/>
          <w:i/>
          <w:lang w:eastAsia="es-CO"/>
        </w:rPr>
      </w:pPr>
      <w:r w:rsidRPr="00B03685">
        <w:rPr>
          <w:rFonts w:ascii="Arial" w:eastAsia="Times New Roman" w:hAnsi="Arial" w:cs="Arial"/>
          <w:i/>
          <w:lang w:eastAsia="es-CO"/>
        </w:rPr>
        <w:t>Con el fin de propender por la utilización de fuentes alternativas de energía y para estimular la generación de empleo productivo, especialmente en microempresa, el gobierno nacional creará los estímulos convenientes y necesarios para favorecer a aquellos usuarios que consuman gas combustible. Dichos estímulos se orientarán, preferencialmente, a facilitar la adquisición de equipos industriales o caseros destinados a microempresa que consuman gas combustible</w:t>
      </w:r>
      <w:r w:rsidRPr="00B03685">
        <w:rPr>
          <w:rFonts w:ascii="Arial" w:eastAsia="Times New Roman" w:hAnsi="Arial" w:cs="Arial"/>
          <w:i/>
          <w:iCs/>
          <w:lang w:eastAsia="es-CO"/>
        </w:rPr>
        <w:t>.</w:t>
      </w:r>
    </w:p>
    <w:p w14:paraId="0E5D57CE" w14:textId="77777777" w:rsidR="004B40A4" w:rsidRPr="005C0CA0" w:rsidRDefault="004B40A4" w:rsidP="00B03685">
      <w:pPr>
        <w:suppressAutoHyphens w:val="0"/>
        <w:spacing w:after="0"/>
        <w:jc w:val="both"/>
        <w:rPr>
          <w:rFonts w:ascii="Arial" w:hAnsi="Arial" w:cs="Arial"/>
          <w:sz w:val="24"/>
          <w:szCs w:val="24"/>
          <w:lang w:val="es-ES"/>
        </w:rPr>
      </w:pPr>
    </w:p>
    <w:p w14:paraId="7A93AE8B" w14:textId="47816396" w:rsidR="00EC0092" w:rsidRPr="00B03685" w:rsidRDefault="00EC0092" w:rsidP="00B03685">
      <w:pPr>
        <w:pStyle w:val="TableParagraph"/>
        <w:spacing w:line="276" w:lineRule="auto"/>
        <w:ind w:left="0"/>
        <w:jc w:val="both"/>
        <w:rPr>
          <w:rFonts w:ascii="Arial" w:hAnsi="Arial" w:cs="Arial"/>
          <w:sz w:val="24"/>
          <w:szCs w:val="24"/>
        </w:rPr>
      </w:pPr>
      <w:r w:rsidRPr="00B03685">
        <w:rPr>
          <w:rFonts w:ascii="Arial" w:hAnsi="Arial" w:cs="Arial"/>
          <w:sz w:val="24"/>
          <w:szCs w:val="24"/>
        </w:rPr>
        <w:t>Desde tiempos inmemoriales, en</w:t>
      </w:r>
      <w:r w:rsidRPr="00B03685">
        <w:rPr>
          <w:rFonts w:ascii="Arial" w:hAnsi="Arial" w:cs="Arial"/>
          <w:spacing w:val="-4"/>
          <w:sz w:val="24"/>
          <w:szCs w:val="24"/>
        </w:rPr>
        <w:t xml:space="preserve"> </w:t>
      </w:r>
      <w:r w:rsidRPr="00B03685">
        <w:rPr>
          <w:rFonts w:ascii="Arial" w:hAnsi="Arial" w:cs="Arial"/>
          <w:sz w:val="24"/>
          <w:szCs w:val="24"/>
        </w:rPr>
        <w:t>Colombia</w:t>
      </w:r>
      <w:r w:rsidRPr="00B03685">
        <w:rPr>
          <w:rFonts w:ascii="Arial" w:hAnsi="Arial" w:cs="Arial"/>
          <w:spacing w:val="-2"/>
          <w:sz w:val="24"/>
          <w:szCs w:val="24"/>
        </w:rPr>
        <w:t xml:space="preserve"> </w:t>
      </w:r>
      <w:r w:rsidRPr="00B03685">
        <w:rPr>
          <w:rFonts w:ascii="Arial" w:hAnsi="Arial" w:cs="Arial"/>
          <w:sz w:val="24"/>
          <w:szCs w:val="24"/>
        </w:rPr>
        <w:t>la</w:t>
      </w:r>
      <w:r w:rsidRPr="00B03685">
        <w:rPr>
          <w:rFonts w:ascii="Arial" w:hAnsi="Arial" w:cs="Arial"/>
          <w:spacing w:val="-5"/>
          <w:sz w:val="24"/>
          <w:szCs w:val="24"/>
        </w:rPr>
        <w:t xml:space="preserve"> </w:t>
      </w:r>
      <w:r w:rsidRPr="00B03685">
        <w:rPr>
          <w:rFonts w:ascii="Arial" w:hAnsi="Arial" w:cs="Arial"/>
          <w:sz w:val="24"/>
          <w:szCs w:val="24"/>
        </w:rPr>
        <w:t>leña</w:t>
      </w:r>
      <w:r w:rsidRPr="00B03685">
        <w:rPr>
          <w:rFonts w:ascii="Arial" w:hAnsi="Arial" w:cs="Arial"/>
          <w:spacing w:val="-3"/>
          <w:sz w:val="24"/>
          <w:szCs w:val="24"/>
        </w:rPr>
        <w:t xml:space="preserve"> </w:t>
      </w:r>
      <w:r w:rsidRPr="00B03685">
        <w:rPr>
          <w:rFonts w:ascii="Arial" w:hAnsi="Arial" w:cs="Arial"/>
          <w:sz w:val="24"/>
          <w:szCs w:val="24"/>
        </w:rPr>
        <w:t>ha</w:t>
      </w:r>
      <w:r w:rsidRPr="00B03685">
        <w:rPr>
          <w:rFonts w:ascii="Arial" w:hAnsi="Arial" w:cs="Arial"/>
          <w:spacing w:val="-6"/>
          <w:sz w:val="24"/>
          <w:szCs w:val="24"/>
        </w:rPr>
        <w:t xml:space="preserve"> </w:t>
      </w:r>
      <w:r w:rsidRPr="00B03685">
        <w:rPr>
          <w:rFonts w:ascii="Arial" w:hAnsi="Arial" w:cs="Arial"/>
          <w:sz w:val="24"/>
          <w:szCs w:val="24"/>
        </w:rPr>
        <w:t>sido</w:t>
      </w:r>
      <w:r w:rsidRPr="00B03685">
        <w:rPr>
          <w:rFonts w:ascii="Arial" w:hAnsi="Arial" w:cs="Arial"/>
          <w:spacing w:val="-3"/>
          <w:sz w:val="24"/>
          <w:szCs w:val="24"/>
        </w:rPr>
        <w:t xml:space="preserve"> </w:t>
      </w:r>
      <w:r w:rsidRPr="00B03685">
        <w:rPr>
          <w:rFonts w:ascii="Arial" w:hAnsi="Arial" w:cs="Arial"/>
          <w:sz w:val="24"/>
          <w:szCs w:val="24"/>
        </w:rPr>
        <w:t>uno</w:t>
      </w:r>
      <w:r w:rsidRPr="00B03685">
        <w:rPr>
          <w:rFonts w:ascii="Arial" w:hAnsi="Arial" w:cs="Arial"/>
          <w:spacing w:val="-4"/>
          <w:sz w:val="24"/>
          <w:szCs w:val="24"/>
        </w:rPr>
        <w:t xml:space="preserve"> </w:t>
      </w:r>
      <w:r w:rsidRPr="00B03685">
        <w:rPr>
          <w:rFonts w:ascii="Arial" w:hAnsi="Arial" w:cs="Arial"/>
          <w:sz w:val="24"/>
          <w:szCs w:val="24"/>
        </w:rPr>
        <w:t>de</w:t>
      </w:r>
      <w:r w:rsidRPr="00B03685">
        <w:rPr>
          <w:rFonts w:ascii="Arial" w:hAnsi="Arial" w:cs="Arial"/>
          <w:spacing w:val="-6"/>
          <w:sz w:val="24"/>
          <w:szCs w:val="24"/>
        </w:rPr>
        <w:t xml:space="preserve"> </w:t>
      </w:r>
      <w:r w:rsidRPr="00B03685">
        <w:rPr>
          <w:rFonts w:ascii="Arial" w:hAnsi="Arial" w:cs="Arial"/>
          <w:sz w:val="24"/>
          <w:szCs w:val="24"/>
        </w:rPr>
        <w:t>los</w:t>
      </w:r>
      <w:r w:rsidRPr="00B03685">
        <w:rPr>
          <w:rFonts w:ascii="Arial" w:hAnsi="Arial" w:cs="Arial"/>
          <w:spacing w:val="-3"/>
          <w:sz w:val="24"/>
          <w:szCs w:val="24"/>
        </w:rPr>
        <w:t xml:space="preserve"> </w:t>
      </w:r>
      <w:r w:rsidRPr="00B03685">
        <w:rPr>
          <w:rFonts w:ascii="Arial" w:hAnsi="Arial" w:cs="Arial"/>
          <w:sz w:val="24"/>
          <w:szCs w:val="24"/>
        </w:rPr>
        <w:t>energéticos</w:t>
      </w:r>
      <w:r w:rsidRPr="00B03685">
        <w:rPr>
          <w:rFonts w:ascii="Arial" w:hAnsi="Arial" w:cs="Arial"/>
          <w:spacing w:val="-3"/>
          <w:sz w:val="24"/>
          <w:szCs w:val="24"/>
        </w:rPr>
        <w:t xml:space="preserve"> </w:t>
      </w:r>
      <w:r w:rsidRPr="00B03685">
        <w:rPr>
          <w:rFonts w:ascii="Arial" w:hAnsi="Arial" w:cs="Arial"/>
          <w:sz w:val="24"/>
          <w:szCs w:val="24"/>
        </w:rPr>
        <w:t>tradicionalmente</w:t>
      </w:r>
      <w:r w:rsidRPr="00B03685">
        <w:rPr>
          <w:rFonts w:ascii="Arial" w:hAnsi="Arial" w:cs="Arial"/>
          <w:spacing w:val="-5"/>
          <w:sz w:val="24"/>
          <w:szCs w:val="24"/>
        </w:rPr>
        <w:t xml:space="preserve"> </w:t>
      </w:r>
      <w:r w:rsidRPr="00B03685">
        <w:rPr>
          <w:rFonts w:ascii="Arial" w:hAnsi="Arial" w:cs="Arial"/>
          <w:sz w:val="24"/>
          <w:szCs w:val="24"/>
        </w:rPr>
        <w:t>usados</w:t>
      </w:r>
      <w:r w:rsidRPr="00B03685">
        <w:rPr>
          <w:rFonts w:ascii="Arial" w:hAnsi="Arial" w:cs="Arial"/>
          <w:spacing w:val="-3"/>
          <w:sz w:val="24"/>
          <w:szCs w:val="24"/>
        </w:rPr>
        <w:t xml:space="preserve"> </w:t>
      </w:r>
      <w:r w:rsidRPr="00B03685">
        <w:rPr>
          <w:rFonts w:ascii="Arial" w:hAnsi="Arial" w:cs="Arial"/>
          <w:sz w:val="24"/>
          <w:szCs w:val="24"/>
        </w:rPr>
        <w:t>para</w:t>
      </w:r>
      <w:r w:rsidRPr="00B03685">
        <w:rPr>
          <w:rFonts w:ascii="Arial" w:hAnsi="Arial" w:cs="Arial"/>
          <w:spacing w:val="-5"/>
          <w:sz w:val="24"/>
          <w:szCs w:val="24"/>
        </w:rPr>
        <w:t xml:space="preserve"> </w:t>
      </w:r>
      <w:r w:rsidRPr="00B03685">
        <w:rPr>
          <w:rFonts w:ascii="Arial" w:hAnsi="Arial" w:cs="Arial"/>
          <w:sz w:val="24"/>
          <w:szCs w:val="24"/>
        </w:rPr>
        <w:t>la</w:t>
      </w:r>
      <w:r w:rsidRPr="00B03685">
        <w:rPr>
          <w:rFonts w:ascii="Arial" w:hAnsi="Arial" w:cs="Arial"/>
          <w:spacing w:val="-3"/>
          <w:sz w:val="24"/>
          <w:szCs w:val="24"/>
        </w:rPr>
        <w:t xml:space="preserve"> </w:t>
      </w:r>
      <w:r w:rsidRPr="00B03685">
        <w:rPr>
          <w:rFonts w:ascii="Arial" w:hAnsi="Arial" w:cs="Arial"/>
          <w:sz w:val="24"/>
          <w:szCs w:val="24"/>
        </w:rPr>
        <w:t>cocción</w:t>
      </w:r>
      <w:r w:rsidRPr="00B03685">
        <w:rPr>
          <w:rFonts w:ascii="Arial" w:hAnsi="Arial" w:cs="Arial"/>
          <w:spacing w:val="-4"/>
          <w:sz w:val="24"/>
          <w:szCs w:val="24"/>
        </w:rPr>
        <w:t xml:space="preserve"> </w:t>
      </w:r>
      <w:r w:rsidRPr="00B03685">
        <w:rPr>
          <w:rFonts w:ascii="Arial" w:hAnsi="Arial" w:cs="Arial"/>
          <w:sz w:val="24"/>
          <w:szCs w:val="24"/>
        </w:rPr>
        <w:t>de</w:t>
      </w:r>
      <w:r w:rsidRPr="00B03685">
        <w:rPr>
          <w:rFonts w:ascii="Arial" w:hAnsi="Arial" w:cs="Arial"/>
          <w:spacing w:val="-3"/>
          <w:sz w:val="24"/>
          <w:szCs w:val="24"/>
        </w:rPr>
        <w:t xml:space="preserve"> </w:t>
      </w:r>
      <w:r w:rsidRPr="00B03685">
        <w:rPr>
          <w:rFonts w:ascii="Arial" w:hAnsi="Arial" w:cs="Arial"/>
          <w:sz w:val="24"/>
          <w:szCs w:val="24"/>
        </w:rPr>
        <w:t>alimentos</w:t>
      </w:r>
      <w:r w:rsidRPr="00B03685">
        <w:rPr>
          <w:rFonts w:ascii="Arial" w:hAnsi="Arial" w:cs="Arial"/>
          <w:spacing w:val="-5"/>
          <w:sz w:val="24"/>
          <w:szCs w:val="24"/>
        </w:rPr>
        <w:t xml:space="preserve"> </w:t>
      </w:r>
      <w:r w:rsidRPr="00B03685">
        <w:rPr>
          <w:rFonts w:ascii="Arial" w:hAnsi="Arial" w:cs="Arial"/>
          <w:sz w:val="24"/>
          <w:szCs w:val="24"/>
        </w:rPr>
        <w:t xml:space="preserve">en los hogares, por lo que a principios de los años 90´s se iniciaron esfuerzos desde el Gobierno </w:t>
      </w:r>
      <w:r w:rsidR="006F5845">
        <w:rPr>
          <w:rFonts w:ascii="Arial" w:hAnsi="Arial" w:cs="Arial"/>
          <w:sz w:val="24"/>
          <w:szCs w:val="24"/>
        </w:rPr>
        <w:t>n</w:t>
      </w:r>
      <w:r w:rsidRPr="00B03685">
        <w:rPr>
          <w:rFonts w:ascii="Arial" w:hAnsi="Arial" w:cs="Arial"/>
          <w:sz w:val="24"/>
          <w:szCs w:val="24"/>
        </w:rPr>
        <w:t>acional para masificar el uso de</w:t>
      </w:r>
      <w:r w:rsidRPr="00B03685">
        <w:rPr>
          <w:rFonts w:ascii="Arial" w:hAnsi="Arial" w:cs="Arial"/>
          <w:spacing w:val="-4"/>
          <w:sz w:val="24"/>
          <w:szCs w:val="24"/>
        </w:rPr>
        <w:t xml:space="preserve"> </w:t>
      </w:r>
      <w:r w:rsidRPr="00B03685">
        <w:rPr>
          <w:rFonts w:ascii="Arial" w:hAnsi="Arial" w:cs="Arial"/>
          <w:sz w:val="24"/>
          <w:szCs w:val="24"/>
        </w:rPr>
        <w:t>combustibles</w:t>
      </w:r>
      <w:r w:rsidRPr="00B03685">
        <w:rPr>
          <w:rFonts w:ascii="Arial" w:hAnsi="Arial" w:cs="Arial"/>
          <w:spacing w:val="-5"/>
          <w:sz w:val="24"/>
          <w:szCs w:val="24"/>
        </w:rPr>
        <w:t xml:space="preserve"> </w:t>
      </w:r>
      <w:r w:rsidRPr="00B03685">
        <w:rPr>
          <w:rFonts w:ascii="Arial" w:hAnsi="Arial" w:cs="Arial"/>
          <w:sz w:val="24"/>
          <w:szCs w:val="24"/>
        </w:rPr>
        <w:t>más</w:t>
      </w:r>
      <w:r w:rsidRPr="00B03685">
        <w:rPr>
          <w:rFonts w:ascii="Arial" w:hAnsi="Arial" w:cs="Arial"/>
          <w:spacing w:val="-5"/>
          <w:sz w:val="24"/>
          <w:szCs w:val="24"/>
        </w:rPr>
        <w:t xml:space="preserve"> </w:t>
      </w:r>
      <w:r w:rsidRPr="00B03685">
        <w:rPr>
          <w:rFonts w:ascii="Arial" w:hAnsi="Arial" w:cs="Arial"/>
          <w:sz w:val="24"/>
          <w:szCs w:val="24"/>
        </w:rPr>
        <w:t>limpios</w:t>
      </w:r>
      <w:r w:rsidRPr="00B03685">
        <w:rPr>
          <w:rFonts w:ascii="Arial" w:hAnsi="Arial" w:cs="Arial"/>
          <w:spacing w:val="-3"/>
          <w:sz w:val="24"/>
          <w:szCs w:val="24"/>
        </w:rPr>
        <w:t xml:space="preserve"> </w:t>
      </w:r>
      <w:r w:rsidRPr="00B03685">
        <w:rPr>
          <w:rFonts w:ascii="Arial" w:hAnsi="Arial" w:cs="Arial"/>
          <w:sz w:val="24"/>
          <w:szCs w:val="24"/>
        </w:rPr>
        <w:t>y</w:t>
      </w:r>
      <w:r w:rsidRPr="00B03685">
        <w:rPr>
          <w:rFonts w:ascii="Arial" w:hAnsi="Arial" w:cs="Arial"/>
          <w:spacing w:val="-5"/>
          <w:sz w:val="24"/>
          <w:szCs w:val="24"/>
        </w:rPr>
        <w:t xml:space="preserve"> </w:t>
      </w:r>
      <w:r w:rsidRPr="00B03685">
        <w:rPr>
          <w:rFonts w:ascii="Arial" w:hAnsi="Arial" w:cs="Arial"/>
          <w:sz w:val="24"/>
          <w:szCs w:val="24"/>
        </w:rPr>
        <w:t>seguros</w:t>
      </w:r>
      <w:r w:rsidRPr="00B03685">
        <w:rPr>
          <w:rFonts w:ascii="Arial" w:hAnsi="Arial" w:cs="Arial"/>
          <w:spacing w:val="-6"/>
          <w:sz w:val="24"/>
          <w:szCs w:val="24"/>
        </w:rPr>
        <w:t xml:space="preserve"> </w:t>
      </w:r>
      <w:r w:rsidRPr="00B03685">
        <w:rPr>
          <w:rFonts w:ascii="Arial" w:hAnsi="Arial" w:cs="Arial"/>
          <w:sz w:val="24"/>
          <w:szCs w:val="24"/>
        </w:rPr>
        <w:t>en</w:t>
      </w:r>
      <w:r w:rsidRPr="00B03685">
        <w:rPr>
          <w:rFonts w:ascii="Arial" w:hAnsi="Arial" w:cs="Arial"/>
          <w:spacing w:val="-6"/>
          <w:sz w:val="24"/>
          <w:szCs w:val="24"/>
        </w:rPr>
        <w:t xml:space="preserve"> </w:t>
      </w:r>
      <w:r w:rsidRPr="00B03685">
        <w:rPr>
          <w:rFonts w:ascii="Arial" w:hAnsi="Arial" w:cs="Arial"/>
          <w:sz w:val="24"/>
          <w:szCs w:val="24"/>
        </w:rPr>
        <w:t>la</w:t>
      </w:r>
      <w:r w:rsidRPr="00B03685">
        <w:rPr>
          <w:rFonts w:ascii="Arial" w:hAnsi="Arial" w:cs="Arial"/>
          <w:spacing w:val="-3"/>
          <w:sz w:val="24"/>
          <w:szCs w:val="24"/>
        </w:rPr>
        <w:t xml:space="preserve"> </w:t>
      </w:r>
      <w:r w:rsidRPr="00B03685">
        <w:rPr>
          <w:rFonts w:ascii="Arial" w:hAnsi="Arial" w:cs="Arial"/>
          <w:sz w:val="24"/>
          <w:szCs w:val="24"/>
        </w:rPr>
        <w:t>cocina</w:t>
      </w:r>
      <w:r w:rsidRPr="00B03685">
        <w:rPr>
          <w:rFonts w:ascii="Arial" w:hAnsi="Arial" w:cs="Arial"/>
          <w:spacing w:val="-3"/>
          <w:sz w:val="24"/>
          <w:szCs w:val="24"/>
        </w:rPr>
        <w:t xml:space="preserve"> </w:t>
      </w:r>
      <w:r w:rsidRPr="00B03685">
        <w:rPr>
          <w:rFonts w:ascii="Arial" w:hAnsi="Arial" w:cs="Arial"/>
          <w:sz w:val="24"/>
          <w:szCs w:val="24"/>
        </w:rPr>
        <w:t>de</w:t>
      </w:r>
      <w:r w:rsidRPr="00B03685">
        <w:rPr>
          <w:rFonts w:ascii="Arial" w:hAnsi="Arial" w:cs="Arial"/>
          <w:spacing w:val="-6"/>
          <w:sz w:val="24"/>
          <w:szCs w:val="24"/>
        </w:rPr>
        <w:t xml:space="preserve"> </w:t>
      </w:r>
      <w:r w:rsidRPr="00B03685">
        <w:rPr>
          <w:rFonts w:ascii="Arial" w:hAnsi="Arial" w:cs="Arial"/>
          <w:sz w:val="24"/>
          <w:szCs w:val="24"/>
        </w:rPr>
        <w:t>los</w:t>
      </w:r>
      <w:r w:rsidRPr="00B03685">
        <w:rPr>
          <w:rFonts w:ascii="Arial" w:hAnsi="Arial" w:cs="Arial"/>
          <w:spacing w:val="-5"/>
          <w:sz w:val="24"/>
          <w:szCs w:val="24"/>
        </w:rPr>
        <w:t xml:space="preserve"> </w:t>
      </w:r>
      <w:r w:rsidRPr="00B03685">
        <w:rPr>
          <w:rFonts w:ascii="Arial" w:hAnsi="Arial" w:cs="Arial"/>
          <w:sz w:val="24"/>
          <w:szCs w:val="24"/>
        </w:rPr>
        <w:t>hogares</w:t>
      </w:r>
      <w:r w:rsidRPr="00B03685">
        <w:rPr>
          <w:rFonts w:ascii="Arial" w:hAnsi="Arial" w:cs="Arial"/>
          <w:spacing w:val="-6"/>
          <w:sz w:val="24"/>
          <w:szCs w:val="24"/>
        </w:rPr>
        <w:t xml:space="preserve"> </w:t>
      </w:r>
      <w:r w:rsidRPr="00B03685">
        <w:rPr>
          <w:rFonts w:ascii="Arial" w:hAnsi="Arial" w:cs="Arial"/>
          <w:sz w:val="24"/>
          <w:szCs w:val="24"/>
        </w:rPr>
        <w:t>del</w:t>
      </w:r>
      <w:r w:rsidRPr="00B03685">
        <w:rPr>
          <w:rFonts w:ascii="Arial" w:hAnsi="Arial" w:cs="Arial"/>
          <w:spacing w:val="-6"/>
          <w:sz w:val="24"/>
          <w:szCs w:val="24"/>
        </w:rPr>
        <w:t xml:space="preserve"> </w:t>
      </w:r>
      <w:r w:rsidRPr="00B03685">
        <w:rPr>
          <w:rFonts w:ascii="Arial" w:hAnsi="Arial" w:cs="Arial"/>
          <w:sz w:val="24"/>
          <w:szCs w:val="24"/>
        </w:rPr>
        <w:t>país,</w:t>
      </w:r>
      <w:r w:rsidRPr="00B03685">
        <w:rPr>
          <w:rFonts w:ascii="Arial" w:hAnsi="Arial" w:cs="Arial"/>
          <w:spacing w:val="-4"/>
          <w:sz w:val="24"/>
          <w:szCs w:val="24"/>
        </w:rPr>
        <w:t xml:space="preserve"> </w:t>
      </w:r>
      <w:r w:rsidRPr="00B03685">
        <w:rPr>
          <w:rFonts w:ascii="Arial" w:hAnsi="Arial" w:cs="Arial"/>
          <w:sz w:val="24"/>
          <w:szCs w:val="24"/>
        </w:rPr>
        <w:t>sustituyendo</w:t>
      </w:r>
      <w:r w:rsidRPr="00B03685">
        <w:rPr>
          <w:rFonts w:ascii="Arial" w:hAnsi="Arial" w:cs="Arial"/>
          <w:spacing w:val="-5"/>
          <w:sz w:val="24"/>
          <w:szCs w:val="24"/>
        </w:rPr>
        <w:t xml:space="preserve"> </w:t>
      </w:r>
      <w:r w:rsidRPr="00B03685">
        <w:rPr>
          <w:rFonts w:ascii="Arial" w:hAnsi="Arial" w:cs="Arial"/>
          <w:sz w:val="24"/>
          <w:szCs w:val="24"/>
        </w:rPr>
        <w:t>progresivamente</w:t>
      </w:r>
      <w:r w:rsidRPr="00B03685">
        <w:rPr>
          <w:rFonts w:ascii="Arial" w:hAnsi="Arial" w:cs="Arial"/>
          <w:spacing w:val="-5"/>
          <w:sz w:val="24"/>
          <w:szCs w:val="24"/>
        </w:rPr>
        <w:t xml:space="preserve"> </w:t>
      </w:r>
      <w:r w:rsidRPr="00B03685">
        <w:rPr>
          <w:rFonts w:ascii="Arial" w:hAnsi="Arial" w:cs="Arial"/>
          <w:sz w:val="24"/>
          <w:szCs w:val="24"/>
        </w:rPr>
        <w:t xml:space="preserve">el </w:t>
      </w:r>
      <w:r w:rsidRPr="00B03685">
        <w:rPr>
          <w:rFonts w:ascii="Arial" w:hAnsi="Arial" w:cs="Arial"/>
          <w:spacing w:val="-59"/>
          <w:sz w:val="24"/>
          <w:szCs w:val="24"/>
        </w:rPr>
        <w:t xml:space="preserve">    </w:t>
      </w:r>
      <w:r w:rsidRPr="00B03685">
        <w:rPr>
          <w:rFonts w:ascii="Arial" w:hAnsi="Arial" w:cs="Arial"/>
          <w:sz w:val="24"/>
          <w:szCs w:val="24"/>
        </w:rPr>
        <w:t>de leña</w:t>
      </w:r>
      <w:r w:rsidRPr="00B03685">
        <w:rPr>
          <w:rFonts w:ascii="Arial" w:hAnsi="Arial" w:cs="Arial"/>
          <w:spacing w:val="1"/>
          <w:sz w:val="24"/>
          <w:szCs w:val="24"/>
        </w:rPr>
        <w:t xml:space="preserve"> </w:t>
      </w:r>
      <w:r w:rsidRPr="00B03685">
        <w:rPr>
          <w:rFonts w:ascii="Arial" w:hAnsi="Arial" w:cs="Arial"/>
          <w:sz w:val="24"/>
          <w:szCs w:val="24"/>
        </w:rPr>
        <w:t>y otros combustibles menos limpios como la gasolina para cocción, conocida como “cocinol”. Dicha política</w:t>
      </w:r>
      <w:r w:rsidRPr="00B03685">
        <w:rPr>
          <w:rFonts w:ascii="Arial" w:hAnsi="Arial" w:cs="Arial"/>
          <w:spacing w:val="1"/>
          <w:sz w:val="24"/>
          <w:szCs w:val="24"/>
        </w:rPr>
        <w:t xml:space="preserve"> </w:t>
      </w:r>
      <w:r w:rsidRPr="00B03685">
        <w:rPr>
          <w:rFonts w:ascii="Arial" w:hAnsi="Arial" w:cs="Arial"/>
          <w:sz w:val="24"/>
          <w:szCs w:val="24"/>
        </w:rPr>
        <w:t>quedó consignada en los</w:t>
      </w:r>
      <w:r w:rsidRPr="00B03685">
        <w:rPr>
          <w:rFonts w:ascii="Arial" w:hAnsi="Arial" w:cs="Arial"/>
          <w:spacing w:val="1"/>
          <w:sz w:val="24"/>
          <w:szCs w:val="24"/>
        </w:rPr>
        <w:t xml:space="preserve"> </w:t>
      </w:r>
      <w:r w:rsidRPr="00B03685">
        <w:rPr>
          <w:rFonts w:ascii="Arial" w:hAnsi="Arial" w:cs="Arial"/>
          <w:sz w:val="24"/>
          <w:szCs w:val="24"/>
        </w:rPr>
        <w:t xml:space="preserve">documentos CONPES 2571 de 1991 y CONPES 2646 de 1993, en </w:t>
      </w:r>
      <w:r w:rsidR="006F5845">
        <w:rPr>
          <w:rFonts w:ascii="Arial" w:hAnsi="Arial" w:cs="Arial"/>
          <w:sz w:val="24"/>
          <w:szCs w:val="24"/>
        </w:rPr>
        <w:t xml:space="preserve">los cuales </w:t>
      </w:r>
      <w:r w:rsidRPr="00B03685">
        <w:rPr>
          <w:rFonts w:ascii="Arial" w:hAnsi="Arial" w:cs="Arial"/>
          <w:sz w:val="24"/>
          <w:szCs w:val="24"/>
        </w:rPr>
        <w:t>se recomendó la masificación del</w:t>
      </w:r>
      <w:r w:rsidRPr="00B03685">
        <w:rPr>
          <w:rFonts w:ascii="Arial" w:hAnsi="Arial" w:cs="Arial"/>
          <w:spacing w:val="1"/>
          <w:sz w:val="24"/>
          <w:szCs w:val="24"/>
        </w:rPr>
        <w:t xml:space="preserve"> </w:t>
      </w:r>
      <w:r w:rsidRPr="00B03685">
        <w:rPr>
          <w:rFonts w:ascii="Arial" w:hAnsi="Arial" w:cs="Arial"/>
          <w:sz w:val="24"/>
          <w:szCs w:val="24"/>
        </w:rPr>
        <w:t xml:space="preserve">consumo, primero del Gas Licuado de Petróleo (GLP) y posteriormente Gas Natural (GN). De esta manera el </w:t>
      </w:r>
      <w:r w:rsidR="00E242AF">
        <w:rPr>
          <w:rFonts w:ascii="Arial" w:hAnsi="Arial" w:cs="Arial"/>
          <w:sz w:val="24"/>
          <w:szCs w:val="24"/>
        </w:rPr>
        <w:t xml:space="preserve">Estado colombiano </w:t>
      </w:r>
      <w:r w:rsidRPr="00B03685">
        <w:rPr>
          <w:rFonts w:ascii="Arial" w:hAnsi="Arial" w:cs="Arial"/>
          <w:sz w:val="24"/>
          <w:szCs w:val="24"/>
        </w:rPr>
        <w:t>por medio del Ministerio de Minas y Energía ha</w:t>
      </w:r>
      <w:r w:rsidRPr="00B03685">
        <w:rPr>
          <w:rFonts w:ascii="Arial" w:hAnsi="Arial" w:cs="Arial"/>
          <w:spacing w:val="1"/>
          <w:sz w:val="24"/>
          <w:szCs w:val="24"/>
        </w:rPr>
        <w:t xml:space="preserve"> </w:t>
      </w:r>
      <w:r w:rsidRPr="00B03685">
        <w:rPr>
          <w:rFonts w:ascii="Arial" w:hAnsi="Arial" w:cs="Arial"/>
          <w:sz w:val="24"/>
          <w:szCs w:val="24"/>
        </w:rPr>
        <w:t>formulado proyectos de inversión con el fin de aumentar el acceso a energéticos más limpios en todo el</w:t>
      </w:r>
      <w:r w:rsidRPr="00B03685">
        <w:rPr>
          <w:rFonts w:ascii="Arial" w:hAnsi="Arial" w:cs="Arial"/>
          <w:spacing w:val="1"/>
          <w:sz w:val="24"/>
          <w:szCs w:val="24"/>
        </w:rPr>
        <w:t xml:space="preserve"> </w:t>
      </w:r>
      <w:r w:rsidRPr="00B03685">
        <w:rPr>
          <w:rFonts w:ascii="Arial" w:hAnsi="Arial" w:cs="Arial"/>
          <w:sz w:val="24"/>
          <w:szCs w:val="24"/>
        </w:rPr>
        <w:t>territorio del país.</w:t>
      </w:r>
    </w:p>
    <w:p w14:paraId="72263927" w14:textId="77777777" w:rsidR="00D469C2" w:rsidRPr="00B03685" w:rsidRDefault="00D469C2" w:rsidP="00B03685">
      <w:pPr>
        <w:tabs>
          <w:tab w:val="left" w:pos="3515"/>
        </w:tabs>
        <w:suppressAutoHyphens w:val="0"/>
        <w:spacing w:after="0"/>
        <w:jc w:val="both"/>
        <w:rPr>
          <w:rFonts w:ascii="Arial" w:eastAsia="Arial MT" w:hAnsi="Arial" w:cs="Arial"/>
          <w:b/>
          <w:sz w:val="24"/>
          <w:szCs w:val="24"/>
          <w:lang w:val="es-ES"/>
        </w:rPr>
      </w:pPr>
    </w:p>
    <w:p w14:paraId="087DCB48" w14:textId="7FA78341" w:rsidR="000A0934" w:rsidRPr="00B03685" w:rsidRDefault="000A0934" w:rsidP="00B03685">
      <w:pPr>
        <w:tabs>
          <w:tab w:val="left" w:pos="3515"/>
        </w:tabs>
        <w:suppressAutoHyphens w:val="0"/>
        <w:spacing w:after="0"/>
        <w:jc w:val="both"/>
        <w:rPr>
          <w:rFonts w:ascii="Arial" w:eastAsia="Arial MT" w:hAnsi="Arial" w:cs="Arial"/>
          <w:b/>
          <w:sz w:val="24"/>
          <w:szCs w:val="24"/>
        </w:rPr>
      </w:pPr>
      <w:r>
        <w:rPr>
          <w:rFonts w:ascii="Arial" w:eastAsia="Arial MT" w:hAnsi="Arial" w:cs="Arial"/>
          <w:b/>
          <w:bCs/>
          <w:sz w:val="24"/>
          <w:szCs w:val="24"/>
        </w:rPr>
        <w:t>Fondo Especial Cuota de Fomento de Gas Natural - FECFGN</w:t>
      </w:r>
    </w:p>
    <w:p w14:paraId="4D75630E" w14:textId="77777777" w:rsidR="000A0934" w:rsidRDefault="000A0934" w:rsidP="00B03685">
      <w:pPr>
        <w:tabs>
          <w:tab w:val="left" w:pos="3515"/>
        </w:tabs>
        <w:suppressAutoHyphens w:val="0"/>
        <w:spacing w:after="0"/>
        <w:jc w:val="both"/>
        <w:rPr>
          <w:rFonts w:ascii="Arial" w:eastAsia="Arial MT" w:hAnsi="Arial" w:cs="Arial"/>
          <w:sz w:val="24"/>
          <w:szCs w:val="24"/>
        </w:rPr>
      </w:pPr>
    </w:p>
    <w:p w14:paraId="0FC4E38D" w14:textId="08B640A6" w:rsidR="00E734AD" w:rsidRDefault="004B40A4" w:rsidP="00B03685">
      <w:pPr>
        <w:tabs>
          <w:tab w:val="left" w:pos="3515"/>
        </w:tabs>
        <w:suppressAutoHyphens w:val="0"/>
        <w:spacing w:after="0"/>
        <w:jc w:val="both"/>
        <w:rPr>
          <w:rFonts w:ascii="Arial" w:eastAsia="Arial MT" w:hAnsi="Arial" w:cs="Arial"/>
          <w:sz w:val="24"/>
          <w:szCs w:val="24"/>
          <w:lang w:val="es-ES"/>
        </w:rPr>
      </w:pPr>
      <w:r w:rsidRPr="005C0CA0">
        <w:rPr>
          <w:rFonts w:ascii="Arial" w:eastAsia="Arial MT" w:hAnsi="Arial" w:cs="Arial"/>
          <w:sz w:val="24"/>
          <w:szCs w:val="24"/>
        </w:rPr>
        <w:t xml:space="preserve">La Ley 401 de 1997, artículo 15, </w:t>
      </w:r>
      <w:r w:rsidRPr="005C0CA0">
        <w:rPr>
          <w:rFonts w:ascii="Arial" w:eastAsia="Arial MT" w:hAnsi="Arial" w:cs="Arial"/>
          <w:sz w:val="24"/>
          <w:szCs w:val="24"/>
          <w:lang w:val="es-ES"/>
        </w:rPr>
        <w:t>creó un fondo especial, administrado y manejado por la Junta Directiva de Ecogas, con el fin de promover y cofinanciar proyectos dirigidos al desarrollo de infraestructura para el uso del gas natural en los municipios y el sector rural prioritariamente, dentro del área de influencia de los gasoductos troncales y que t</w:t>
      </w:r>
      <w:r w:rsidR="00BB060C">
        <w:rPr>
          <w:rFonts w:ascii="Arial" w:eastAsia="Arial MT" w:hAnsi="Arial" w:cs="Arial"/>
          <w:sz w:val="24"/>
          <w:szCs w:val="24"/>
          <w:lang w:val="es-ES"/>
        </w:rPr>
        <w:t xml:space="preserve">uvieran </w:t>
      </w:r>
      <w:r w:rsidRPr="005C0CA0">
        <w:rPr>
          <w:rFonts w:ascii="Arial" w:eastAsia="Arial MT" w:hAnsi="Arial" w:cs="Arial"/>
          <w:sz w:val="24"/>
          <w:szCs w:val="24"/>
          <w:lang w:val="es-ES"/>
        </w:rPr>
        <w:t>el mayor índice de Necesidades Básicas Insatisfechas (NBI)</w:t>
      </w:r>
      <w:r w:rsidR="00E734AD">
        <w:rPr>
          <w:rFonts w:ascii="Arial" w:eastAsia="Arial MT" w:hAnsi="Arial" w:cs="Arial"/>
          <w:sz w:val="24"/>
          <w:szCs w:val="24"/>
          <w:lang w:val="es-ES"/>
        </w:rPr>
        <w:t xml:space="preserve">. </w:t>
      </w:r>
    </w:p>
    <w:p w14:paraId="5BA4D813" w14:textId="77777777" w:rsidR="00E734AD" w:rsidRDefault="00E734AD" w:rsidP="00B03685">
      <w:pPr>
        <w:tabs>
          <w:tab w:val="left" w:pos="3515"/>
        </w:tabs>
        <w:suppressAutoHyphens w:val="0"/>
        <w:spacing w:after="0"/>
        <w:jc w:val="both"/>
        <w:rPr>
          <w:rFonts w:ascii="Arial" w:eastAsia="Arial MT" w:hAnsi="Arial" w:cs="Arial"/>
          <w:sz w:val="24"/>
          <w:szCs w:val="24"/>
          <w:lang w:val="es-ES"/>
        </w:rPr>
      </w:pPr>
    </w:p>
    <w:p w14:paraId="2DFE3867" w14:textId="79F5FCEE" w:rsidR="004B40A4" w:rsidRPr="005C0CA0" w:rsidRDefault="00E734AD" w:rsidP="00B03685">
      <w:pPr>
        <w:tabs>
          <w:tab w:val="left" w:pos="3515"/>
        </w:tabs>
        <w:suppressAutoHyphens w:val="0"/>
        <w:spacing w:after="0"/>
        <w:jc w:val="both"/>
        <w:rPr>
          <w:rFonts w:ascii="Arial" w:eastAsia="Arial MT" w:hAnsi="Arial" w:cs="Arial"/>
          <w:sz w:val="24"/>
          <w:szCs w:val="24"/>
          <w:lang w:val="es-ES"/>
        </w:rPr>
      </w:pPr>
      <w:r>
        <w:rPr>
          <w:rFonts w:ascii="Arial" w:eastAsia="Arial MT" w:hAnsi="Arial" w:cs="Arial"/>
          <w:sz w:val="24"/>
          <w:szCs w:val="24"/>
          <w:lang w:val="es-ES"/>
        </w:rPr>
        <w:t>M</w:t>
      </w:r>
      <w:r w:rsidR="004B40A4" w:rsidRPr="005C0CA0">
        <w:rPr>
          <w:rFonts w:ascii="Arial" w:eastAsia="Arial MT" w:hAnsi="Arial" w:cs="Arial"/>
          <w:sz w:val="24"/>
          <w:szCs w:val="24"/>
          <w:lang w:val="es-ES"/>
        </w:rPr>
        <w:t>ediante el artículo 98 de la Ley 1450 de 2011, se estableció que el Fondo Especial Cuota de Fomento de Gas Natural (FECFGN) continuaría siendo administrado por el Ministerio de Minas y Energía y sus recursos manejados por el Ministerio de Hacienda y Crédito Público, previendo que la Cuota de Fomento de Gas Natural, ser</w:t>
      </w:r>
      <w:r w:rsidR="00F5058F">
        <w:rPr>
          <w:rFonts w:ascii="Arial" w:eastAsia="Arial MT" w:hAnsi="Arial" w:cs="Arial"/>
          <w:sz w:val="24"/>
          <w:szCs w:val="24"/>
          <w:lang w:val="es-ES"/>
        </w:rPr>
        <w:t>ía</w:t>
      </w:r>
      <w:r w:rsidR="004B40A4" w:rsidRPr="005C0CA0">
        <w:rPr>
          <w:rFonts w:ascii="Arial" w:eastAsia="Arial MT" w:hAnsi="Arial" w:cs="Arial"/>
          <w:sz w:val="24"/>
          <w:szCs w:val="24"/>
          <w:lang w:val="es-ES"/>
        </w:rPr>
        <w:t xml:space="preserve"> del 3% sobre el valor de la tarifa que se cobre por el gas objeto del transporte, efectivamente realizado.</w:t>
      </w:r>
    </w:p>
    <w:p w14:paraId="0CC69499" w14:textId="77777777" w:rsidR="004B40A4" w:rsidRPr="005C0CA0" w:rsidRDefault="004B40A4" w:rsidP="00B03685">
      <w:pPr>
        <w:tabs>
          <w:tab w:val="left" w:pos="3515"/>
        </w:tabs>
        <w:suppressAutoHyphens w:val="0"/>
        <w:spacing w:after="0"/>
        <w:jc w:val="both"/>
        <w:rPr>
          <w:rFonts w:ascii="Arial" w:hAnsi="Arial" w:cs="Arial"/>
          <w:sz w:val="24"/>
          <w:szCs w:val="24"/>
        </w:rPr>
      </w:pPr>
    </w:p>
    <w:p w14:paraId="12F8E4C2" w14:textId="6CF52833" w:rsidR="004B5804" w:rsidRDefault="00F5058F" w:rsidP="00B03685">
      <w:pPr>
        <w:tabs>
          <w:tab w:val="left" w:pos="3515"/>
        </w:tabs>
        <w:suppressAutoHyphens w:val="0"/>
        <w:spacing w:after="0"/>
        <w:jc w:val="both"/>
        <w:rPr>
          <w:rFonts w:ascii="Arial" w:eastAsia="Arial MT" w:hAnsi="Arial" w:cs="Arial"/>
          <w:sz w:val="24"/>
          <w:szCs w:val="24"/>
          <w:lang w:val="es-ES"/>
        </w:rPr>
      </w:pPr>
      <w:r>
        <w:rPr>
          <w:rFonts w:ascii="Arial" w:eastAsia="Arial MT" w:hAnsi="Arial" w:cs="Arial"/>
          <w:sz w:val="24"/>
          <w:szCs w:val="24"/>
          <w:lang w:val="es-ES"/>
        </w:rPr>
        <w:t>Así mismo</w:t>
      </w:r>
      <w:r w:rsidR="004B5804">
        <w:rPr>
          <w:rFonts w:ascii="Arial" w:eastAsia="Arial MT" w:hAnsi="Arial" w:cs="Arial"/>
          <w:sz w:val="24"/>
          <w:szCs w:val="24"/>
          <w:lang w:val="es-ES"/>
        </w:rPr>
        <w:t xml:space="preserve"> </w:t>
      </w:r>
      <w:r w:rsidR="004B40A4" w:rsidRPr="005C0CA0">
        <w:rPr>
          <w:rFonts w:ascii="Arial" w:eastAsia="Arial MT" w:hAnsi="Arial" w:cs="Arial"/>
          <w:sz w:val="24"/>
          <w:szCs w:val="24"/>
          <w:lang w:val="es-ES"/>
        </w:rPr>
        <w:t>el parágrafo 2 del Artículo 293 de la Ley 1955 de 2019, establece</w:t>
      </w:r>
      <w:r w:rsidR="004B5804">
        <w:rPr>
          <w:rFonts w:ascii="Arial" w:eastAsia="Arial MT" w:hAnsi="Arial" w:cs="Arial"/>
          <w:sz w:val="24"/>
          <w:szCs w:val="24"/>
          <w:lang w:val="es-ES"/>
        </w:rPr>
        <w:t>:</w:t>
      </w:r>
    </w:p>
    <w:p w14:paraId="4A10A863" w14:textId="77777777" w:rsidR="004B5804" w:rsidRDefault="004B5804" w:rsidP="00B03685">
      <w:pPr>
        <w:tabs>
          <w:tab w:val="left" w:pos="3515"/>
        </w:tabs>
        <w:suppressAutoHyphens w:val="0"/>
        <w:spacing w:after="0"/>
        <w:jc w:val="both"/>
        <w:rPr>
          <w:rFonts w:ascii="Arial" w:eastAsia="Arial MT" w:hAnsi="Arial" w:cs="Arial"/>
          <w:sz w:val="24"/>
          <w:szCs w:val="24"/>
          <w:lang w:val="es-ES"/>
        </w:rPr>
      </w:pPr>
    </w:p>
    <w:p w14:paraId="393F6881" w14:textId="6FD15970" w:rsidR="004B40A4" w:rsidRPr="00B03685" w:rsidRDefault="004B40A4" w:rsidP="00B03685">
      <w:pPr>
        <w:tabs>
          <w:tab w:val="left" w:pos="3515"/>
        </w:tabs>
        <w:suppressAutoHyphens w:val="0"/>
        <w:spacing w:after="0"/>
        <w:ind w:left="567"/>
        <w:jc w:val="both"/>
        <w:rPr>
          <w:rFonts w:ascii="Arial" w:eastAsia="Arial MT" w:hAnsi="Arial" w:cs="Arial"/>
          <w:i/>
          <w:lang w:val="es-ES"/>
        </w:rPr>
      </w:pPr>
      <w:r w:rsidRPr="00B03685">
        <w:rPr>
          <w:rFonts w:ascii="Arial" w:eastAsia="Arial MT" w:hAnsi="Arial" w:cs="Arial"/>
          <w:i/>
          <w:lang w:val="es-ES"/>
        </w:rPr>
        <w:lastRenderedPageBreak/>
        <w:t>El Ministerio de Minas y Energía definirá los términos y condiciones para la asignación de recursos del Fondo Especial Cuota de Fomento de Gas Natural (FECFGN) destinados a la ampliación de cobertura del servicio público domiciliario de gas combustible, entre las que se incluirán las condiciones de eficiencia económica incluidas en el Plan Indicativo de Expansión de cobertura de gas combustible elaborado por la UPME</w:t>
      </w:r>
      <w:r w:rsidRPr="00B03685">
        <w:rPr>
          <w:rFonts w:ascii="Arial" w:eastAsia="Arial MT" w:hAnsi="Arial" w:cs="Arial"/>
          <w:i/>
          <w:iCs/>
          <w:lang w:val="es-ES"/>
        </w:rPr>
        <w:t>.</w:t>
      </w:r>
    </w:p>
    <w:p w14:paraId="5098FC2C" w14:textId="77777777" w:rsidR="004B40A4" w:rsidRPr="005C0CA0" w:rsidRDefault="004B40A4" w:rsidP="00B03685">
      <w:pPr>
        <w:tabs>
          <w:tab w:val="left" w:pos="3515"/>
        </w:tabs>
        <w:suppressAutoHyphens w:val="0"/>
        <w:spacing w:after="0"/>
        <w:jc w:val="both"/>
        <w:rPr>
          <w:rFonts w:ascii="Arial" w:hAnsi="Arial" w:cs="Arial"/>
          <w:sz w:val="24"/>
          <w:szCs w:val="24"/>
          <w:lang w:val="es-ES"/>
        </w:rPr>
      </w:pPr>
    </w:p>
    <w:p w14:paraId="42681B61" w14:textId="4C92BE5E" w:rsidR="00961C1B" w:rsidRDefault="00961C1B" w:rsidP="008E39FD">
      <w:pPr>
        <w:shd w:val="clear" w:color="auto" w:fill="FFFFFF" w:themeFill="background1"/>
        <w:jc w:val="both"/>
        <w:rPr>
          <w:rFonts w:ascii="Arial" w:hAnsi="Arial" w:cs="Arial"/>
          <w:sz w:val="24"/>
          <w:szCs w:val="24"/>
        </w:rPr>
      </w:pPr>
      <w:r w:rsidRPr="4622A9B7">
        <w:rPr>
          <w:rFonts w:ascii="Arial" w:hAnsi="Arial" w:cs="Arial"/>
          <w:sz w:val="24"/>
          <w:szCs w:val="24"/>
        </w:rPr>
        <w:t xml:space="preserve">En </w:t>
      </w:r>
      <w:r w:rsidR="007E4A01">
        <w:rPr>
          <w:rFonts w:ascii="Arial" w:hAnsi="Arial" w:cs="Arial"/>
          <w:sz w:val="24"/>
          <w:szCs w:val="24"/>
        </w:rPr>
        <w:t>lo relacionado con</w:t>
      </w:r>
      <w:r w:rsidRPr="4622A9B7" w:rsidDel="007E4A01">
        <w:rPr>
          <w:rFonts w:ascii="Arial" w:hAnsi="Arial" w:cs="Arial"/>
          <w:sz w:val="24"/>
          <w:szCs w:val="24"/>
        </w:rPr>
        <w:t xml:space="preserve"> </w:t>
      </w:r>
      <w:r w:rsidRPr="4622A9B7">
        <w:rPr>
          <w:rFonts w:ascii="Arial" w:hAnsi="Arial" w:cs="Arial"/>
          <w:sz w:val="24"/>
          <w:szCs w:val="24"/>
        </w:rPr>
        <w:t xml:space="preserve">energía eléctrica </w:t>
      </w:r>
      <w:r w:rsidRPr="00A83E4D">
        <w:rPr>
          <w:rFonts w:ascii="Arial" w:hAnsi="Arial" w:cs="Arial"/>
          <w:sz w:val="24"/>
          <w:szCs w:val="24"/>
        </w:rPr>
        <w:t>el ordenamiento jurídico colombiano ha establecido diversas disposiciones orientadas a promover la ampliación de cobertura, la sostenibilidad de los proyectos energéticos y la incorporación de tecnologías eficientes, especialmente en territorios con limitaciones de acceso al servicio.</w:t>
      </w:r>
      <w:r>
        <w:rPr>
          <w:rFonts w:ascii="Arial" w:hAnsi="Arial" w:cs="Arial"/>
          <w:sz w:val="24"/>
          <w:szCs w:val="24"/>
        </w:rPr>
        <w:t xml:space="preserve"> En ese contexto,</w:t>
      </w:r>
      <w:r w:rsidRPr="4622A9B7" w:rsidDel="00DF2461">
        <w:rPr>
          <w:rFonts w:ascii="Arial" w:hAnsi="Arial" w:cs="Arial"/>
          <w:sz w:val="24"/>
          <w:szCs w:val="24"/>
        </w:rPr>
        <w:t xml:space="preserve"> </w:t>
      </w:r>
      <w:r w:rsidRPr="4622A9B7">
        <w:rPr>
          <w:rFonts w:ascii="Arial" w:hAnsi="Arial" w:cs="Arial"/>
          <w:sz w:val="24"/>
          <w:szCs w:val="24"/>
        </w:rPr>
        <w:t xml:space="preserve">la Ley 2099 de 2021 </w:t>
      </w:r>
      <w:r w:rsidRPr="00CB2EF1">
        <w:rPr>
          <w:rFonts w:ascii="Arial" w:hAnsi="Arial" w:cs="Arial"/>
          <w:sz w:val="24"/>
          <w:szCs w:val="24"/>
        </w:rPr>
        <w:t>incorporó herramientas regulatorias y de política pública dirigidas a fortalecer la estructuración y sostenibilidad de proyectos eléctricos en el país.</w:t>
      </w:r>
    </w:p>
    <w:p w14:paraId="07F26C54" w14:textId="2CECA5D2" w:rsidR="00962DF4" w:rsidRDefault="004B40A4" w:rsidP="008E39FD">
      <w:pPr>
        <w:shd w:val="clear" w:color="auto" w:fill="FFFFFF" w:themeFill="background1"/>
        <w:jc w:val="both"/>
        <w:rPr>
          <w:rFonts w:ascii="Arial" w:hAnsi="Arial" w:cs="Arial"/>
          <w:sz w:val="24"/>
          <w:szCs w:val="24"/>
        </w:rPr>
      </w:pPr>
      <w:r w:rsidRPr="005C0CA0">
        <w:rPr>
          <w:rFonts w:ascii="Arial" w:hAnsi="Arial" w:cs="Arial"/>
          <w:sz w:val="24"/>
          <w:szCs w:val="24"/>
        </w:rPr>
        <w:t xml:space="preserve">En </w:t>
      </w:r>
      <w:r w:rsidR="00E5297A">
        <w:rPr>
          <w:rFonts w:ascii="Arial" w:hAnsi="Arial" w:cs="Arial"/>
          <w:sz w:val="24"/>
          <w:szCs w:val="24"/>
        </w:rPr>
        <w:t xml:space="preserve">particular, </w:t>
      </w:r>
      <w:r w:rsidRPr="005C0CA0">
        <w:rPr>
          <w:rFonts w:ascii="Arial" w:hAnsi="Arial" w:cs="Arial"/>
          <w:sz w:val="24"/>
          <w:szCs w:val="24"/>
        </w:rPr>
        <w:t>el artículo </w:t>
      </w:r>
      <w:hyperlink r:id="rId11" w:anchor="35">
        <w:r w:rsidRPr="005C0CA0">
          <w:rPr>
            <w:rFonts w:ascii="Arial" w:hAnsi="Arial" w:cs="Arial"/>
            <w:sz w:val="24"/>
            <w:szCs w:val="24"/>
          </w:rPr>
          <w:t>35</w:t>
        </w:r>
      </w:hyperlink>
      <w:r w:rsidRPr="005C0CA0">
        <w:rPr>
          <w:rFonts w:ascii="Arial" w:hAnsi="Arial" w:cs="Arial"/>
          <w:sz w:val="24"/>
          <w:szCs w:val="24"/>
        </w:rPr>
        <w:t> de la Ley 2099 de 2021</w:t>
      </w:r>
      <w:r w:rsidR="008859D7">
        <w:rPr>
          <w:rFonts w:ascii="Arial" w:hAnsi="Arial" w:cs="Arial"/>
          <w:sz w:val="24"/>
          <w:szCs w:val="24"/>
        </w:rPr>
        <w:t>,</w:t>
      </w:r>
      <w:r w:rsidRPr="005C0CA0">
        <w:rPr>
          <w:rFonts w:ascii="Arial" w:hAnsi="Arial" w:cs="Arial"/>
          <w:sz w:val="24"/>
          <w:szCs w:val="24"/>
        </w:rPr>
        <w:t xml:space="preserve"> asign</w:t>
      </w:r>
      <w:r w:rsidR="008859D7">
        <w:rPr>
          <w:rFonts w:ascii="Arial" w:hAnsi="Arial" w:cs="Arial"/>
          <w:sz w:val="24"/>
          <w:szCs w:val="24"/>
        </w:rPr>
        <w:t>ó</w:t>
      </w:r>
      <w:r w:rsidRPr="005C0CA0">
        <w:rPr>
          <w:rFonts w:ascii="Arial" w:hAnsi="Arial" w:cs="Arial"/>
          <w:sz w:val="24"/>
          <w:szCs w:val="24"/>
        </w:rPr>
        <w:t xml:space="preserve"> al Ministerio de Minas y Energía la función de definir los criterios de idoneidad, capacidad financiera y experiencia de los prestadores del servicio de energía eléctrica que se comprometan a garantizar la sostenibilidad de proyectos eléctricos individuales en Zonas No Interconectadas</w:t>
      </w:r>
      <w:r w:rsidR="00DE614E">
        <w:rPr>
          <w:rFonts w:ascii="Arial" w:hAnsi="Arial" w:cs="Arial"/>
          <w:sz w:val="24"/>
          <w:szCs w:val="24"/>
        </w:rPr>
        <w:t xml:space="preserve"> (ZNI)</w:t>
      </w:r>
      <w:r w:rsidRPr="005C0CA0">
        <w:rPr>
          <w:rFonts w:ascii="Arial" w:hAnsi="Arial" w:cs="Arial"/>
          <w:sz w:val="24"/>
          <w:szCs w:val="24"/>
        </w:rPr>
        <w:t>.</w:t>
      </w:r>
      <w:r w:rsidR="00123C2B">
        <w:rPr>
          <w:rFonts w:ascii="Arial" w:hAnsi="Arial" w:cs="Arial"/>
          <w:sz w:val="24"/>
          <w:szCs w:val="24"/>
        </w:rPr>
        <w:t xml:space="preserve"> </w:t>
      </w:r>
    </w:p>
    <w:p w14:paraId="6CD58D96" w14:textId="1320C680" w:rsidR="004B40A4" w:rsidRPr="005C0CA0" w:rsidRDefault="00123C2B" w:rsidP="00B03685">
      <w:pPr>
        <w:shd w:val="clear" w:color="auto" w:fill="FFFFFF" w:themeFill="background1"/>
        <w:jc w:val="both"/>
        <w:rPr>
          <w:rFonts w:ascii="Arial" w:hAnsi="Arial" w:cs="Arial"/>
          <w:sz w:val="24"/>
          <w:szCs w:val="24"/>
        </w:rPr>
      </w:pPr>
      <w:r w:rsidRPr="2E21846F">
        <w:rPr>
          <w:rFonts w:ascii="Arial" w:hAnsi="Arial" w:cs="Arial"/>
          <w:sz w:val="24"/>
          <w:szCs w:val="24"/>
        </w:rPr>
        <w:t xml:space="preserve">En desarrollo </w:t>
      </w:r>
      <w:r w:rsidR="006527DB" w:rsidRPr="2E21846F">
        <w:rPr>
          <w:rFonts w:ascii="Arial" w:hAnsi="Arial" w:cs="Arial"/>
          <w:sz w:val="24"/>
          <w:szCs w:val="24"/>
        </w:rPr>
        <w:t xml:space="preserve">de esa disposición, el Ministerio expidió </w:t>
      </w:r>
      <w:r w:rsidR="00FB1B5F" w:rsidRPr="2E21846F">
        <w:rPr>
          <w:rFonts w:ascii="Arial" w:hAnsi="Arial" w:cs="Arial"/>
          <w:sz w:val="24"/>
          <w:szCs w:val="24"/>
        </w:rPr>
        <w:t>la Resolución</w:t>
      </w:r>
      <w:r w:rsidR="004B40A4" w:rsidRPr="2E21846F">
        <w:rPr>
          <w:rFonts w:ascii="Arial" w:hAnsi="Arial" w:cs="Arial"/>
          <w:sz w:val="24"/>
          <w:szCs w:val="24"/>
        </w:rPr>
        <w:t xml:space="preserve"> MME 4 0257 de 2022 </w:t>
      </w:r>
      <w:r w:rsidR="000D12C0" w:rsidRPr="2E21846F">
        <w:rPr>
          <w:rFonts w:ascii="Arial" w:hAnsi="Arial" w:cs="Arial"/>
          <w:sz w:val="24"/>
          <w:szCs w:val="24"/>
        </w:rPr>
        <w:t>que</w:t>
      </w:r>
      <w:r w:rsidR="004B40A4" w:rsidRPr="2E21846F">
        <w:rPr>
          <w:rFonts w:ascii="Arial" w:hAnsi="Arial" w:cs="Arial"/>
          <w:sz w:val="24"/>
          <w:szCs w:val="24"/>
        </w:rPr>
        <w:t xml:space="preserve"> reglamentó el artículo 35 de la Ley 2099 de 2021, estableciendo parámetros para viabilizar proyectos eléctricos individuales en las Zonas No Interconectadas presentados por prestadores del servicio que se comprometan a garantizar la sostenibilidad de los mismos</w:t>
      </w:r>
      <w:r w:rsidR="00F57673" w:rsidRPr="2E21846F">
        <w:rPr>
          <w:rFonts w:ascii="Arial" w:hAnsi="Arial" w:cs="Arial"/>
          <w:sz w:val="24"/>
          <w:szCs w:val="24"/>
        </w:rPr>
        <w:t>.</w:t>
      </w:r>
      <w:r w:rsidR="00284424" w:rsidRPr="2E21846F">
        <w:rPr>
          <w:rFonts w:ascii="Arial" w:hAnsi="Arial" w:cs="Arial"/>
          <w:sz w:val="24"/>
          <w:szCs w:val="24"/>
        </w:rPr>
        <w:t xml:space="preserve">  Las disposiciones contenidas en dicho</w:t>
      </w:r>
      <w:r w:rsidR="004B40A4" w:rsidRPr="2E21846F">
        <w:rPr>
          <w:rFonts w:ascii="Arial" w:hAnsi="Arial" w:cs="Arial"/>
          <w:sz w:val="24"/>
          <w:szCs w:val="24"/>
        </w:rPr>
        <w:t xml:space="preserve"> acto administrativo </w:t>
      </w:r>
      <w:r w:rsidR="007F38E1" w:rsidRPr="2E21846F">
        <w:rPr>
          <w:rFonts w:ascii="Arial" w:hAnsi="Arial" w:cs="Arial"/>
          <w:sz w:val="24"/>
          <w:szCs w:val="24"/>
        </w:rPr>
        <w:t xml:space="preserve">se incorporan en el </w:t>
      </w:r>
      <w:r w:rsidR="004B40A4" w:rsidRPr="2E21846F">
        <w:rPr>
          <w:rFonts w:ascii="Arial" w:hAnsi="Arial" w:cs="Arial"/>
          <w:sz w:val="24"/>
          <w:szCs w:val="24"/>
        </w:rPr>
        <w:t xml:space="preserve">presente Manual Operativo, </w:t>
      </w:r>
      <w:r w:rsidR="00CA3FE1" w:rsidRPr="2E21846F">
        <w:rPr>
          <w:rFonts w:ascii="Arial" w:hAnsi="Arial" w:cs="Arial"/>
          <w:sz w:val="24"/>
          <w:szCs w:val="24"/>
        </w:rPr>
        <w:t>extendiendo</w:t>
      </w:r>
      <w:r w:rsidR="004B40A4" w:rsidRPr="2E21846F">
        <w:rPr>
          <w:rFonts w:ascii="Arial" w:hAnsi="Arial" w:cs="Arial"/>
          <w:sz w:val="24"/>
          <w:szCs w:val="24"/>
        </w:rPr>
        <w:t xml:space="preserve"> sus efectos a los proyectos que se </w:t>
      </w:r>
      <w:r w:rsidR="00FE38AD" w:rsidRPr="2E21846F">
        <w:rPr>
          <w:rFonts w:ascii="Arial" w:hAnsi="Arial" w:cs="Arial"/>
          <w:sz w:val="24"/>
          <w:szCs w:val="24"/>
        </w:rPr>
        <w:t xml:space="preserve">desarrollan </w:t>
      </w:r>
      <w:r w:rsidR="004B40A4" w:rsidRPr="2E21846F">
        <w:rPr>
          <w:rFonts w:ascii="Arial" w:hAnsi="Arial" w:cs="Arial"/>
          <w:sz w:val="24"/>
          <w:szCs w:val="24"/>
        </w:rPr>
        <w:t xml:space="preserve">con recursos del FONENERGÍA.  </w:t>
      </w:r>
    </w:p>
    <w:p w14:paraId="07A42B2E" w14:textId="77777777" w:rsidR="004B40A4" w:rsidRPr="005C0CA0" w:rsidRDefault="004B40A4" w:rsidP="008E39FD">
      <w:pPr>
        <w:tabs>
          <w:tab w:val="left" w:pos="4474"/>
        </w:tabs>
        <w:spacing w:after="0"/>
        <w:jc w:val="both"/>
        <w:rPr>
          <w:rFonts w:ascii="Arial" w:hAnsi="Arial" w:cs="Arial"/>
          <w:sz w:val="24"/>
          <w:szCs w:val="24"/>
        </w:rPr>
      </w:pPr>
      <w:r w:rsidRPr="005C0CA0">
        <w:rPr>
          <w:rFonts w:ascii="Arial" w:hAnsi="Arial" w:cs="Arial"/>
          <w:sz w:val="24"/>
          <w:szCs w:val="24"/>
        </w:rPr>
        <w:t>El artículo </w:t>
      </w:r>
      <w:hyperlink r:id="rId12" w:anchor="45" w:tgtFrame="_blank" w:history="1">
        <w:r w:rsidRPr="005C0CA0">
          <w:rPr>
            <w:rFonts w:ascii="Arial" w:hAnsi="Arial" w:cs="Arial"/>
            <w:sz w:val="24"/>
            <w:szCs w:val="24"/>
          </w:rPr>
          <w:t>45</w:t>
        </w:r>
      </w:hyperlink>
      <w:r w:rsidRPr="005C0CA0">
        <w:rPr>
          <w:rFonts w:ascii="Arial" w:hAnsi="Arial" w:cs="Arial"/>
          <w:sz w:val="24"/>
          <w:szCs w:val="24"/>
        </w:rPr>
        <w:t> de la mencionada Ley 2099 de 2021 faculta al Instituto de Planificación y Promoción de Soluciones Energéticas para las Zonas No Interconectadas (IPSE) para estructurar, presentar y viabilizar ante fondos públicos que hagan inversiones en el sector eléctrico, planes, programas y proyectos en el Sistema Interconectado Nacional y en Zonas No interconectadas dirigidos a desarrollar, implementar o ejecutar Fuentes No Convencionales de Energía y Gestión Eficiente de la Energía, así como el uso de Fuentes No Convencionales de Energía Renovable (FNCER) para la prestación de servicios públicos domiciliarios, adaptación de los sistemas de alumbrado público en Colombia para la gestión eficiente de la energía, atención de emergencias en las Zonas No Interconectadas (ZNI), inversión en acometidas y redes internas, así como en mecanismos de sustitución hacia Fuentes No Convencionales de Energía (FNCE).</w:t>
      </w:r>
    </w:p>
    <w:p w14:paraId="4019256E" w14:textId="77777777" w:rsidR="004B40A4" w:rsidRPr="005C0CA0" w:rsidRDefault="004B40A4" w:rsidP="008E39FD">
      <w:pPr>
        <w:tabs>
          <w:tab w:val="left" w:pos="4474"/>
        </w:tabs>
        <w:spacing w:after="0"/>
        <w:jc w:val="both"/>
        <w:rPr>
          <w:rFonts w:ascii="Arial" w:hAnsi="Arial" w:cs="Arial"/>
          <w:sz w:val="24"/>
          <w:szCs w:val="24"/>
        </w:rPr>
      </w:pPr>
    </w:p>
    <w:p w14:paraId="188F50A5" w14:textId="628CA07D" w:rsidR="00DC7726" w:rsidRPr="005C0CA0" w:rsidRDefault="000C0E98" w:rsidP="008E39FD">
      <w:pPr>
        <w:tabs>
          <w:tab w:val="left" w:pos="4474"/>
        </w:tabs>
        <w:spacing w:after="0"/>
        <w:jc w:val="both"/>
        <w:rPr>
          <w:rFonts w:ascii="Arial" w:hAnsi="Arial" w:cs="Arial"/>
          <w:sz w:val="24"/>
          <w:szCs w:val="24"/>
        </w:rPr>
      </w:pPr>
      <w:r w:rsidRPr="002C1084">
        <w:rPr>
          <w:rFonts w:ascii="Arial" w:hAnsi="Arial" w:cs="Arial"/>
          <w:sz w:val="24"/>
          <w:szCs w:val="24"/>
        </w:rPr>
        <w:t xml:space="preserve">En </w:t>
      </w:r>
      <w:r w:rsidR="004C016A">
        <w:rPr>
          <w:rFonts w:ascii="Arial" w:hAnsi="Arial" w:cs="Arial"/>
          <w:sz w:val="24"/>
          <w:szCs w:val="24"/>
        </w:rPr>
        <w:t>aplicación</w:t>
      </w:r>
      <w:r w:rsidRPr="002C1084" w:rsidDel="004C016A">
        <w:rPr>
          <w:rFonts w:ascii="Arial" w:hAnsi="Arial" w:cs="Arial"/>
          <w:sz w:val="24"/>
          <w:szCs w:val="24"/>
        </w:rPr>
        <w:t xml:space="preserve"> </w:t>
      </w:r>
      <w:r w:rsidRPr="002C1084">
        <w:rPr>
          <w:rFonts w:ascii="Arial" w:hAnsi="Arial" w:cs="Arial"/>
          <w:sz w:val="24"/>
          <w:szCs w:val="24"/>
        </w:rPr>
        <w:t>de las políticas orientadas a ampliar la cobertura de los servicios energéticos y mejorar la eficiencia en la gestión de los recursos públicos destinados a este propósito, el ordenamiento jurídico colombiano ha previsto diversos instrumentos financieros administrados por el Ministerio de Minas y Energía, dirigidos a financiar proyectos de infraestructura energética y soluciones para poblaciones con limitaciones de acceso al servicio. Dichos instrumentos se encuentran compilados en el Decreto Único Reglamentario del Sector Administrativo de Minas y Energía – Decreto 1073 de 2015, entre los cuales se destacan los siguientes:</w:t>
      </w:r>
    </w:p>
    <w:p w14:paraId="4CFF4979" w14:textId="77777777" w:rsidR="004B40A4" w:rsidRDefault="004B40A4" w:rsidP="008E39FD">
      <w:pPr>
        <w:tabs>
          <w:tab w:val="left" w:pos="4474"/>
        </w:tabs>
        <w:spacing w:after="0"/>
        <w:jc w:val="both"/>
        <w:rPr>
          <w:rFonts w:ascii="Arial" w:hAnsi="Arial" w:cs="Arial"/>
          <w:sz w:val="24"/>
          <w:szCs w:val="24"/>
        </w:rPr>
      </w:pPr>
    </w:p>
    <w:p w14:paraId="4B6B74D3" w14:textId="77777777" w:rsidR="00295FD3" w:rsidRDefault="00295FD3" w:rsidP="00B03685">
      <w:pPr>
        <w:pStyle w:val="TableParagraph"/>
        <w:ind w:left="0"/>
        <w:jc w:val="both"/>
        <w:rPr>
          <w:rFonts w:ascii="Arial" w:hAnsi="Arial" w:cs="Arial"/>
          <w:b/>
          <w:sz w:val="24"/>
          <w:szCs w:val="24"/>
          <w:lang w:val="es-CO"/>
        </w:rPr>
      </w:pPr>
    </w:p>
    <w:p w14:paraId="2ED10026" w14:textId="77777777" w:rsidR="00295FD3" w:rsidRDefault="00295FD3" w:rsidP="00B03685">
      <w:pPr>
        <w:pStyle w:val="TableParagraph"/>
        <w:ind w:left="0"/>
        <w:jc w:val="both"/>
        <w:rPr>
          <w:rFonts w:ascii="Arial" w:hAnsi="Arial" w:cs="Arial"/>
          <w:b/>
          <w:sz w:val="24"/>
          <w:szCs w:val="24"/>
          <w:lang w:val="es-CO"/>
        </w:rPr>
      </w:pPr>
    </w:p>
    <w:p w14:paraId="40918B21" w14:textId="77777777" w:rsidR="00295FD3" w:rsidRDefault="00295FD3" w:rsidP="00B03685">
      <w:pPr>
        <w:pStyle w:val="TableParagraph"/>
        <w:ind w:left="0"/>
        <w:jc w:val="both"/>
        <w:rPr>
          <w:rFonts w:ascii="Arial" w:hAnsi="Arial" w:cs="Arial"/>
          <w:b/>
          <w:sz w:val="24"/>
          <w:szCs w:val="24"/>
          <w:lang w:val="es-CO"/>
        </w:rPr>
      </w:pPr>
    </w:p>
    <w:p w14:paraId="42C9F6C7" w14:textId="22FF8B59" w:rsidR="00E37906" w:rsidRPr="00B03685" w:rsidRDefault="00E37906" w:rsidP="00B03685">
      <w:pPr>
        <w:pStyle w:val="TableParagraph"/>
        <w:ind w:left="0"/>
        <w:jc w:val="both"/>
        <w:rPr>
          <w:rFonts w:ascii="Arial" w:hAnsi="Arial" w:cs="Arial"/>
          <w:b/>
          <w:sz w:val="24"/>
          <w:szCs w:val="24"/>
        </w:rPr>
      </w:pPr>
      <w:r w:rsidRPr="00B03685">
        <w:rPr>
          <w:rFonts w:ascii="Arial" w:hAnsi="Arial" w:cs="Arial"/>
          <w:b/>
          <w:sz w:val="24"/>
          <w:szCs w:val="24"/>
        </w:rPr>
        <w:lastRenderedPageBreak/>
        <w:t>Fondo de Apoyo Financiero para la Energización de las Zonas No Interconectadas-FAZNI</w:t>
      </w:r>
    </w:p>
    <w:p w14:paraId="590D07CF" w14:textId="77777777" w:rsidR="00E37906" w:rsidRPr="004F3DD6" w:rsidRDefault="00E37906" w:rsidP="00B03685">
      <w:pPr>
        <w:pStyle w:val="TableParagraph"/>
        <w:ind w:left="0"/>
        <w:jc w:val="both"/>
        <w:rPr>
          <w:rFonts w:ascii="Arial" w:hAnsi="Arial" w:cs="Arial"/>
          <w:b/>
          <w:bCs/>
        </w:rPr>
      </w:pPr>
    </w:p>
    <w:p w14:paraId="63F17008" w14:textId="77777777" w:rsidR="00E37906" w:rsidRPr="00B03685" w:rsidRDefault="00E37906" w:rsidP="00B03685">
      <w:pPr>
        <w:tabs>
          <w:tab w:val="left" w:pos="4474"/>
        </w:tabs>
        <w:spacing w:after="0"/>
        <w:jc w:val="both"/>
        <w:rPr>
          <w:rFonts w:ascii="Arial" w:hAnsi="Arial" w:cs="Arial"/>
          <w:sz w:val="24"/>
          <w:szCs w:val="24"/>
        </w:rPr>
      </w:pPr>
      <w:r w:rsidRPr="00B03685">
        <w:rPr>
          <w:rFonts w:ascii="Arial" w:hAnsi="Arial" w:cs="Arial"/>
          <w:sz w:val="24"/>
          <w:szCs w:val="24"/>
        </w:rPr>
        <w:t>Creado por el artículo 82 de la Ley 633 de 2000 como un fondo cuenta especial de manejo de recursos públicos, sin personería jurídica, percibe sus recursos del descuento que realiza el Administrador del Sistema de Intercambios Comerciales – ASIC a los agentes generadores. Ha tenido como finalidad financiar planes, programas, proyectos de inversión destinados a la construcción de la infraestructura eléctrica que permita la ampliación y satisfacción de la demanda en Zonas No Interconectadas - ZNI. Su vigencia ha venido siendo prorrogada a través del tiempo por diversas disposiciones legales.</w:t>
      </w:r>
    </w:p>
    <w:p w14:paraId="01497E8D" w14:textId="77777777" w:rsidR="00E7322D" w:rsidRDefault="00E7322D" w:rsidP="008E39FD">
      <w:pPr>
        <w:tabs>
          <w:tab w:val="left" w:pos="4474"/>
        </w:tabs>
        <w:spacing w:after="0"/>
        <w:jc w:val="both"/>
        <w:rPr>
          <w:rFonts w:ascii="Arial" w:hAnsi="Arial" w:cs="Arial"/>
          <w:sz w:val="24"/>
          <w:szCs w:val="24"/>
          <w:lang w:val="es-ES"/>
        </w:rPr>
      </w:pPr>
    </w:p>
    <w:p w14:paraId="0641A486" w14:textId="4C107AEB" w:rsidR="00DE2B0F" w:rsidRPr="00B03685" w:rsidRDefault="007B1C45" w:rsidP="008E39FD">
      <w:pPr>
        <w:tabs>
          <w:tab w:val="left" w:pos="4474"/>
        </w:tabs>
        <w:spacing w:after="0"/>
        <w:jc w:val="both"/>
        <w:rPr>
          <w:rFonts w:ascii="Arial" w:hAnsi="Arial" w:cs="Arial"/>
          <w:sz w:val="24"/>
          <w:szCs w:val="24"/>
        </w:rPr>
      </w:pPr>
      <w:r w:rsidRPr="00B03685">
        <w:rPr>
          <w:rFonts w:ascii="Arial" w:hAnsi="Arial" w:cs="Arial"/>
          <w:sz w:val="24"/>
          <w:szCs w:val="24"/>
        </w:rPr>
        <w:t>Su administración está a cargo del Ministerio de Minas y Energía y el manejo de los recursos la realiza el Ministerio de Hacienda y Crédito Público, conforme lo dispone el inciso 8 del artículo 190 de la Ley 1753 de 2015.</w:t>
      </w:r>
    </w:p>
    <w:p w14:paraId="23626640" w14:textId="77777777" w:rsidR="007B1C45" w:rsidRDefault="007B1C45" w:rsidP="008E39FD">
      <w:pPr>
        <w:tabs>
          <w:tab w:val="left" w:pos="4474"/>
        </w:tabs>
        <w:spacing w:after="0"/>
        <w:jc w:val="both"/>
        <w:rPr>
          <w:rFonts w:ascii="Arial" w:hAnsi="Arial" w:cs="Arial"/>
        </w:rPr>
      </w:pPr>
    </w:p>
    <w:p w14:paraId="1A0D88D5" w14:textId="77777777" w:rsidR="002B746F" w:rsidRPr="00B03685" w:rsidRDefault="002B746F" w:rsidP="00B03685">
      <w:pPr>
        <w:pStyle w:val="TableParagraph"/>
        <w:ind w:left="0"/>
        <w:jc w:val="both"/>
        <w:rPr>
          <w:rFonts w:ascii="Arial" w:hAnsi="Arial" w:cs="Arial"/>
          <w:b/>
          <w:sz w:val="24"/>
          <w:szCs w:val="24"/>
        </w:rPr>
      </w:pPr>
      <w:r w:rsidRPr="00B03685">
        <w:rPr>
          <w:rFonts w:ascii="Arial" w:hAnsi="Arial" w:cs="Arial"/>
          <w:b/>
          <w:sz w:val="24"/>
          <w:szCs w:val="24"/>
        </w:rPr>
        <w:t>Fondo de Apoyo Financiero para la Energización de las Zonas Rurales Interconectadas-FAER</w:t>
      </w:r>
    </w:p>
    <w:p w14:paraId="14470AC1" w14:textId="77777777" w:rsidR="002B746F" w:rsidRPr="00B03685" w:rsidRDefault="002B746F" w:rsidP="00B03685">
      <w:pPr>
        <w:pStyle w:val="TableParagraph"/>
        <w:ind w:left="0"/>
        <w:jc w:val="both"/>
        <w:rPr>
          <w:rFonts w:ascii="Arial" w:hAnsi="Arial" w:cs="Arial"/>
          <w:b/>
          <w:sz w:val="24"/>
          <w:szCs w:val="24"/>
        </w:rPr>
      </w:pPr>
    </w:p>
    <w:p w14:paraId="7C5B2022" w14:textId="77777777" w:rsidR="002B746F" w:rsidRPr="00B03685" w:rsidRDefault="002B746F" w:rsidP="00B03685">
      <w:pPr>
        <w:pStyle w:val="TableParagraph"/>
        <w:ind w:left="0"/>
        <w:jc w:val="both"/>
        <w:rPr>
          <w:rFonts w:ascii="Arial" w:hAnsi="Arial" w:cs="Arial"/>
          <w:sz w:val="24"/>
          <w:szCs w:val="24"/>
        </w:rPr>
      </w:pPr>
      <w:r w:rsidRPr="00B03685">
        <w:rPr>
          <w:rFonts w:ascii="Arial" w:hAnsi="Arial" w:cs="Arial"/>
          <w:sz w:val="24"/>
          <w:szCs w:val="24"/>
        </w:rPr>
        <w:t>El artículo 105 de la Ley 788 de 2002 dispuso que el ASIC recaudaría de los dueños de los activos del Sistema de Transmisión Nacional – STN los recursos con destino al FAER, indicando además que este Fondo sería administrado por el Ministerio de Minas y Energía. Con el paso del tiempo el Fondo ha venido siendo prorrogado por diferentes disposiciones legales.</w:t>
      </w:r>
    </w:p>
    <w:p w14:paraId="4EECC06C" w14:textId="77777777" w:rsidR="002B746F" w:rsidRPr="00B03685" w:rsidRDefault="002B746F" w:rsidP="00B03685">
      <w:pPr>
        <w:pStyle w:val="TableParagraph"/>
        <w:ind w:left="0"/>
        <w:jc w:val="both"/>
        <w:rPr>
          <w:rFonts w:ascii="Arial" w:hAnsi="Arial" w:cs="Arial"/>
          <w:sz w:val="24"/>
          <w:szCs w:val="24"/>
        </w:rPr>
      </w:pPr>
    </w:p>
    <w:p w14:paraId="6B9EC3AD" w14:textId="77777777" w:rsidR="002B746F" w:rsidRPr="00B03685" w:rsidRDefault="002B746F" w:rsidP="00B03685">
      <w:pPr>
        <w:pStyle w:val="TableParagraph"/>
        <w:ind w:left="0"/>
        <w:jc w:val="both"/>
        <w:rPr>
          <w:rFonts w:ascii="Arial" w:hAnsi="Arial" w:cs="Arial"/>
          <w:sz w:val="24"/>
          <w:szCs w:val="24"/>
        </w:rPr>
      </w:pPr>
      <w:r w:rsidRPr="00B03685">
        <w:rPr>
          <w:rFonts w:ascii="Arial" w:hAnsi="Arial" w:cs="Arial"/>
          <w:sz w:val="24"/>
          <w:szCs w:val="24"/>
        </w:rPr>
        <w:t>Su reglamentación también se encuentra en el DUR 1073 de 2015 en el cual se compiló el Decreto 1122 de 2008, norma en la que se estableció su naturaleza jurídica como “un fondo cuenta especial, sin personería jurídica, cuyos recursos se destinan para financiar planes, programas o proyectos de inversión priorizados para la construcción de infraestructura eléctrica en las zonas rurales interconectadas, así como la conexión de los usuarios”.</w:t>
      </w:r>
    </w:p>
    <w:p w14:paraId="44C5B8E3" w14:textId="77777777" w:rsidR="002B746F" w:rsidRPr="00B03685" w:rsidRDefault="002B746F" w:rsidP="00B03685">
      <w:pPr>
        <w:pStyle w:val="TableParagraph"/>
        <w:ind w:left="0"/>
        <w:jc w:val="both"/>
        <w:rPr>
          <w:rFonts w:ascii="Arial" w:hAnsi="Arial" w:cs="Arial"/>
          <w:sz w:val="24"/>
          <w:szCs w:val="24"/>
        </w:rPr>
      </w:pPr>
    </w:p>
    <w:p w14:paraId="7052ABD0" w14:textId="77777777" w:rsidR="002B746F" w:rsidRPr="00B03685" w:rsidRDefault="002B746F" w:rsidP="00B03685">
      <w:pPr>
        <w:pStyle w:val="TableParagraph"/>
        <w:ind w:left="0"/>
        <w:jc w:val="both"/>
        <w:rPr>
          <w:rFonts w:ascii="Arial" w:hAnsi="Arial" w:cs="Arial"/>
          <w:sz w:val="24"/>
          <w:szCs w:val="24"/>
          <w:lang w:val="es-CO"/>
        </w:rPr>
      </w:pPr>
      <w:r w:rsidRPr="00B03685">
        <w:rPr>
          <w:rFonts w:ascii="Arial" w:hAnsi="Arial" w:cs="Arial"/>
          <w:sz w:val="24"/>
          <w:szCs w:val="24"/>
        </w:rPr>
        <w:t xml:space="preserve">El manejo de sus recursos está a cargo del Ministerio de Hacienda y Crédito Público, conforme lo dispone el </w:t>
      </w:r>
      <w:r w:rsidRPr="00B03685">
        <w:rPr>
          <w:rFonts w:ascii="Arial" w:hAnsi="Arial" w:cs="Arial"/>
          <w:sz w:val="24"/>
          <w:szCs w:val="24"/>
          <w:lang w:val="es-CO"/>
        </w:rPr>
        <w:t>inciso 8 del artículo 190 de la Ley 1753 de 2015.</w:t>
      </w:r>
    </w:p>
    <w:p w14:paraId="32E00B00" w14:textId="77777777" w:rsidR="007B1C45" w:rsidRDefault="007B1C45" w:rsidP="008E39FD">
      <w:pPr>
        <w:tabs>
          <w:tab w:val="left" w:pos="4474"/>
        </w:tabs>
        <w:spacing w:after="0"/>
        <w:jc w:val="both"/>
        <w:rPr>
          <w:rFonts w:ascii="Arial" w:hAnsi="Arial" w:cs="Arial"/>
          <w:sz w:val="24"/>
          <w:szCs w:val="24"/>
        </w:rPr>
      </w:pPr>
    </w:p>
    <w:p w14:paraId="2153E10C" w14:textId="77777777" w:rsidR="000D272D" w:rsidRPr="00B03685" w:rsidRDefault="000D272D" w:rsidP="00B03685">
      <w:pPr>
        <w:widowControl w:val="0"/>
        <w:suppressAutoHyphens w:val="0"/>
        <w:autoSpaceDE w:val="0"/>
        <w:autoSpaceDN w:val="0"/>
        <w:spacing w:after="0" w:line="240" w:lineRule="auto"/>
        <w:jc w:val="both"/>
        <w:rPr>
          <w:rFonts w:ascii="Arial" w:eastAsia="Arial MT" w:hAnsi="Arial" w:cs="Arial"/>
          <w:sz w:val="24"/>
          <w:szCs w:val="24"/>
          <w:lang w:val="es-ES"/>
        </w:rPr>
      </w:pPr>
      <w:r w:rsidRPr="00B03685">
        <w:rPr>
          <w:rFonts w:ascii="Arial" w:eastAsia="Arial MT" w:hAnsi="Arial" w:cs="Arial"/>
          <w:b/>
          <w:sz w:val="24"/>
          <w:szCs w:val="24"/>
          <w:lang w:val="es-ES"/>
        </w:rPr>
        <w:t>Programa de Normalización de Redes Eléctricas - PRONE</w:t>
      </w:r>
      <w:r w:rsidRPr="00B03685">
        <w:rPr>
          <w:rFonts w:ascii="Arial" w:eastAsia="Arial MT" w:hAnsi="Arial" w:cs="Arial"/>
          <w:sz w:val="24"/>
          <w:szCs w:val="24"/>
          <w:lang w:val="es-ES"/>
        </w:rPr>
        <w:t xml:space="preserve"> </w:t>
      </w:r>
    </w:p>
    <w:p w14:paraId="29ED5E8E" w14:textId="77777777" w:rsidR="000D272D" w:rsidRPr="00B03685" w:rsidRDefault="000D272D" w:rsidP="00B03685">
      <w:pPr>
        <w:widowControl w:val="0"/>
        <w:suppressAutoHyphens w:val="0"/>
        <w:autoSpaceDE w:val="0"/>
        <w:autoSpaceDN w:val="0"/>
        <w:spacing w:after="0" w:line="240" w:lineRule="auto"/>
        <w:jc w:val="both"/>
        <w:rPr>
          <w:rFonts w:ascii="Arial" w:eastAsia="Arial MT" w:hAnsi="Arial" w:cs="Arial"/>
          <w:sz w:val="24"/>
          <w:szCs w:val="24"/>
          <w:lang w:val="es-ES"/>
        </w:rPr>
      </w:pPr>
    </w:p>
    <w:p w14:paraId="12513538" w14:textId="77777777" w:rsidR="000D272D" w:rsidRPr="00B03685" w:rsidRDefault="000D272D" w:rsidP="00B03685">
      <w:pPr>
        <w:suppressAutoHyphens w:val="0"/>
        <w:spacing w:after="0" w:line="240" w:lineRule="auto"/>
        <w:jc w:val="both"/>
        <w:rPr>
          <w:rFonts w:ascii="Arial" w:eastAsia="Times New Roman" w:hAnsi="Arial" w:cs="Arial"/>
          <w:sz w:val="24"/>
          <w:szCs w:val="24"/>
          <w:lang w:eastAsia="es-MX"/>
        </w:rPr>
      </w:pPr>
      <w:r w:rsidRPr="00B03685">
        <w:rPr>
          <w:rFonts w:ascii="Arial" w:eastAsia="Times New Roman" w:hAnsi="Arial" w:cs="Arial"/>
          <w:sz w:val="24"/>
          <w:szCs w:val="24"/>
          <w:lang w:eastAsia="es-MX"/>
        </w:rPr>
        <w:t>Mediante artículo 63 de la Ley 812 de 2003, se determinó:</w:t>
      </w:r>
    </w:p>
    <w:p w14:paraId="507371B2" w14:textId="77777777" w:rsidR="000D272D" w:rsidRPr="000D272D" w:rsidRDefault="000D272D" w:rsidP="00B03685">
      <w:pPr>
        <w:suppressAutoHyphens w:val="0"/>
        <w:spacing w:after="0" w:line="240" w:lineRule="auto"/>
        <w:jc w:val="both"/>
        <w:rPr>
          <w:rFonts w:ascii="Arial" w:eastAsia="Times New Roman" w:hAnsi="Arial" w:cs="Arial"/>
          <w:lang w:eastAsia="es-MX"/>
        </w:rPr>
      </w:pPr>
    </w:p>
    <w:p w14:paraId="77DD9706" w14:textId="02D5E5ED" w:rsidR="000D272D" w:rsidRPr="00B03685" w:rsidRDefault="000D272D" w:rsidP="00B03685">
      <w:pPr>
        <w:suppressAutoHyphens w:val="0"/>
        <w:spacing w:after="0" w:line="240" w:lineRule="auto"/>
        <w:ind w:left="503"/>
        <w:jc w:val="both"/>
        <w:rPr>
          <w:rFonts w:ascii="Arial" w:eastAsia="Times New Roman" w:hAnsi="Arial" w:cs="Arial"/>
          <w:i/>
          <w:lang w:eastAsia="es-MX"/>
        </w:rPr>
      </w:pPr>
      <w:r w:rsidRPr="00B03685">
        <w:rPr>
          <w:rFonts w:ascii="Arial" w:eastAsia="Times New Roman" w:hAnsi="Arial" w:cs="Arial"/>
          <w:i/>
          <w:lang w:eastAsia="es-MX"/>
        </w:rPr>
        <w:t>El Gobierno Nacional desarrollará un programa de normalización de redes eléctricas cuyos objetivos serán la legalización de usuarios, la optimización del servicio y la reducción de pérdidas no técnicas en barrios subnormales, situados en los municipios del Sistema Interconectado Nacional.</w:t>
      </w:r>
    </w:p>
    <w:p w14:paraId="0AF7A776" w14:textId="77777777" w:rsidR="000D272D" w:rsidRPr="000D272D" w:rsidRDefault="000D272D" w:rsidP="00B03685">
      <w:pPr>
        <w:widowControl w:val="0"/>
        <w:suppressAutoHyphens w:val="0"/>
        <w:autoSpaceDE w:val="0"/>
        <w:autoSpaceDN w:val="0"/>
        <w:spacing w:after="0" w:line="240" w:lineRule="auto"/>
        <w:jc w:val="both"/>
        <w:rPr>
          <w:rFonts w:ascii="Arial" w:eastAsia="Arial MT" w:hAnsi="Arial" w:cs="Arial"/>
        </w:rPr>
      </w:pPr>
    </w:p>
    <w:p w14:paraId="59E00B18" w14:textId="77777777" w:rsidR="000D272D" w:rsidRPr="00B03685" w:rsidRDefault="000D272D" w:rsidP="00B03685">
      <w:pPr>
        <w:widowControl w:val="0"/>
        <w:suppressAutoHyphens w:val="0"/>
        <w:autoSpaceDE w:val="0"/>
        <w:autoSpaceDN w:val="0"/>
        <w:spacing w:after="0"/>
        <w:jc w:val="both"/>
        <w:rPr>
          <w:rFonts w:ascii="Arial" w:eastAsia="Arial MT" w:hAnsi="Arial" w:cs="Arial"/>
          <w:sz w:val="24"/>
          <w:szCs w:val="24"/>
        </w:rPr>
      </w:pPr>
      <w:r w:rsidRPr="00B03685">
        <w:rPr>
          <w:rFonts w:ascii="Arial" w:eastAsia="Arial MT" w:hAnsi="Arial" w:cs="Arial"/>
          <w:sz w:val="24"/>
          <w:szCs w:val="24"/>
        </w:rPr>
        <w:t>Ahora bien, la Ley 1117 de 2006 expidió normas sobre normalización de redes eléctricas, estableciendo en su artículo 1º:</w:t>
      </w:r>
    </w:p>
    <w:p w14:paraId="03167E86" w14:textId="77777777" w:rsidR="000D272D" w:rsidRPr="000D272D" w:rsidRDefault="000D272D" w:rsidP="00B03685">
      <w:pPr>
        <w:widowControl w:val="0"/>
        <w:suppressAutoHyphens w:val="0"/>
        <w:autoSpaceDE w:val="0"/>
        <w:autoSpaceDN w:val="0"/>
        <w:spacing w:after="0" w:line="240" w:lineRule="auto"/>
        <w:jc w:val="both"/>
        <w:rPr>
          <w:rFonts w:ascii="Arial" w:eastAsia="Arial MT" w:hAnsi="Arial" w:cs="Arial"/>
        </w:rPr>
      </w:pPr>
    </w:p>
    <w:p w14:paraId="11009640" w14:textId="635A25BC" w:rsidR="000D272D" w:rsidRPr="00B03685" w:rsidRDefault="000D272D" w:rsidP="00B03685">
      <w:pPr>
        <w:widowControl w:val="0"/>
        <w:suppressAutoHyphens w:val="0"/>
        <w:autoSpaceDE w:val="0"/>
        <w:autoSpaceDN w:val="0"/>
        <w:spacing w:after="0" w:line="240" w:lineRule="auto"/>
        <w:ind w:left="503"/>
        <w:jc w:val="both"/>
        <w:rPr>
          <w:rFonts w:ascii="Arial" w:eastAsia="Arial MT" w:hAnsi="Arial" w:cs="Arial"/>
        </w:rPr>
      </w:pPr>
      <w:r w:rsidRPr="00B03685">
        <w:rPr>
          <w:rFonts w:ascii="Arial" w:eastAsia="Arial MT" w:hAnsi="Arial" w:cs="Arial"/>
          <w:b/>
          <w:i/>
          <w:lang w:val="es-ES"/>
        </w:rPr>
        <w:t>PROGRAMA DE NORMALIZACION DE REDES ELECTRICAS.</w:t>
      </w:r>
      <w:r w:rsidRPr="00B03685">
        <w:rPr>
          <w:rFonts w:ascii="Arial" w:eastAsia="Arial MT" w:hAnsi="Arial" w:cs="Arial"/>
          <w:i/>
          <w:lang w:val="es-ES"/>
        </w:rPr>
        <w:t xml:space="preserve"> El Gobierno Nacional llevará a cabo un programa de normalización de redes eléctricas cuyos objetivos comprende la legalización de usuarios y la adecuación de las redes a los reglamentos técnicos vigentes, en barrios subnormales, situados en municipios del Sistema Interconectado Nacional</w:t>
      </w:r>
      <w:r w:rsidRPr="00B03685">
        <w:rPr>
          <w:rFonts w:ascii="Arial" w:eastAsia="Arial MT" w:hAnsi="Arial" w:cs="Arial"/>
          <w:lang w:val="es-ES"/>
        </w:rPr>
        <w:t>.</w:t>
      </w:r>
    </w:p>
    <w:p w14:paraId="5E90D83D" w14:textId="77777777" w:rsidR="000D272D" w:rsidRPr="00B03685" w:rsidRDefault="000D272D" w:rsidP="00B03685">
      <w:pPr>
        <w:suppressAutoHyphens w:val="0"/>
        <w:spacing w:after="0"/>
        <w:jc w:val="both"/>
        <w:rPr>
          <w:rFonts w:ascii="Arial" w:eastAsia="Times New Roman" w:hAnsi="Arial" w:cs="Arial"/>
          <w:sz w:val="24"/>
          <w:szCs w:val="24"/>
          <w:lang w:eastAsia="es-MX"/>
        </w:rPr>
      </w:pPr>
    </w:p>
    <w:p w14:paraId="75C47579" w14:textId="77777777" w:rsidR="000D272D" w:rsidRPr="00B03685" w:rsidRDefault="000D272D" w:rsidP="00B03685">
      <w:pPr>
        <w:widowControl w:val="0"/>
        <w:suppressAutoHyphens w:val="0"/>
        <w:autoSpaceDE w:val="0"/>
        <w:autoSpaceDN w:val="0"/>
        <w:spacing w:after="0"/>
        <w:jc w:val="both"/>
        <w:rPr>
          <w:rFonts w:ascii="Arial" w:eastAsia="Arial MT" w:hAnsi="Arial" w:cs="Arial"/>
          <w:sz w:val="24"/>
          <w:szCs w:val="24"/>
        </w:rPr>
      </w:pPr>
      <w:r w:rsidRPr="00B03685">
        <w:rPr>
          <w:rFonts w:ascii="Arial" w:eastAsia="Arial MT" w:hAnsi="Arial" w:cs="Arial"/>
          <w:sz w:val="24"/>
          <w:szCs w:val="24"/>
        </w:rPr>
        <w:t>También en este caso, diferentes disposiciones legales extendieron la vigencia del Programa y su reglamentación se encuentra contenida igualmente en el DUR 1073 de 2015.</w:t>
      </w:r>
    </w:p>
    <w:p w14:paraId="33D133BA" w14:textId="77777777" w:rsidR="00A06149" w:rsidRPr="00B03685" w:rsidRDefault="00A06149" w:rsidP="00B03685">
      <w:pPr>
        <w:pStyle w:val="TableParagraph"/>
        <w:spacing w:line="276" w:lineRule="auto"/>
        <w:ind w:left="0"/>
        <w:jc w:val="both"/>
        <w:rPr>
          <w:rFonts w:ascii="Arial" w:hAnsi="Arial" w:cs="Arial"/>
          <w:sz w:val="24"/>
          <w:szCs w:val="24"/>
          <w:lang w:val="es-CO"/>
        </w:rPr>
      </w:pPr>
    </w:p>
    <w:p w14:paraId="5B7C00C6" w14:textId="3E4D3AAF" w:rsidR="00A06149" w:rsidRPr="00B03685" w:rsidRDefault="00A06149" w:rsidP="00B03685">
      <w:pPr>
        <w:pStyle w:val="TableParagraph"/>
        <w:spacing w:line="276" w:lineRule="auto"/>
        <w:ind w:left="0"/>
        <w:jc w:val="both"/>
        <w:rPr>
          <w:rFonts w:ascii="Arial" w:hAnsi="Arial" w:cs="Arial"/>
          <w:sz w:val="24"/>
          <w:szCs w:val="24"/>
          <w:lang w:val="es-CO"/>
        </w:rPr>
      </w:pPr>
      <w:r w:rsidRPr="00B03685">
        <w:rPr>
          <w:rFonts w:ascii="Arial" w:hAnsi="Arial" w:cs="Arial"/>
          <w:sz w:val="24"/>
          <w:szCs w:val="24"/>
          <w:lang w:val="es-CO"/>
        </w:rPr>
        <w:t xml:space="preserve">El manejo </w:t>
      </w:r>
      <w:r w:rsidRPr="00B03685">
        <w:rPr>
          <w:rFonts w:ascii="Arial" w:hAnsi="Arial" w:cs="Arial"/>
          <w:sz w:val="24"/>
          <w:szCs w:val="24"/>
        </w:rPr>
        <w:t xml:space="preserve">de sus recursos está a cargo del Ministerio de Hacienda y Crédito Público, conforme lo dispone el </w:t>
      </w:r>
      <w:r w:rsidRPr="00B03685">
        <w:rPr>
          <w:rFonts w:ascii="Arial" w:hAnsi="Arial" w:cs="Arial"/>
          <w:sz w:val="24"/>
          <w:szCs w:val="24"/>
          <w:lang w:val="es-CO"/>
        </w:rPr>
        <w:t>inciso 8 del artículo 190 de la Ley 1753 de 2015.</w:t>
      </w:r>
    </w:p>
    <w:p w14:paraId="46662B83" w14:textId="77777777" w:rsidR="000D272D" w:rsidRPr="00D45675" w:rsidRDefault="000D272D" w:rsidP="008E39FD">
      <w:pPr>
        <w:tabs>
          <w:tab w:val="left" w:pos="4474"/>
        </w:tabs>
        <w:spacing w:after="0"/>
        <w:jc w:val="both"/>
        <w:rPr>
          <w:rFonts w:ascii="Arial" w:hAnsi="Arial" w:cs="Arial"/>
          <w:sz w:val="24"/>
          <w:szCs w:val="24"/>
        </w:rPr>
      </w:pPr>
    </w:p>
    <w:p w14:paraId="1E877113" w14:textId="77777777" w:rsidR="007278C7" w:rsidRPr="00B03685" w:rsidRDefault="007278C7" w:rsidP="00B03685">
      <w:pPr>
        <w:widowControl w:val="0"/>
        <w:suppressAutoHyphens w:val="0"/>
        <w:autoSpaceDE w:val="0"/>
        <w:autoSpaceDN w:val="0"/>
        <w:spacing w:after="0"/>
        <w:rPr>
          <w:rFonts w:ascii="Arial" w:eastAsia="Arial MT" w:hAnsi="Arial" w:cs="Arial"/>
          <w:b/>
          <w:sz w:val="24"/>
          <w:szCs w:val="24"/>
          <w:lang w:val="es-ES"/>
        </w:rPr>
      </w:pPr>
      <w:r w:rsidRPr="00B03685">
        <w:rPr>
          <w:rFonts w:ascii="Arial" w:eastAsia="Arial MT" w:hAnsi="Arial" w:cs="Arial"/>
          <w:b/>
          <w:sz w:val="24"/>
          <w:szCs w:val="24"/>
          <w:lang w:val="es-ES"/>
        </w:rPr>
        <w:t>El Fondo Único de Soluciones Energéticas - FONENERGÍA</w:t>
      </w:r>
    </w:p>
    <w:p w14:paraId="4D09BA6C" w14:textId="77777777" w:rsidR="007278C7" w:rsidRPr="00B03685" w:rsidRDefault="007278C7" w:rsidP="00B03685">
      <w:pPr>
        <w:widowControl w:val="0"/>
        <w:suppressAutoHyphens w:val="0"/>
        <w:autoSpaceDE w:val="0"/>
        <w:autoSpaceDN w:val="0"/>
        <w:spacing w:after="0"/>
        <w:rPr>
          <w:rFonts w:ascii="Arial" w:eastAsia="Arial MT" w:hAnsi="Arial" w:cs="Arial"/>
          <w:b/>
          <w:sz w:val="24"/>
          <w:szCs w:val="24"/>
          <w:lang w:val="es-ES"/>
        </w:rPr>
      </w:pPr>
    </w:p>
    <w:p w14:paraId="094196E2" w14:textId="77777777" w:rsidR="007278C7" w:rsidRPr="00B03685" w:rsidRDefault="007278C7" w:rsidP="00B03685">
      <w:pPr>
        <w:suppressAutoHyphens w:val="0"/>
        <w:spacing w:after="0"/>
        <w:jc w:val="both"/>
        <w:rPr>
          <w:rFonts w:ascii="Arial" w:eastAsia="Times New Roman" w:hAnsi="Arial" w:cs="Arial"/>
          <w:sz w:val="24"/>
          <w:szCs w:val="24"/>
          <w:lang w:eastAsia="es-MX"/>
        </w:rPr>
      </w:pPr>
      <w:r w:rsidRPr="00B03685">
        <w:rPr>
          <w:rFonts w:ascii="Arial" w:eastAsia="Times New Roman" w:hAnsi="Arial" w:cs="Arial"/>
          <w:sz w:val="24"/>
          <w:szCs w:val="24"/>
          <w:lang w:eastAsia="es-MX"/>
        </w:rPr>
        <w:t>El artículo 41 de la Ley 2099 de 2021- PND, creó el Fondo Único de Soluciones Energéticas – FONENERGÍA, como un patrimonio autónomo constituido a través de fiducia mercantil constituida por el Ministerio de Minas y Energía. El mismo fue objeto de reglamentación mediante Decreto 1580 de 2022 sin que se hubieren concretado todas las actividades tendientes a su operatividad.</w:t>
      </w:r>
    </w:p>
    <w:p w14:paraId="344600D1" w14:textId="77777777" w:rsidR="007278C7" w:rsidRPr="00B03685" w:rsidRDefault="007278C7" w:rsidP="00B03685">
      <w:pPr>
        <w:tabs>
          <w:tab w:val="left" w:pos="3515"/>
        </w:tabs>
        <w:suppressAutoHyphens w:val="0"/>
        <w:spacing w:after="0"/>
        <w:jc w:val="both"/>
        <w:rPr>
          <w:rFonts w:ascii="Arial" w:eastAsia="Times New Roman" w:hAnsi="Arial" w:cs="Arial"/>
          <w:sz w:val="24"/>
          <w:szCs w:val="24"/>
          <w:lang w:eastAsia="es-MX"/>
        </w:rPr>
      </w:pPr>
    </w:p>
    <w:p w14:paraId="7C9A2BE9" w14:textId="77777777" w:rsidR="007278C7" w:rsidRPr="00B03685" w:rsidRDefault="007278C7" w:rsidP="00B03685">
      <w:pPr>
        <w:suppressAutoHyphens w:val="0"/>
        <w:spacing w:after="0"/>
        <w:jc w:val="both"/>
        <w:rPr>
          <w:rFonts w:ascii="Arial" w:eastAsia="Times New Roman" w:hAnsi="Arial" w:cs="Arial"/>
          <w:sz w:val="24"/>
          <w:szCs w:val="24"/>
          <w:lang w:eastAsia="es-MX"/>
        </w:rPr>
      </w:pPr>
      <w:r w:rsidRPr="00B03685">
        <w:rPr>
          <w:rFonts w:ascii="Arial" w:eastAsia="Times New Roman" w:hAnsi="Arial" w:cs="Arial"/>
          <w:sz w:val="24"/>
          <w:szCs w:val="24"/>
          <w:lang w:eastAsia="es-MX"/>
        </w:rPr>
        <w:t>Con la modificación introducida por el artículo 247 de la Ley 2294 de 2023, FONENERGÍA cambió su naturaleza jurídica, pasando a ser un fondo cuenta administrado por el Ministerio de Minas y Energía.</w:t>
      </w:r>
    </w:p>
    <w:p w14:paraId="41938F9E" w14:textId="77777777" w:rsidR="007278C7" w:rsidRPr="00B03685" w:rsidRDefault="007278C7" w:rsidP="00B03685">
      <w:pPr>
        <w:suppressAutoHyphens w:val="0"/>
        <w:spacing w:after="0"/>
        <w:jc w:val="both"/>
        <w:rPr>
          <w:rFonts w:ascii="Arial" w:eastAsia="Times New Roman" w:hAnsi="Arial" w:cs="Arial"/>
          <w:sz w:val="24"/>
          <w:szCs w:val="24"/>
          <w:lang w:eastAsia="es-MX"/>
        </w:rPr>
      </w:pPr>
    </w:p>
    <w:p w14:paraId="54F9718B" w14:textId="77777777" w:rsidR="007278C7" w:rsidRPr="00B03685" w:rsidRDefault="007278C7" w:rsidP="00B03685">
      <w:pPr>
        <w:tabs>
          <w:tab w:val="left" w:pos="3515"/>
        </w:tabs>
        <w:suppressAutoHyphens w:val="0"/>
        <w:spacing w:after="0"/>
        <w:jc w:val="both"/>
        <w:rPr>
          <w:rFonts w:ascii="Arial" w:eastAsia="Times New Roman" w:hAnsi="Arial" w:cs="Arial"/>
          <w:sz w:val="24"/>
          <w:szCs w:val="24"/>
          <w:lang w:eastAsia="es-MX"/>
        </w:rPr>
      </w:pPr>
      <w:r w:rsidRPr="00B03685">
        <w:rPr>
          <w:rFonts w:ascii="Arial" w:eastAsia="Times New Roman" w:hAnsi="Arial" w:cs="Arial"/>
          <w:sz w:val="24"/>
          <w:szCs w:val="24"/>
          <w:lang w:eastAsia="es-MX"/>
        </w:rPr>
        <w:t>El objeto del mismo consiste en coordinar, articular y focalizar diferentes fuentes de recursos para financiar y realizar planes, programas y/o proyectos relacionados con la mejora de la calidad en el servicio, la expansión de la cobertura energética y la normalización de redes a través de soluciones de energía eléctrica y gas combustible con criterios de sostenibilidad ambiental y progreso social, bajo esquemas de servicio público domiciliario o diferentes a este.</w:t>
      </w:r>
    </w:p>
    <w:p w14:paraId="0085D6D7" w14:textId="77777777" w:rsidR="007278C7" w:rsidRPr="00B03685" w:rsidRDefault="007278C7" w:rsidP="00B03685">
      <w:pPr>
        <w:tabs>
          <w:tab w:val="left" w:pos="3515"/>
        </w:tabs>
        <w:suppressAutoHyphens w:val="0"/>
        <w:spacing w:after="0"/>
        <w:jc w:val="both"/>
        <w:rPr>
          <w:rFonts w:ascii="Arial" w:eastAsia="Times New Roman" w:hAnsi="Arial" w:cs="Arial"/>
          <w:sz w:val="24"/>
          <w:szCs w:val="24"/>
          <w:lang w:eastAsia="es-MX"/>
        </w:rPr>
      </w:pPr>
    </w:p>
    <w:p w14:paraId="53D1DB62" w14:textId="77777777" w:rsidR="00D45675" w:rsidRDefault="007278C7" w:rsidP="00B03685">
      <w:pPr>
        <w:suppressAutoHyphens w:val="0"/>
        <w:spacing w:after="0" w:line="240" w:lineRule="auto"/>
        <w:jc w:val="both"/>
        <w:textAlignment w:val="baseline"/>
        <w:rPr>
          <w:rFonts w:ascii="Arial" w:eastAsia="Times New Roman" w:hAnsi="Arial" w:cs="Arial"/>
          <w:lang w:eastAsia="es-MX"/>
        </w:rPr>
      </w:pPr>
      <w:r w:rsidRPr="007278C7">
        <w:rPr>
          <w:rFonts w:ascii="Arial" w:eastAsia="Times New Roman" w:hAnsi="Arial" w:cs="Arial"/>
          <w:lang w:eastAsia="es-MX"/>
        </w:rPr>
        <w:t>Señala, adicionalmente el artículo 247 del PND que el FONENERGÍA</w:t>
      </w:r>
      <w:r w:rsidR="00D45675">
        <w:rPr>
          <w:rFonts w:ascii="Arial" w:eastAsia="Times New Roman" w:hAnsi="Arial" w:cs="Arial"/>
          <w:lang w:eastAsia="es-MX"/>
        </w:rPr>
        <w:t>:</w:t>
      </w:r>
    </w:p>
    <w:p w14:paraId="6AA693F0" w14:textId="77777777" w:rsidR="00D45675" w:rsidRDefault="00D45675" w:rsidP="00B03685">
      <w:pPr>
        <w:suppressAutoHyphens w:val="0"/>
        <w:spacing w:after="0" w:line="240" w:lineRule="auto"/>
        <w:jc w:val="both"/>
        <w:textAlignment w:val="baseline"/>
        <w:rPr>
          <w:rFonts w:ascii="Arial" w:eastAsia="Times New Roman" w:hAnsi="Arial" w:cs="Arial"/>
          <w:lang w:eastAsia="es-MX"/>
        </w:rPr>
      </w:pPr>
    </w:p>
    <w:p w14:paraId="298F9474" w14:textId="0D46C0DC" w:rsidR="007278C7" w:rsidRPr="00D45675" w:rsidRDefault="007278C7" w:rsidP="00B03685">
      <w:pPr>
        <w:suppressAutoHyphens w:val="0"/>
        <w:spacing w:after="0"/>
        <w:ind w:left="567"/>
        <w:jc w:val="both"/>
        <w:textAlignment w:val="baseline"/>
        <w:rPr>
          <w:rFonts w:ascii="Arial" w:eastAsia="Times New Roman" w:hAnsi="Arial" w:cs="Arial"/>
          <w:i/>
          <w:iCs/>
          <w:lang w:eastAsia="es-MX"/>
        </w:rPr>
      </w:pPr>
      <w:r w:rsidRPr="00B03685">
        <w:rPr>
          <w:rFonts w:ascii="Arial" w:eastAsia="Times New Roman" w:hAnsi="Arial" w:cs="Arial"/>
          <w:i/>
          <w:lang w:eastAsia="es-MX"/>
        </w:rPr>
        <w:t>En desarrollo de su objeto podrá atender emergencias en las Zonas no Interconectadas -ZNI-, invertir en acometidas y redes internas, así como en mecanismos de sustitución hacia Fuentes no Convencionales de Energía -FNCE- y combustibles más limpios, de acuerdo con la reglamentación que para el efecto expida el Gobierno nacional.</w:t>
      </w:r>
      <w:r w:rsidRPr="00D45675">
        <w:rPr>
          <w:rFonts w:ascii="Arial" w:eastAsia="Times New Roman" w:hAnsi="Arial" w:cs="Arial"/>
          <w:i/>
          <w:iCs/>
          <w:lang w:eastAsia="es-MX"/>
        </w:rPr>
        <w:t xml:space="preserve"> </w:t>
      </w:r>
    </w:p>
    <w:p w14:paraId="043EEF47" w14:textId="77777777" w:rsidR="007278C7" w:rsidRPr="007278C7" w:rsidRDefault="007278C7" w:rsidP="00B03685">
      <w:pPr>
        <w:tabs>
          <w:tab w:val="left" w:pos="3515"/>
        </w:tabs>
        <w:suppressAutoHyphens w:val="0"/>
        <w:spacing w:after="0" w:line="240" w:lineRule="auto"/>
        <w:jc w:val="both"/>
        <w:rPr>
          <w:rFonts w:ascii="Arial" w:eastAsia="Times New Roman" w:hAnsi="Arial" w:cs="Arial"/>
          <w:lang w:eastAsia="es-MX"/>
        </w:rPr>
      </w:pPr>
    </w:p>
    <w:p w14:paraId="7D6E1A31" w14:textId="77777777" w:rsidR="007278C7" w:rsidRPr="00B03685" w:rsidRDefault="007278C7" w:rsidP="002C5F3C">
      <w:pPr>
        <w:suppressAutoHyphens w:val="0"/>
        <w:spacing w:after="0"/>
        <w:jc w:val="both"/>
        <w:textAlignment w:val="baseline"/>
        <w:rPr>
          <w:rFonts w:ascii="Arial" w:eastAsia="Times New Roman" w:hAnsi="Arial" w:cs="Arial"/>
          <w:i/>
          <w:lang w:eastAsia="es-MX"/>
        </w:rPr>
      </w:pPr>
      <w:r w:rsidRPr="00B03685">
        <w:rPr>
          <w:rFonts w:ascii="Arial" w:eastAsia="Times New Roman" w:hAnsi="Arial" w:cs="Arial"/>
          <w:sz w:val="24"/>
          <w:szCs w:val="24"/>
          <w:lang w:eastAsia="es-MX"/>
        </w:rPr>
        <w:t>También dispuso que</w:t>
      </w:r>
      <w:r w:rsidRPr="007278C7">
        <w:rPr>
          <w:rFonts w:ascii="Arial" w:eastAsia="Times New Roman" w:hAnsi="Arial" w:cs="Arial"/>
          <w:lang w:eastAsia="es-MX"/>
        </w:rPr>
        <w:t xml:space="preserve"> </w:t>
      </w:r>
      <w:r w:rsidRPr="00B03685">
        <w:rPr>
          <w:rFonts w:ascii="Arial" w:eastAsia="Times New Roman" w:hAnsi="Arial" w:cs="Arial"/>
          <w:lang w:eastAsia="es-MX"/>
        </w:rPr>
        <w:t>“</w:t>
      </w:r>
      <w:r w:rsidRPr="00B03685">
        <w:rPr>
          <w:rFonts w:ascii="Arial" w:eastAsia="Times New Roman" w:hAnsi="Arial" w:cs="Arial"/>
          <w:i/>
          <w:lang w:eastAsia="es-MX"/>
        </w:rPr>
        <w:t xml:space="preserve">El Fondo Único de Soluciones Energéticas - FONENERGÍA- contará con un Comité de Administración, cuya integración y funciones se determinarán por el Gobierno nacional; y sus recursos se administrarán en dos subcuentas, una para financiar los programas y proyectos relacionados con el sector energía y otra para aquellos del sector gas combustible.” </w:t>
      </w:r>
    </w:p>
    <w:p w14:paraId="03EFD67C" w14:textId="77777777" w:rsidR="007278C7" w:rsidRPr="007278C7" w:rsidRDefault="007278C7" w:rsidP="00B03685">
      <w:pPr>
        <w:tabs>
          <w:tab w:val="left" w:pos="3515"/>
        </w:tabs>
        <w:suppressAutoHyphens w:val="0"/>
        <w:spacing w:after="0" w:line="240" w:lineRule="auto"/>
        <w:jc w:val="both"/>
        <w:rPr>
          <w:rFonts w:ascii="Arial" w:eastAsia="Times New Roman" w:hAnsi="Arial" w:cs="Arial"/>
          <w:sz w:val="20"/>
          <w:szCs w:val="20"/>
          <w:lang w:eastAsia="es-MX"/>
        </w:rPr>
      </w:pPr>
    </w:p>
    <w:p w14:paraId="2F1805CF" w14:textId="77777777" w:rsidR="007278C7" w:rsidRPr="00B03685" w:rsidRDefault="007278C7" w:rsidP="00B03685">
      <w:pPr>
        <w:tabs>
          <w:tab w:val="left" w:pos="3515"/>
        </w:tabs>
        <w:suppressAutoHyphens w:val="0"/>
        <w:spacing w:after="0"/>
        <w:jc w:val="both"/>
        <w:rPr>
          <w:rFonts w:ascii="Arial" w:eastAsia="Times New Roman" w:hAnsi="Arial" w:cs="Arial"/>
          <w:sz w:val="24"/>
          <w:szCs w:val="24"/>
          <w:lang w:eastAsia="es-MX"/>
        </w:rPr>
      </w:pPr>
      <w:r w:rsidRPr="00B03685">
        <w:rPr>
          <w:rFonts w:ascii="Arial" w:eastAsia="Times New Roman" w:hAnsi="Arial" w:cs="Arial"/>
          <w:sz w:val="24"/>
          <w:szCs w:val="24"/>
          <w:lang w:eastAsia="es-MX"/>
        </w:rPr>
        <w:t>Así mismo indicó el artículo 247 citado, que hasta tanto el Gobierno nacional reglamente lo dispuesto en dicho artículo, se aplicará lo establecido en las normas que regulan los fondos y programas que sustituye el FONENERGÍA.</w:t>
      </w:r>
    </w:p>
    <w:p w14:paraId="30019116" w14:textId="77777777" w:rsidR="00890879" w:rsidRPr="00D45675" w:rsidRDefault="00890879" w:rsidP="008E39FD">
      <w:pPr>
        <w:tabs>
          <w:tab w:val="left" w:pos="4474"/>
        </w:tabs>
        <w:spacing w:after="0"/>
        <w:jc w:val="both"/>
        <w:rPr>
          <w:rFonts w:ascii="Arial" w:hAnsi="Arial" w:cs="Arial"/>
          <w:sz w:val="24"/>
          <w:szCs w:val="24"/>
        </w:rPr>
      </w:pPr>
    </w:p>
    <w:p w14:paraId="32EE3319" w14:textId="63B8D311" w:rsidR="000C54C6" w:rsidRPr="00D45675" w:rsidRDefault="000C54C6" w:rsidP="008E39FD">
      <w:pPr>
        <w:tabs>
          <w:tab w:val="left" w:pos="4474"/>
        </w:tabs>
        <w:spacing w:after="0"/>
        <w:jc w:val="both"/>
        <w:rPr>
          <w:rFonts w:ascii="Arial" w:hAnsi="Arial" w:cs="Arial"/>
          <w:sz w:val="24"/>
          <w:szCs w:val="24"/>
        </w:rPr>
      </w:pPr>
      <w:r w:rsidRPr="00D45675">
        <w:rPr>
          <w:rFonts w:ascii="Arial" w:hAnsi="Arial" w:cs="Arial"/>
          <w:sz w:val="24"/>
          <w:szCs w:val="24"/>
        </w:rPr>
        <w:t xml:space="preserve">En consecuencia, a partir de la entrada en operación del FONENERGÍA, </w:t>
      </w:r>
      <w:r w:rsidR="00E23518">
        <w:rPr>
          <w:rFonts w:ascii="Arial" w:hAnsi="Arial" w:cs="Arial"/>
          <w:sz w:val="24"/>
          <w:szCs w:val="24"/>
        </w:rPr>
        <w:t xml:space="preserve">de conformidad con el régimen de transición establecido en el parágrafo del artículo 2.2.8.3.3.3.1. del Decreto </w:t>
      </w:r>
      <w:r w:rsidR="00E23518" w:rsidRPr="00E23518">
        <w:rPr>
          <w:rFonts w:ascii="Arial" w:hAnsi="Arial" w:cs="Arial"/>
          <w:sz w:val="24"/>
          <w:szCs w:val="24"/>
          <w:highlight w:val="yellow"/>
        </w:rPr>
        <w:t>XX</w:t>
      </w:r>
      <w:r w:rsidR="00E23518">
        <w:rPr>
          <w:rFonts w:ascii="Arial" w:hAnsi="Arial" w:cs="Arial"/>
          <w:sz w:val="24"/>
          <w:szCs w:val="24"/>
        </w:rPr>
        <w:t xml:space="preserve"> de 2026, </w:t>
      </w:r>
      <w:r w:rsidRPr="00D45675">
        <w:rPr>
          <w:rFonts w:ascii="Arial" w:hAnsi="Arial" w:cs="Arial"/>
          <w:sz w:val="24"/>
          <w:szCs w:val="24"/>
        </w:rPr>
        <w:t>la planificación, asignación, ejecución y seguimiento de los recursos destinados a los objetivos que desarrollaban los fondos anteriormente mencionados se realizará conforme a las disposiciones establecidas para el FONENERGÍA en la Ley 2099 de 2021, la Ley 2294 de 2023, el Decreto Único Reglamentario del Sector Minas y Energía 1073 de 2015, las normas que lo modifiquen o sustituyan y el presente Manual Operativo.</w:t>
      </w:r>
    </w:p>
    <w:p w14:paraId="772B1654" w14:textId="77777777" w:rsidR="000C54C6" w:rsidRPr="000C54C6" w:rsidRDefault="000C54C6" w:rsidP="008E39FD">
      <w:pPr>
        <w:tabs>
          <w:tab w:val="left" w:pos="4474"/>
        </w:tabs>
        <w:spacing w:after="0"/>
        <w:jc w:val="both"/>
        <w:rPr>
          <w:rFonts w:ascii="Arial" w:hAnsi="Arial" w:cs="Arial"/>
          <w:sz w:val="24"/>
          <w:szCs w:val="24"/>
        </w:rPr>
      </w:pPr>
    </w:p>
    <w:p w14:paraId="4B0482F6" w14:textId="77777777" w:rsidR="000C54C6" w:rsidRPr="000C54C6" w:rsidRDefault="000C54C6" w:rsidP="008E39FD">
      <w:pPr>
        <w:tabs>
          <w:tab w:val="left" w:pos="4474"/>
        </w:tabs>
        <w:spacing w:after="0"/>
        <w:jc w:val="both"/>
        <w:rPr>
          <w:rFonts w:ascii="Arial" w:hAnsi="Arial" w:cs="Arial"/>
          <w:sz w:val="24"/>
          <w:szCs w:val="24"/>
        </w:rPr>
      </w:pPr>
      <w:r w:rsidRPr="000C54C6">
        <w:rPr>
          <w:rFonts w:ascii="Arial" w:hAnsi="Arial" w:cs="Arial"/>
          <w:sz w:val="24"/>
          <w:szCs w:val="24"/>
        </w:rPr>
        <w:t xml:space="preserve">No obstante lo anterior, los planes, programas, proyectos, contratos, convenios, encargos fiduciarios y demás actuaciones administrativas que se encuentren en ejecución con </w:t>
      </w:r>
      <w:r w:rsidRPr="000C54C6">
        <w:rPr>
          <w:rFonts w:ascii="Arial" w:hAnsi="Arial" w:cs="Arial"/>
          <w:sz w:val="24"/>
          <w:szCs w:val="24"/>
        </w:rPr>
        <w:lastRenderedPageBreak/>
        <w:t>cargo a los fondos FAER, FAZNI, PRONE y FECFGN al momento de la entrada en operación del FONENERGÍA continuarán rigiéndose por las condiciones jurídicas, técnicas y financieras bajo las cuales fueron aprobados, hasta su terminación, liquidación o cierre definitivo.</w:t>
      </w:r>
    </w:p>
    <w:p w14:paraId="0720E72B" w14:textId="77777777" w:rsidR="000C54C6" w:rsidRPr="000C54C6" w:rsidRDefault="000C54C6" w:rsidP="008E39FD">
      <w:pPr>
        <w:tabs>
          <w:tab w:val="left" w:pos="4474"/>
        </w:tabs>
        <w:spacing w:after="0"/>
        <w:jc w:val="both"/>
        <w:rPr>
          <w:rFonts w:ascii="Arial" w:hAnsi="Arial" w:cs="Arial"/>
          <w:sz w:val="24"/>
          <w:szCs w:val="24"/>
        </w:rPr>
      </w:pPr>
    </w:p>
    <w:p w14:paraId="14512142" w14:textId="77777777" w:rsidR="000C54C6" w:rsidRPr="000C54C6" w:rsidRDefault="000C54C6" w:rsidP="008E39FD">
      <w:pPr>
        <w:tabs>
          <w:tab w:val="left" w:pos="4474"/>
        </w:tabs>
        <w:spacing w:after="0"/>
        <w:jc w:val="both"/>
        <w:rPr>
          <w:rFonts w:ascii="Arial" w:hAnsi="Arial" w:cs="Arial"/>
          <w:sz w:val="24"/>
          <w:szCs w:val="24"/>
        </w:rPr>
      </w:pPr>
      <w:r w:rsidRPr="000C54C6">
        <w:rPr>
          <w:rFonts w:ascii="Arial" w:hAnsi="Arial" w:cs="Arial"/>
          <w:sz w:val="24"/>
          <w:szCs w:val="24"/>
        </w:rPr>
        <w:t>Para efectos de la gestión, seguimiento, control y eventual financiación de nuevas etapas o ampliaciones de dichos proyectos, el Ministerio de Minas y Energía, a través del FONENERGÍA, podrá asumir las funciones correspondientes conforme a las disposiciones establecidas en el presente Manual y en la normativa aplicable.</w:t>
      </w:r>
    </w:p>
    <w:p w14:paraId="0775A324" w14:textId="77777777" w:rsidR="000C54C6" w:rsidRPr="000C54C6" w:rsidRDefault="000C54C6" w:rsidP="008E39FD">
      <w:pPr>
        <w:tabs>
          <w:tab w:val="left" w:pos="4474"/>
        </w:tabs>
        <w:spacing w:after="0"/>
        <w:jc w:val="both"/>
        <w:rPr>
          <w:rFonts w:ascii="Arial" w:hAnsi="Arial" w:cs="Arial"/>
          <w:sz w:val="24"/>
          <w:szCs w:val="24"/>
        </w:rPr>
      </w:pPr>
    </w:p>
    <w:p w14:paraId="47005E77" w14:textId="77777777" w:rsidR="000C54C6" w:rsidRPr="000C54C6" w:rsidRDefault="000C54C6" w:rsidP="008E39FD">
      <w:pPr>
        <w:tabs>
          <w:tab w:val="left" w:pos="4474"/>
        </w:tabs>
        <w:spacing w:after="0"/>
        <w:jc w:val="both"/>
        <w:rPr>
          <w:rFonts w:ascii="Arial" w:hAnsi="Arial" w:cs="Arial"/>
          <w:sz w:val="24"/>
          <w:szCs w:val="24"/>
        </w:rPr>
      </w:pPr>
      <w:r w:rsidRPr="000C54C6">
        <w:rPr>
          <w:rFonts w:ascii="Arial" w:hAnsi="Arial" w:cs="Arial"/>
          <w:sz w:val="24"/>
          <w:szCs w:val="24"/>
        </w:rPr>
        <w:t>Lo anterior se entenderá sin perjuicio de las competencias de las entidades que participen en la estructuración, ejecución o supervisión de los proyectos financiados con cargo a dichos recursos, ni de las obligaciones contractuales previamente adquiridas por las partes.</w:t>
      </w:r>
    </w:p>
    <w:p w14:paraId="44547962" w14:textId="77777777" w:rsidR="004B40A4" w:rsidRPr="005C0CA0" w:rsidRDefault="004B40A4" w:rsidP="008E39FD">
      <w:pPr>
        <w:tabs>
          <w:tab w:val="left" w:pos="4474"/>
        </w:tabs>
        <w:spacing w:after="0"/>
        <w:jc w:val="both"/>
        <w:rPr>
          <w:rFonts w:ascii="Arial" w:hAnsi="Arial" w:cs="Arial"/>
          <w:sz w:val="24"/>
          <w:szCs w:val="24"/>
        </w:rPr>
      </w:pPr>
    </w:p>
    <w:p w14:paraId="323EE09D" w14:textId="02AC67AC" w:rsidR="006E7512" w:rsidRDefault="004B40A4" w:rsidP="002C5F3C">
      <w:pPr>
        <w:spacing w:after="0"/>
        <w:jc w:val="both"/>
        <w:rPr>
          <w:rFonts w:ascii="Arial" w:hAnsi="Arial" w:cs="Arial"/>
          <w:b/>
          <w:bCs/>
          <w:sz w:val="28"/>
          <w:szCs w:val="28"/>
        </w:rPr>
      </w:pPr>
      <w:r w:rsidRPr="005C0CA0">
        <w:rPr>
          <w:rFonts w:ascii="Arial" w:hAnsi="Arial" w:cs="Arial"/>
          <w:sz w:val="24"/>
          <w:szCs w:val="24"/>
        </w:rPr>
        <w:t xml:space="preserve">Con el Decreto </w:t>
      </w:r>
      <w:r w:rsidRPr="00D95475">
        <w:rPr>
          <w:rFonts w:ascii="Arial" w:hAnsi="Arial" w:cs="Arial"/>
          <w:sz w:val="24"/>
          <w:szCs w:val="24"/>
          <w:highlight w:val="magenta"/>
        </w:rPr>
        <w:t>XXXX</w:t>
      </w:r>
      <w:r w:rsidRPr="005C0CA0">
        <w:rPr>
          <w:rFonts w:ascii="Arial" w:hAnsi="Arial" w:cs="Arial"/>
          <w:sz w:val="24"/>
          <w:szCs w:val="24"/>
        </w:rPr>
        <w:t xml:space="preserve"> se reglamentó el artículo 247 de la Ley 2294 de 2023 asignándose por el Gobierno Nacional al Ministerio de Minas y Energía, la facultad de expedir el </w:t>
      </w:r>
      <w:r w:rsidR="00E56172">
        <w:rPr>
          <w:rFonts w:ascii="Arial" w:hAnsi="Arial" w:cs="Arial"/>
          <w:sz w:val="24"/>
          <w:szCs w:val="24"/>
        </w:rPr>
        <w:t xml:space="preserve">presente </w:t>
      </w:r>
      <w:r w:rsidRPr="005C0CA0">
        <w:rPr>
          <w:rFonts w:ascii="Arial" w:hAnsi="Arial" w:cs="Arial"/>
          <w:sz w:val="24"/>
          <w:szCs w:val="24"/>
        </w:rPr>
        <w:t>Manual Operativo que regirá el actuar específico del FONENERGÍA.</w:t>
      </w:r>
    </w:p>
    <w:p w14:paraId="008892CB" w14:textId="77777777" w:rsidR="00A9464F" w:rsidRDefault="00A9464F" w:rsidP="008E39FD">
      <w:pPr>
        <w:spacing w:after="0" w:line="240" w:lineRule="auto"/>
        <w:rPr>
          <w:rFonts w:ascii="Arial" w:hAnsi="Arial" w:cs="Arial"/>
          <w:b/>
          <w:bCs/>
          <w:sz w:val="28"/>
          <w:szCs w:val="28"/>
        </w:rPr>
      </w:pPr>
    </w:p>
    <w:p w14:paraId="77109B10" w14:textId="77777777" w:rsidR="00197A91" w:rsidRDefault="00197A91">
      <w:pPr>
        <w:spacing w:after="0" w:line="240" w:lineRule="auto"/>
        <w:rPr>
          <w:rFonts w:ascii="Arial" w:hAnsi="Arial" w:cs="Arial"/>
          <w:b/>
          <w:bCs/>
          <w:sz w:val="24"/>
          <w:szCs w:val="24"/>
        </w:rPr>
      </w:pPr>
      <w:bookmarkStart w:id="0" w:name="_Toc219397230"/>
      <w:r>
        <w:rPr>
          <w:rFonts w:ascii="Arial" w:hAnsi="Arial" w:cs="Arial"/>
          <w:b/>
          <w:bCs/>
          <w:sz w:val="24"/>
          <w:szCs w:val="24"/>
        </w:rPr>
        <w:br w:type="page"/>
      </w:r>
    </w:p>
    <w:p w14:paraId="24560F6A" w14:textId="7C377857" w:rsidR="00335FCB" w:rsidRDefault="00335FCB" w:rsidP="003E028A">
      <w:pPr>
        <w:pStyle w:val="Ttulo1"/>
      </w:pPr>
      <w:bookmarkStart w:id="1" w:name="_Toc224844276"/>
      <w:r>
        <w:lastRenderedPageBreak/>
        <w:t>TITULO I</w:t>
      </w:r>
      <w:bookmarkEnd w:id="1"/>
    </w:p>
    <w:p w14:paraId="0E515457" w14:textId="120936A9" w:rsidR="00335FCB" w:rsidRDefault="00335FCB" w:rsidP="003E028A">
      <w:pPr>
        <w:pStyle w:val="Ttulo2"/>
        <w:jc w:val="center"/>
      </w:pPr>
      <w:bookmarkStart w:id="2" w:name="_Toc224844277"/>
      <w:r>
        <w:t>DISPOSICIONES GENERALES</w:t>
      </w:r>
      <w:bookmarkEnd w:id="2"/>
    </w:p>
    <w:p w14:paraId="2B7F7905" w14:textId="2F91FADA" w:rsidR="002D0294" w:rsidRPr="00A75167" w:rsidRDefault="004B40A4" w:rsidP="003E028A">
      <w:pPr>
        <w:pStyle w:val="Ttulo3"/>
        <w:jc w:val="center"/>
      </w:pPr>
      <w:bookmarkStart w:id="3" w:name="_Toc224844278"/>
      <w:r w:rsidRPr="00B03685">
        <w:t>CAPÍTULO I</w:t>
      </w:r>
      <w:bookmarkEnd w:id="3"/>
    </w:p>
    <w:p w14:paraId="6FF555FB" w14:textId="6C7D36B3" w:rsidR="004B40A4" w:rsidRPr="00A75167" w:rsidRDefault="004B40A4" w:rsidP="00263EC5">
      <w:pPr>
        <w:pStyle w:val="Ttulo4"/>
        <w:ind w:left="864" w:hanging="864"/>
      </w:pPr>
      <w:bookmarkStart w:id="4" w:name="_Toc224844279"/>
      <w:r w:rsidRPr="00B03685">
        <w:t>DEFINICIONES Y ABREVIATURAS</w:t>
      </w:r>
      <w:bookmarkEnd w:id="0"/>
      <w:bookmarkEnd w:id="4"/>
    </w:p>
    <w:p w14:paraId="31F080EF" w14:textId="77777777" w:rsidR="004B40A4" w:rsidRPr="005C0CA0" w:rsidRDefault="004B40A4" w:rsidP="008E39FD">
      <w:pPr>
        <w:spacing w:after="0"/>
      </w:pPr>
    </w:p>
    <w:p w14:paraId="728F2950" w14:textId="77777777" w:rsidR="004B40A4" w:rsidRPr="005C0CA0" w:rsidRDefault="004B40A4" w:rsidP="008E39FD">
      <w:pPr>
        <w:tabs>
          <w:tab w:val="left" w:pos="4474"/>
        </w:tabs>
        <w:spacing w:after="0"/>
        <w:jc w:val="both"/>
        <w:rPr>
          <w:rFonts w:ascii="Arial" w:hAnsi="Arial" w:cs="Arial"/>
          <w:sz w:val="24"/>
          <w:szCs w:val="24"/>
        </w:rPr>
      </w:pPr>
      <w:r w:rsidRPr="005C0CA0">
        <w:rPr>
          <w:rFonts w:ascii="Arial" w:hAnsi="Arial" w:cs="Arial"/>
          <w:sz w:val="24"/>
          <w:szCs w:val="24"/>
        </w:rPr>
        <w:t xml:space="preserve">Para efectos de interpretación de este Manual a las palabras que a continuación se relacionan en negrilla se les atribuirá el significado que en ellas se indica. Los términos utilizados que no estén definidos en este Manual tendrán el significado que se les asigna en la ley y en las definiciones de la Comisión de Regulación de Energía y Gas (CREG). </w:t>
      </w:r>
    </w:p>
    <w:p w14:paraId="7930CFC1" w14:textId="77777777" w:rsidR="004B40A4" w:rsidRPr="005C0CA0" w:rsidRDefault="004B40A4" w:rsidP="008E39FD">
      <w:pPr>
        <w:tabs>
          <w:tab w:val="left" w:pos="4474"/>
        </w:tabs>
        <w:spacing w:after="0"/>
        <w:jc w:val="both"/>
        <w:rPr>
          <w:rFonts w:ascii="Arial" w:hAnsi="Arial" w:cs="Arial"/>
          <w:sz w:val="24"/>
          <w:szCs w:val="24"/>
        </w:rPr>
      </w:pPr>
    </w:p>
    <w:p w14:paraId="609F1C51" w14:textId="68B7CF6D" w:rsidR="004B40A4" w:rsidRPr="005F31DF" w:rsidRDefault="003E028A" w:rsidP="003E028A">
      <w:pPr>
        <w:pStyle w:val="Ttulo5"/>
        <w:ind w:left="1008" w:hanging="1008"/>
      </w:pPr>
      <w:bookmarkStart w:id="5" w:name="_Toc219397231"/>
      <w:bookmarkStart w:id="6" w:name="_Toc224844280"/>
      <w:r>
        <w:t xml:space="preserve">I-1.1 </w:t>
      </w:r>
      <w:r w:rsidR="004B40A4" w:rsidRPr="005F31DF">
        <w:t>Definiciones</w:t>
      </w:r>
      <w:bookmarkEnd w:id="5"/>
      <w:bookmarkEnd w:id="6"/>
    </w:p>
    <w:p w14:paraId="53162046" w14:textId="77777777" w:rsidR="00A72EAD" w:rsidRDefault="00A72EAD" w:rsidP="008E39FD">
      <w:pPr>
        <w:tabs>
          <w:tab w:val="left" w:pos="4474"/>
        </w:tabs>
        <w:spacing w:after="0"/>
        <w:jc w:val="both"/>
        <w:rPr>
          <w:rFonts w:ascii="Arial" w:hAnsi="Arial" w:cs="Arial"/>
          <w:sz w:val="24"/>
          <w:szCs w:val="24"/>
        </w:rPr>
      </w:pPr>
    </w:p>
    <w:p w14:paraId="530E3D58" w14:textId="62899496" w:rsidR="004B40A4" w:rsidRPr="005C0CA0" w:rsidRDefault="004B40A4" w:rsidP="008E39FD">
      <w:pPr>
        <w:tabs>
          <w:tab w:val="left" w:pos="4474"/>
        </w:tabs>
        <w:spacing w:after="0"/>
        <w:jc w:val="both"/>
        <w:rPr>
          <w:rFonts w:ascii="Arial" w:hAnsi="Arial" w:cs="Arial"/>
          <w:sz w:val="24"/>
          <w:szCs w:val="24"/>
        </w:rPr>
      </w:pPr>
      <w:r w:rsidRPr="005C0CA0">
        <w:rPr>
          <w:rFonts w:ascii="Arial" w:hAnsi="Arial" w:cs="Arial"/>
          <w:sz w:val="24"/>
          <w:szCs w:val="24"/>
        </w:rPr>
        <w:t>Para efectos de la aplicación del presente Manual, se tendrán en cuenta, además de las definiciones contenidas en la Ley 142 de 1994 y el Decreto 1073 de 2015, las contenidas en las resoluciones expedidas por la Comisión de Regulación de Energía y Gas-CREG y las siguientes:</w:t>
      </w:r>
    </w:p>
    <w:p w14:paraId="645444B7" w14:textId="77777777" w:rsidR="004B40A4" w:rsidRPr="005C0CA0" w:rsidRDefault="004B40A4" w:rsidP="008E39FD">
      <w:pPr>
        <w:tabs>
          <w:tab w:val="left" w:pos="4474"/>
        </w:tabs>
        <w:spacing w:after="0"/>
        <w:rPr>
          <w:rFonts w:ascii="Arial" w:hAnsi="Arial" w:cs="Arial"/>
          <w:b/>
          <w:bCs/>
          <w:sz w:val="24"/>
          <w:szCs w:val="24"/>
        </w:rPr>
      </w:pPr>
    </w:p>
    <w:p w14:paraId="0FDD01F7" w14:textId="2F4A02D3" w:rsidR="004B40A4" w:rsidRPr="00C574EE" w:rsidRDefault="00BF08F0" w:rsidP="003E028A">
      <w:pPr>
        <w:pStyle w:val="Ttulo6"/>
        <w:ind w:left="1152" w:hanging="1152"/>
      </w:pPr>
      <w:bookmarkStart w:id="7" w:name="_Toc219397232"/>
      <w:r w:rsidRPr="003823DF">
        <w:rPr>
          <w:bCs/>
        </w:rPr>
        <w:t>I-1.1</w:t>
      </w:r>
      <w:r>
        <w:rPr>
          <w:bCs/>
        </w:rPr>
        <w:t xml:space="preserve">.1 </w:t>
      </w:r>
      <w:r w:rsidR="004B40A4" w:rsidRPr="00C574EE">
        <w:t>Gas Combustible:</w:t>
      </w:r>
      <w:bookmarkEnd w:id="7"/>
    </w:p>
    <w:p w14:paraId="2CA12045" w14:textId="77777777" w:rsidR="004B40A4" w:rsidRPr="005C0CA0" w:rsidRDefault="004B40A4" w:rsidP="008E39FD">
      <w:pPr>
        <w:spacing w:after="0"/>
        <w:jc w:val="both"/>
        <w:rPr>
          <w:rFonts w:ascii="Arial" w:hAnsi="Arial" w:cs="Arial"/>
          <w:b/>
          <w:bCs/>
          <w:sz w:val="24"/>
          <w:szCs w:val="24"/>
        </w:rPr>
      </w:pPr>
    </w:p>
    <w:p w14:paraId="3C5FD21B" w14:textId="77777777"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Acometida:</w:t>
      </w:r>
      <w:r w:rsidRPr="005C0CA0">
        <w:rPr>
          <w:rFonts w:ascii="Arial" w:hAnsi="Arial" w:cs="Arial"/>
          <w:sz w:val="24"/>
          <w:szCs w:val="24"/>
        </w:rPr>
        <w:t xml:space="preserve"> Derivación de la red local de distribución del servicio respectivo que llega hasta el registro de corte del inmueble. En edificios de propiedad horizontal o condominios, la acometida llega hasta el registro de corte general.</w:t>
      </w:r>
    </w:p>
    <w:p w14:paraId="430C23E2" w14:textId="77777777" w:rsidR="004B40A4" w:rsidRPr="005C0CA0" w:rsidRDefault="004B40A4" w:rsidP="008E39FD">
      <w:pPr>
        <w:spacing w:after="0"/>
        <w:jc w:val="both"/>
        <w:rPr>
          <w:rFonts w:ascii="Arial" w:hAnsi="Arial" w:cs="Arial"/>
          <w:b/>
          <w:bCs/>
          <w:sz w:val="24"/>
          <w:szCs w:val="24"/>
        </w:rPr>
      </w:pPr>
    </w:p>
    <w:p w14:paraId="43C97948" w14:textId="5FCC9EA4"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Acta de liquidación:</w:t>
      </w:r>
      <w:r w:rsidRPr="005C0CA0">
        <w:rPr>
          <w:rFonts w:ascii="Arial" w:hAnsi="Arial" w:cs="Arial"/>
          <w:sz w:val="24"/>
          <w:szCs w:val="24"/>
        </w:rPr>
        <w:t xml:space="preserve"> </w:t>
      </w:r>
      <w:r w:rsidR="00510A65" w:rsidRPr="00510A65">
        <w:rPr>
          <w:rFonts w:ascii="Arial" w:hAnsi="Arial" w:cs="Arial"/>
          <w:sz w:val="24"/>
          <w:szCs w:val="24"/>
        </w:rPr>
        <w:t>Es el documento por el cual el contratante representado por el ordenador de gasto, el contratista por medio de su representante legal, el interventor y/o supervisor, realizan un balance financiero de la ejecución presupuestal y certifican el cumplimiento de las obligaciones pactadas; los ajustes o reconocimientos a los que haya lugar, con el fin de declararse a paz y salvo. Podrán hacerse, no obstante, salvedades y suscribirse con éstas cuando no se llegue a acuerdos en la totalidad de las declaraciones</w:t>
      </w:r>
    </w:p>
    <w:p w14:paraId="233E9361" w14:textId="77777777" w:rsidR="004B40A4" w:rsidRPr="005C0CA0" w:rsidRDefault="004B40A4" w:rsidP="008E39FD">
      <w:pPr>
        <w:spacing w:after="0"/>
        <w:jc w:val="both"/>
        <w:rPr>
          <w:rFonts w:ascii="Arial" w:hAnsi="Arial" w:cs="Arial"/>
          <w:b/>
          <w:bCs/>
          <w:sz w:val="24"/>
          <w:szCs w:val="24"/>
        </w:rPr>
      </w:pPr>
    </w:p>
    <w:p w14:paraId="32A8AA02" w14:textId="3BD1A96A"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Almacenamiento estratégico:</w:t>
      </w:r>
      <w:r w:rsidRPr="005C0CA0">
        <w:rPr>
          <w:rFonts w:ascii="Arial" w:hAnsi="Arial" w:cs="Arial"/>
          <w:sz w:val="24"/>
          <w:szCs w:val="24"/>
        </w:rPr>
        <w:t xml:space="preserve"> Infraestructura necesaria como cilindros, tanques de almacenamiento de gas combustible y sistemas de respaldo </w:t>
      </w:r>
      <w:r w:rsidR="00692B83">
        <w:rPr>
          <w:rFonts w:ascii="Arial" w:hAnsi="Arial" w:cs="Arial"/>
          <w:sz w:val="24"/>
          <w:szCs w:val="24"/>
        </w:rPr>
        <w:t xml:space="preserve">de GNL </w:t>
      </w:r>
      <w:r w:rsidRPr="005C0CA0">
        <w:rPr>
          <w:rFonts w:ascii="Arial" w:hAnsi="Arial" w:cs="Arial"/>
          <w:sz w:val="24"/>
          <w:szCs w:val="24"/>
        </w:rPr>
        <w:t>a pequeña escala, que permitan garantizar la continuidad en la prestación del servicio frente a situaciones que puedan afectar el suministro del combustible cuando es abastecido por vías terrestres o fluviales.</w:t>
      </w:r>
    </w:p>
    <w:p w14:paraId="0B8EEA4B" w14:textId="77777777" w:rsidR="004B40A4" w:rsidRPr="005C0CA0" w:rsidRDefault="004B40A4" w:rsidP="008E39FD">
      <w:pPr>
        <w:spacing w:after="0"/>
        <w:jc w:val="both"/>
        <w:rPr>
          <w:rFonts w:ascii="Arial" w:hAnsi="Arial" w:cs="Arial"/>
          <w:b/>
          <w:sz w:val="24"/>
          <w:szCs w:val="24"/>
        </w:rPr>
      </w:pPr>
    </w:p>
    <w:p w14:paraId="04BEF161" w14:textId="47EED3DE" w:rsidR="004B40A4" w:rsidRPr="005C0CA0" w:rsidRDefault="004B40A4" w:rsidP="008E39FD">
      <w:pPr>
        <w:spacing w:after="0"/>
        <w:jc w:val="both"/>
        <w:rPr>
          <w:rFonts w:ascii="Arial" w:hAnsi="Arial" w:cs="Arial"/>
          <w:sz w:val="24"/>
          <w:szCs w:val="24"/>
        </w:rPr>
      </w:pPr>
      <w:r w:rsidRPr="005C0CA0">
        <w:rPr>
          <w:rFonts w:ascii="Arial" w:hAnsi="Arial" w:cs="Arial"/>
          <w:b/>
          <w:sz w:val="24"/>
          <w:szCs w:val="24"/>
        </w:rPr>
        <w:t xml:space="preserve">Aportes Nación: </w:t>
      </w:r>
      <w:r w:rsidRPr="005C0CA0">
        <w:rPr>
          <w:rFonts w:ascii="Arial" w:hAnsi="Arial" w:cs="Arial"/>
          <w:bCs/>
          <w:sz w:val="24"/>
          <w:szCs w:val="24"/>
        </w:rPr>
        <w:t xml:space="preserve">Corresponde a los recursos aportados por el FONENERGÍA, </w:t>
      </w:r>
      <w:r w:rsidRPr="005C0CA0">
        <w:rPr>
          <w:rFonts w:ascii="Arial" w:hAnsi="Arial" w:cs="Arial"/>
          <w:sz w:val="24"/>
          <w:szCs w:val="24"/>
        </w:rPr>
        <w:t>para el desarrollo de</w:t>
      </w:r>
      <w:r w:rsidR="00CD2F93">
        <w:rPr>
          <w:rFonts w:ascii="Arial" w:hAnsi="Arial" w:cs="Arial"/>
          <w:sz w:val="24"/>
          <w:szCs w:val="24"/>
        </w:rPr>
        <w:t xml:space="preserve"> proyectos de </w:t>
      </w:r>
      <w:r w:rsidRPr="005C0CA0">
        <w:rPr>
          <w:rFonts w:ascii="Arial" w:hAnsi="Arial" w:cs="Arial"/>
          <w:sz w:val="24"/>
          <w:szCs w:val="24"/>
        </w:rPr>
        <w:t xml:space="preserve">infraestructura de gas combustible </w:t>
      </w:r>
      <w:r w:rsidR="00CD2F93">
        <w:rPr>
          <w:rFonts w:ascii="Arial" w:hAnsi="Arial" w:cs="Arial"/>
          <w:sz w:val="24"/>
          <w:szCs w:val="24"/>
        </w:rPr>
        <w:t xml:space="preserve">por redes </w:t>
      </w:r>
      <w:r w:rsidRPr="005C0CA0">
        <w:rPr>
          <w:rFonts w:ascii="Arial" w:hAnsi="Arial" w:cs="Arial"/>
          <w:sz w:val="24"/>
          <w:szCs w:val="24"/>
        </w:rPr>
        <w:t>a nivel nacional.</w:t>
      </w:r>
    </w:p>
    <w:p w14:paraId="2C3EB735" w14:textId="77777777" w:rsidR="004B40A4" w:rsidRPr="005C0CA0" w:rsidRDefault="004B40A4" w:rsidP="008E39FD">
      <w:pPr>
        <w:spacing w:after="0"/>
        <w:jc w:val="both"/>
        <w:rPr>
          <w:rFonts w:ascii="Arial" w:hAnsi="Arial" w:cs="Arial"/>
          <w:sz w:val="24"/>
          <w:szCs w:val="24"/>
        </w:rPr>
      </w:pPr>
    </w:p>
    <w:p w14:paraId="1AA5DD91" w14:textId="7C107D0A"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 xml:space="preserve">Comercialización:  </w:t>
      </w:r>
      <w:r w:rsidR="00616B91" w:rsidRPr="00B03685">
        <w:rPr>
          <w:rFonts w:ascii="Arial" w:hAnsi="Arial" w:cs="Arial"/>
          <w:sz w:val="24"/>
          <w:szCs w:val="24"/>
        </w:rPr>
        <w:t xml:space="preserve">Actividad de compra y venta de gas combustible en el mercado mayorista y su venta con destino a otras operaciones en dicho mercado o a los usuarios finales, regulados o no regulados. </w:t>
      </w:r>
    </w:p>
    <w:p w14:paraId="4325A19A" w14:textId="77777777" w:rsidR="00AB5BCB" w:rsidRDefault="00AB5BCB" w:rsidP="008E39FD">
      <w:pPr>
        <w:spacing w:after="0"/>
        <w:jc w:val="both"/>
        <w:rPr>
          <w:rFonts w:ascii="Arial" w:hAnsi="Arial" w:cs="Arial"/>
          <w:b/>
          <w:bCs/>
          <w:sz w:val="24"/>
          <w:szCs w:val="24"/>
        </w:rPr>
      </w:pPr>
    </w:p>
    <w:p w14:paraId="6831C23D" w14:textId="3AF0CE43" w:rsidR="004B40A4" w:rsidRDefault="004B40A4" w:rsidP="00B03685">
      <w:pPr>
        <w:spacing w:after="0"/>
        <w:jc w:val="both"/>
        <w:rPr>
          <w:rFonts w:ascii="Arial" w:hAnsi="Arial" w:cs="Arial"/>
          <w:sz w:val="24"/>
          <w:szCs w:val="24"/>
        </w:rPr>
      </w:pPr>
      <w:r w:rsidRPr="005C0CA0">
        <w:rPr>
          <w:rFonts w:ascii="Arial" w:hAnsi="Arial" w:cs="Arial"/>
          <w:b/>
          <w:bCs/>
          <w:sz w:val="24"/>
          <w:szCs w:val="24"/>
        </w:rPr>
        <w:t>Conexión:</w:t>
      </w:r>
      <w:r w:rsidRPr="005C0CA0">
        <w:rPr>
          <w:rFonts w:ascii="Arial" w:hAnsi="Arial" w:cs="Arial"/>
          <w:sz w:val="24"/>
          <w:szCs w:val="24"/>
        </w:rPr>
        <w:t xml:space="preserve"> Conjunto de bienes que permiten conectar a un usuario residencial con las redes de distribución de gas combustible. La Conexión se compone de la acometida y el medidor.</w:t>
      </w:r>
    </w:p>
    <w:p w14:paraId="344D0B21" w14:textId="77777777" w:rsidR="00CB43BC" w:rsidRDefault="00CB43BC" w:rsidP="00B03685">
      <w:pPr>
        <w:spacing w:after="0"/>
        <w:jc w:val="both"/>
        <w:rPr>
          <w:rFonts w:ascii="Arial" w:hAnsi="Arial" w:cs="Arial"/>
          <w:sz w:val="24"/>
          <w:szCs w:val="24"/>
        </w:rPr>
      </w:pPr>
    </w:p>
    <w:p w14:paraId="59BF12C5" w14:textId="10B6A287" w:rsidR="00CB43BC" w:rsidRPr="005C0CA0" w:rsidRDefault="00CB43BC" w:rsidP="00B03685">
      <w:pPr>
        <w:tabs>
          <w:tab w:val="left" w:pos="4474"/>
        </w:tabs>
        <w:spacing w:after="0"/>
        <w:jc w:val="both"/>
        <w:rPr>
          <w:rFonts w:ascii="Arial" w:hAnsi="Arial" w:cs="Arial"/>
          <w:sz w:val="24"/>
          <w:szCs w:val="24"/>
        </w:rPr>
      </w:pPr>
      <w:r w:rsidRPr="4622A9B7">
        <w:rPr>
          <w:rFonts w:ascii="Arial" w:hAnsi="Arial" w:cs="Arial"/>
          <w:b/>
          <w:bCs/>
          <w:sz w:val="24"/>
          <w:szCs w:val="24"/>
        </w:rPr>
        <w:lastRenderedPageBreak/>
        <w:t>Convocatorias:</w:t>
      </w:r>
      <w:r w:rsidRPr="4622A9B7">
        <w:rPr>
          <w:rFonts w:ascii="Arial" w:hAnsi="Arial" w:cs="Arial"/>
          <w:sz w:val="24"/>
          <w:szCs w:val="24"/>
        </w:rPr>
        <w:t xml:space="preserve"> Mecanismo de invitación para la presentación de Planes, Programas o Proyectos que pretendan la Financiación o Cofinanciación por parte de FONENERGÍA y que tengan por objeto la ampliación de cobertura en la prestación del servicio público domiciliario de </w:t>
      </w:r>
      <w:r>
        <w:rPr>
          <w:rFonts w:ascii="Arial" w:hAnsi="Arial" w:cs="Arial"/>
          <w:sz w:val="24"/>
          <w:szCs w:val="24"/>
        </w:rPr>
        <w:t>gas combustible</w:t>
      </w:r>
      <w:r w:rsidRPr="4622A9B7">
        <w:rPr>
          <w:rFonts w:ascii="Arial" w:hAnsi="Arial" w:cs="Arial"/>
          <w:sz w:val="24"/>
          <w:szCs w:val="24"/>
        </w:rPr>
        <w:t xml:space="preserve">. </w:t>
      </w:r>
    </w:p>
    <w:p w14:paraId="57F591B3" w14:textId="77777777" w:rsidR="004B40A4" w:rsidRPr="005C0CA0" w:rsidRDefault="004B40A4" w:rsidP="00B03685">
      <w:pPr>
        <w:spacing w:after="0"/>
        <w:jc w:val="both"/>
        <w:rPr>
          <w:rFonts w:ascii="Arial" w:hAnsi="Arial" w:cs="Arial"/>
          <w:sz w:val="24"/>
          <w:szCs w:val="24"/>
        </w:rPr>
      </w:pPr>
    </w:p>
    <w:p w14:paraId="02E35D51" w14:textId="68D7D480"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Desarrollo de Planes, Programas y Proyectos de Gas Combustible:</w:t>
      </w:r>
      <w:r w:rsidRPr="005C0CA0">
        <w:rPr>
          <w:rFonts w:ascii="Arial" w:hAnsi="Arial" w:cs="Arial"/>
          <w:sz w:val="24"/>
          <w:szCs w:val="24"/>
        </w:rPr>
        <w:t xml:space="preserve"> Mecanismo para la Financiación o Cofinanciación de Planes, Programas o Proyectos de Gas Combustible por redes, en cumplimiento </w:t>
      </w:r>
      <w:r w:rsidR="00616B91">
        <w:rPr>
          <w:rFonts w:ascii="Arial" w:hAnsi="Arial" w:cs="Arial"/>
          <w:sz w:val="24"/>
          <w:szCs w:val="24"/>
        </w:rPr>
        <w:t>a</w:t>
      </w:r>
      <w:r w:rsidRPr="005C0CA0">
        <w:rPr>
          <w:rFonts w:ascii="Arial" w:hAnsi="Arial" w:cs="Arial"/>
          <w:sz w:val="24"/>
          <w:szCs w:val="24"/>
        </w:rPr>
        <w:t xml:space="preserve"> los objetivos del FONENERGÍA. </w:t>
      </w:r>
    </w:p>
    <w:p w14:paraId="677FA55F" w14:textId="77777777" w:rsidR="004B40A4" w:rsidRPr="005C0CA0" w:rsidRDefault="004B40A4" w:rsidP="00B03685">
      <w:pPr>
        <w:spacing w:after="0"/>
        <w:jc w:val="both"/>
        <w:rPr>
          <w:rFonts w:ascii="Arial" w:hAnsi="Arial" w:cs="Arial"/>
          <w:sz w:val="24"/>
          <w:szCs w:val="24"/>
        </w:rPr>
      </w:pPr>
    </w:p>
    <w:p w14:paraId="26F80927" w14:textId="35006581"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 xml:space="preserve">Empresa ejecutora: </w:t>
      </w:r>
      <w:r w:rsidRPr="005C0CA0">
        <w:rPr>
          <w:rFonts w:ascii="Arial" w:hAnsi="Arial" w:cs="Arial"/>
          <w:sz w:val="24"/>
          <w:szCs w:val="24"/>
        </w:rPr>
        <w:t xml:space="preserve">Empresa prestadora del servicio público domiciliario de gas combustible por redes </w:t>
      </w:r>
      <w:r w:rsidR="00077CCB">
        <w:rPr>
          <w:rFonts w:ascii="Arial" w:hAnsi="Arial" w:cs="Arial"/>
          <w:sz w:val="24"/>
          <w:szCs w:val="24"/>
        </w:rPr>
        <w:t>con Registro Único de Prestador</w:t>
      </w:r>
      <w:r w:rsidR="001D79F6">
        <w:rPr>
          <w:rFonts w:ascii="Arial" w:hAnsi="Arial" w:cs="Arial"/>
          <w:sz w:val="24"/>
          <w:szCs w:val="24"/>
        </w:rPr>
        <w:t>es de Servicios Públicos-RUPS.</w:t>
      </w:r>
    </w:p>
    <w:p w14:paraId="1483ED45" w14:textId="77777777" w:rsidR="004B40A4" w:rsidRPr="005C0CA0" w:rsidRDefault="004B40A4" w:rsidP="008E39FD">
      <w:pPr>
        <w:spacing w:after="0"/>
        <w:jc w:val="both"/>
        <w:rPr>
          <w:rFonts w:ascii="Arial" w:hAnsi="Arial" w:cs="Arial"/>
          <w:sz w:val="24"/>
          <w:szCs w:val="24"/>
        </w:rPr>
      </w:pPr>
    </w:p>
    <w:p w14:paraId="338A31A9" w14:textId="24A505A2"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E</w:t>
      </w:r>
      <w:r w:rsidR="000238AC">
        <w:rPr>
          <w:rFonts w:ascii="Arial" w:hAnsi="Arial" w:cs="Arial"/>
          <w:b/>
          <w:bCs/>
          <w:sz w:val="24"/>
          <w:szCs w:val="24"/>
        </w:rPr>
        <w:t>tapa</w:t>
      </w:r>
      <w:r w:rsidRPr="005C0CA0">
        <w:rPr>
          <w:rFonts w:ascii="Arial" w:hAnsi="Arial" w:cs="Arial"/>
          <w:b/>
          <w:bCs/>
          <w:sz w:val="24"/>
          <w:szCs w:val="24"/>
        </w:rPr>
        <w:t xml:space="preserve"> de preinversión:</w:t>
      </w:r>
      <w:r w:rsidRPr="005C0CA0">
        <w:rPr>
          <w:rFonts w:ascii="Arial" w:hAnsi="Arial" w:cs="Arial"/>
          <w:sz w:val="24"/>
          <w:szCs w:val="24"/>
        </w:rPr>
        <w:t xml:space="preserve"> </w:t>
      </w:r>
      <w:r w:rsidR="0098095E" w:rsidRPr="0098095E">
        <w:rPr>
          <w:rFonts w:ascii="Arial" w:hAnsi="Arial" w:cs="Arial"/>
          <w:sz w:val="24"/>
          <w:szCs w:val="24"/>
        </w:rPr>
        <w:t>Etapa en la cual se agotan los procesos de formulación, estructuración y evaluación de la factibilidad técnica, legal, ambiental, económica y social de las opciones analizadas para atender la necesidad identificada. Con base en lo anterior, en esta etapa se realizan todos los análisis y estudios requeridos para definir la problemática e identificar la mejor alternativa de solución posible. Dentro de esta etapa se distinguen tres fases denominadas: perfil, prefactibilidad y factibilidad.</w:t>
      </w:r>
    </w:p>
    <w:p w14:paraId="5717A418" w14:textId="77777777" w:rsidR="006C5F2F" w:rsidRDefault="006C5F2F" w:rsidP="008E39FD">
      <w:pPr>
        <w:spacing w:after="0"/>
        <w:jc w:val="both"/>
        <w:rPr>
          <w:rFonts w:ascii="Arial" w:hAnsi="Arial" w:cs="Arial"/>
          <w:b/>
          <w:bCs/>
          <w:sz w:val="24"/>
          <w:szCs w:val="24"/>
        </w:rPr>
      </w:pPr>
    </w:p>
    <w:p w14:paraId="579FE447" w14:textId="4C82F5AC" w:rsidR="004B40A4" w:rsidRPr="005C0CA0" w:rsidRDefault="004B40A4" w:rsidP="00B03685">
      <w:pPr>
        <w:spacing w:after="0"/>
        <w:jc w:val="both"/>
        <w:rPr>
          <w:rFonts w:ascii="Arial" w:hAnsi="Arial" w:cs="Arial"/>
          <w:sz w:val="24"/>
          <w:szCs w:val="24"/>
          <w:lang w:val="es-ES"/>
        </w:rPr>
      </w:pPr>
      <w:r w:rsidRPr="005C0CA0">
        <w:rPr>
          <w:rFonts w:ascii="Arial" w:hAnsi="Arial" w:cs="Arial"/>
          <w:b/>
          <w:bCs/>
          <w:sz w:val="24"/>
          <w:szCs w:val="24"/>
        </w:rPr>
        <w:t>Gas combustible:</w:t>
      </w:r>
      <w:r w:rsidRPr="005C0CA0">
        <w:rPr>
          <w:rFonts w:ascii="Arial" w:hAnsi="Arial" w:cs="Arial"/>
          <w:sz w:val="24"/>
          <w:szCs w:val="24"/>
        </w:rPr>
        <w:t xml:space="preserve"> Cualquier gas que pertenezca a una de las tres familias de gases combustibles (Gases Manufacturados, Gas Natural – GN y Gas Licuado de Petróleo – GLP), obtenido de la gasificación de combustibles fósiles o de la gasificación de biomasa y cuyas características permiten su empleo en artefactos a gas, según lo establecido en la Norma Técnica Colombiana NTC 6465:2020 </w:t>
      </w:r>
      <w:r w:rsidRPr="005C0CA0">
        <w:rPr>
          <w:rFonts w:ascii="Arial" w:hAnsi="Arial" w:cs="Arial"/>
          <w:i/>
          <w:iCs/>
          <w:sz w:val="24"/>
          <w:szCs w:val="24"/>
        </w:rPr>
        <w:t>“Gases de ensayo, presiones de ensayo y categorías de los artefactos”</w:t>
      </w:r>
      <w:r w:rsidRPr="005C0CA0">
        <w:rPr>
          <w:rFonts w:ascii="Arial" w:hAnsi="Arial" w:cs="Arial"/>
          <w:sz w:val="24"/>
          <w:szCs w:val="24"/>
        </w:rPr>
        <w:t>, o de la Norma Europea EN 437:2018, o aquellas que la aclaren, modifiquen o sustituyan. Incluye: hidrógeno, biogás, biometano, syngas y biosyngas. Esta definición aplica para los diferentes usos del gas combustible, independientemente de que sea finalmente utilizado o no para combustión.</w:t>
      </w:r>
    </w:p>
    <w:p w14:paraId="2C05675D" w14:textId="77777777" w:rsidR="004B40A4" w:rsidRPr="005C0CA0" w:rsidRDefault="004B40A4" w:rsidP="00B03685">
      <w:pPr>
        <w:spacing w:after="0"/>
        <w:jc w:val="both"/>
        <w:rPr>
          <w:rFonts w:ascii="Arial" w:hAnsi="Arial" w:cs="Arial"/>
          <w:sz w:val="24"/>
          <w:szCs w:val="24"/>
        </w:rPr>
      </w:pPr>
    </w:p>
    <w:p w14:paraId="665B2004"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Gas Licuado de Petróleo - GLP:</w:t>
      </w:r>
      <w:r w:rsidRPr="005C0CA0">
        <w:rPr>
          <w:rFonts w:ascii="Arial" w:hAnsi="Arial" w:cs="Arial"/>
          <w:sz w:val="24"/>
          <w:szCs w:val="24"/>
        </w:rPr>
        <w:t xml:space="preserve"> Mezcla de hidrocarburos livianos constituidos principalmente por propano y butano, extraídos del procesamiento del gas natural y refinamiento del petróleo, gaseosos en condiciones atmosféricas, que se licúan fácilmente por enfriamiento o compresión.</w:t>
      </w:r>
    </w:p>
    <w:p w14:paraId="50E8335C" w14:textId="77777777" w:rsidR="004B40A4" w:rsidRPr="005C0CA0" w:rsidRDefault="004B40A4" w:rsidP="00B03685">
      <w:pPr>
        <w:spacing w:after="0"/>
        <w:jc w:val="both"/>
        <w:rPr>
          <w:rFonts w:ascii="Arial" w:hAnsi="Arial" w:cs="Arial"/>
          <w:sz w:val="24"/>
          <w:szCs w:val="24"/>
        </w:rPr>
      </w:pPr>
    </w:p>
    <w:p w14:paraId="77073E90"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Gas Natural Comprimido – GNC:</w:t>
      </w:r>
      <w:r w:rsidRPr="005C0CA0">
        <w:rPr>
          <w:rFonts w:ascii="Arial" w:hAnsi="Arial" w:cs="Arial"/>
          <w:sz w:val="24"/>
          <w:szCs w:val="24"/>
        </w:rPr>
        <w:t xml:space="preserve"> Gas natural cuya presión se aumenta a través de un proceso de compresión y se almacena en recipientes de alta resistencia.</w:t>
      </w:r>
    </w:p>
    <w:p w14:paraId="6BF81AF6" w14:textId="77777777" w:rsidR="004B40A4" w:rsidRPr="005C0CA0" w:rsidRDefault="004B40A4" w:rsidP="00B03685">
      <w:pPr>
        <w:spacing w:after="0"/>
        <w:jc w:val="both"/>
        <w:rPr>
          <w:rFonts w:ascii="Arial" w:hAnsi="Arial" w:cs="Arial"/>
          <w:sz w:val="24"/>
          <w:szCs w:val="24"/>
        </w:rPr>
      </w:pPr>
    </w:p>
    <w:p w14:paraId="282F4AED"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Gas Natural Licuado – GNL:</w:t>
      </w:r>
      <w:r w:rsidRPr="005C0CA0">
        <w:rPr>
          <w:rFonts w:ascii="Arial" w:hAnsi="Arial" w:cs="Arial"/>
          <w:sz w:val="24"/>
          <w:szCs w:val="24"/>
        </w:rPr>
        <w:t xml:space="preserve"> Fluido en el estado líquido criogénico que está compuesto principalmente de metano y puede contener cantidades menores de etano, propano, nitrógeno y otros componentes que normalmente se encuentran en el gas natural.</w:t>
      </w:r>
    </w:p>
    <w:p w14:paraId="395A2DCE" w14:textId="77777777" w:rsidR="004B40A4" w:rsidRPr="005C0CA0" w:rsidRDefault="004B40A4" w:rsidP="00B03685">
      <w:pPr>
        <w:spacing w:after="0"/>
        <w:jc w:val="both"/>
        <w:rPr>
          <w:rFonts w:ascii="Arial" w:hAnsi="Arial" w:cs="Arial"/>
          <w:sz w:val="24"/>
          <w:szCs w:val="24"/>
        </w:rPr>
      </w:pPr>
    </w:p>
    <w:p w14:paraId="539C0B28"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Gasoducto virtual de distribución de GNC:</w:t>
      </w:r>
      <w:r w:rsidRPr="005C0CA0">
        <w:rPr>
          <w:rFonts w:ascii="Arial" w:hAnsi="Arial" w:cs="Arial"/>
          <w:sz w:val="24"/>
          <w:szCs w:val="24"/>
        </w:rPr>
        <w:t xml:space="preserve"> Sistema de compresión, transporte y descompresión de GNC, para abastecer Gas Natural, por un medio diferente a gasoducto físico, a mercados relevantes, municipios, usuarios finales, estaciones de GNCV u otros, cuando el gasoducto físico no es posible técnicamente o no es viable financieramente. El gas objeto de la distribución mediante esta tecnología podrá ser adquirido por el prestador directamente al Productor Comercializador o a otro Comercializador, desde el punto de </w:t>
      </w:r>
      <w:r w:rsidRPr="005C0CA0">
        <w:rPr>
          <w:rFonts w:ascii="Arial" w:hAnsi="Arial" w:cs="Arial"/>
          <w:sz w:val="24"/>
          <w:szCs w:val="24"/>
        </w:rPr>
        <w:lastRenderedPageBreak/>
        <w:t>salida de un campo de producción o desde el punto de salida del Sistema Nacional de Transporte SNT.</w:t>
      </w:r>
    </w:p>
    <w:p w14:paraId="2464D6C6" w14:textId="77777777" w:rsidR="004B40A4" w:rsidRPr="005C0CA0" w:rsidRDefault="004B40A4" w:rsidP="008E39FD">
      <w:pPr>
        <w:tabs>
          <w:tab w:val="left" w:pos="4474"/>
        </w:tabs>
        <w:spacing w:after="0"/>
        <w:jc w:val="both"/>
        <w:rPr>
          <w:rFonts w:ascii="Arial" w:hAnsi="Arial" w:cs="Arial"/>
          <w:sz w:val="24"/>
          <w:szCs w:val="24"/>
        </w:rPr>
      </w:pPr>
    </w:p>
    <w:p w14:paraId="4B902A38"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Indicador de liquidez:</w:t>
      </w:r>
      <w:r w:rsidRPr="005C0CA0">
        <w:rPr>
          <w:rFonts w:ascii="Arial" w:hAnsi="Arial" w:cs="Arial"/>
          <w:sz w:val="24"/>
          <w:szCs w:val="24"/>
        </w:rPr>
        <w:t xml:space="preserve"> Parámetro que permite medir la solidez financiera de una empresa, es decir, determina si una empresa cuenta con capacidad financiera para asumir oportunamente el pago de sus deudas u obligaciones.</w:t>
      </w:r>
    </w:p>
    <w:p w14:paraId="74B07A56" w14:textId="77777777" w:rsidR="004B40A4" w:rsidRPr="005C0CA0" w:rsidRDefault="004B40A4" w:rsidP="00B03685">
      <w:pPr>
        <w:spacing w:after="0"/>
        <w:jc w:val="both"/>
        <w:rPr>
          <w:rFonts w:ascii="Arial" w:hAnsi="Arial" w:cs="Arial"/>
          <w:sz w:val="24"/>
          <w:szCs w:val="24"/>
        </w:rPr>
      </w:pPr>
    </w:p>
    <w:p w14:paraId="315226D6"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Indicador de endeudamiento:</w:t>
      </w:r>
      <w:r w:rsidRPr="005C0CA0">
        <w:rPr>
          <w:rFonts w:ascii="Arial" w:hAnsi="Arial" w:cs="Arial"/>
          <w:sz w:val="24"/>
          <w:szCs w:val="24"/>
        </w:rPr>
        <w:t xml:space="preserve"> Valor de referencia financiero cuyo objetivo es señalar el grado y la modalidad de participación de los acreedores dentro del financiamiento de la empresa.</w:t>
      </w:r>
    </w:p>
    <w:p w14:paraId="37A8A14E" w14:textId="77777777" w:rsidR="004B40A4" w:rsidRPr="005C0CA0" w:rsidRDefault="004B40A4" w:rsidP="00B03685">
      <w:pPr>
        <w:spacing w:after="0"/>
        <w:jc w:val="both"/>
        <w:rPr>
          <w:rFonts w:ascii="Arial" w:hAnsi="Arial" w:cs="Arial"/>
          <w:b/>
          <w:bCs/>
          <w:sz w:val="24"/>
          <w:szCs w:val="24"/>
        </w:rPr>
      </w:pPr>
    </w:p>
    <w:p w14:paraId="5B4104B3"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Indicador razón de cobertura intereses:</w:t>
      </w:r>
      <w:r w:rsidRPr="005C0CA0">
        <w:rPr>
          <w:rFonts w:ascii="Arial" w:hAnsi="Arial" w:cs="Arial"/>
          <w:sz w:val="24"/>
          <w:szCs w:val="24"/>
        </w:rPr>
        <w:t xml:space="preserve"> Refleja la capacidad de la empresa para cumplir con sus obligaciones financieras. A mayor cobertura de intereses, menor es la probabilidad de que la empresa incumpla sus obligaciones financieras.</w:t>
      </w:r>
    </w:p>
    <w:p w14:paraId="685E3F49" w14:textId="77777777" w:rsidR="004B40A4" w:rsidRPr="005C0CA0" w:rsidRDefault="004B40A4" w:rsidP="00B03685">
      <w:pPr>
        <w:spacing w:after="0"/>
        <w:jc w:val="both"/>
        <w:rPr>
          <w:rFonts w:ascii="Arial" w:hAnsi="Arial" w:cs="Arial"/>
          <w:sz w:val="24"/>
          <w:szCs w:val="24"/>
        </w:rPr>
      </w:pPr>
    </w:p>
    <w:p w14:paraId="02AEC1D1"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Indicador de Capital de Trabajo:</w:t>
      </w:r>
      <w:r w:rsidRPr="005C0CA0">
        <w:rPr>
          <w:rFonts w:ascii="Arial" w:hAnsi="Arial" w:cs="Arial"/>
          <w:sz w:val="24"/>
          <w:szCs w:val="24"/>
        </w:rPr>
        <w:t xml:space="preserve"> Cantidad necesaria de recursos para que una empresa realice sus operaciones con normalidad. Es decir; los activos para que una compañía, sea capaz de hacer sus funciones y actividades a corto plazo.</w:t>
      </w:r>
    </w:p>
    <w:p w14:paraId="054E30CB" w14:textId="77777777" w:rsidR="004B40A4" w:rsidRPr="005C0CA0" w:rsidRDefault="004B40A4" w:rsidP="00B03685">
      <w:pPr>
        <w:spacing w:after="0"/>
        <w:jc w:val="both"/>
        <w:rPr>
          <w:rFonts w:ascii="Arial" w:hAnsi="Arial" w:cs="Arial"/>
          <w:sz w:val="24"/>
          <w:szCs w:val="24"/>
        </w:rPr>
      </w:pPr>
    </w:p>
    <w:p w14:paraId="23B28243"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Indicador de Rentabilidad del Patrimonio:</w:t>
      </w:r>
      <w:r w:rsidRPr="005C0CA0">
        <w:rPr>
          <w:rFonts w:ascii="Arial" w:hAnsi="Arial" w:cs="Arial"/>
          <w:sz w:val="24"/>
          <w:szCs w:val="24"/>
        </w:rPr>
        <w:t xml:space="preserve"> Determina la tasa de crecimiento de las ganancias de una compañía, específicamente la realizada por la inversión de los accionistas.</w:t>
      </w:r>
    </w:p>
    <w:p w14:paraId="123C1CC0" w14:textId="77777777" w:rsidR="004B40A4" w:rsidRPr="005C0CA0" w:rsidRDefault="004B40A4" w:rsidP="00B03685">
      <w:pPr>
        <w:spacing w:after="0"/>
        <w:jc w:val="both"/>
        <w:rPr>
          <w:rFonts w:ascii="Arial" w:hAnsi="Arial" w:cs="Arial"/>
          <w:sz w:val="24"/>
          <w:szCs w:val="24"/>
        </w:rPr>
      </w:pPr>
    </w:p>
    <w:p w14:paraId="2727A2DE" w14:textId="77777777" w:rsidR="004B40A4" w:rsidRPr="005C0CA0" w:rsidRDefault="004B40A4" w:rsidP="00B03685">
      <w:pPr>
        <w:spacing w:after="0"/>
        <w:jc w:val="both"/>
        <w:rPr>
          <w:rFonts w:ascii="Arial" w:hAnsi="Arial" w:cs="Arial"/>
          <w:bCs/>
          <w:iCs/>
          <w:sz w:val="24"/>
          <w:szCs w:val="24"/>
        </w:rPr>
      </w:pPr>
      <w:r w:rsidRPr="005C0CA0">
        <w:rPr>
          <w:rFonts w:ascii="Arial" w:hAnsi="Arial" w:cs="Arial"/>
          <w:b/>
          <w:bCs/>
          <w:sz w:val="24"/>
          <w:szCs w:val="24"/>
        </w:rPr>
        <w:t>Indicador de Rentabilidad del Activo:</w:t>
      </w:r>
      <w:r w:rsidRPr="005C0CA0">
        <w:rPr>
          <w:rFonts w:ascii="Arial" w:hAnsi="Arial" w:cs="Arial"/>
          <w:sz w:val="24"/>
          <w:szCs w:val="24"/>
        </w:rPr>
        <w:t xml:space="preserve"> Establece cómo las empresas manejan los activos existentes mientras generan ganancias.</w:t>
      </w:r>
    </w:p>
    <w:p w14:paraId="369FE7D1" w14:textId="77777777" w:rsidR="004B40A4" w:rsidRPr="005C0CA0" w:rsidRDefault="004B40A4" w:rsidP="00B03685">
      <w:pPr>
        <w:spacing w:after="0"/>
        <w:jc w:val="both"/>
        <w:rPr>
          <w:rFonts w:ascii="Arial" w:hAnsi="Arial" w:cs="Arial"/>
          <w:bCs/>
          <w:iCs/>
          <w:sz w:val="24"/>
          <w:szCs w:val="24"/>
        </w:rPr>
      </w:pPr>
    </w:p>
    <w:p w14:paraId="2F8D11DC" w14:textId="08E578CB"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 xml:space="preserve">Infraestructuras cofinanciables: </w:t>
      </w:r>
      <w:r w:rsidRPr="005C0CA0">
        <w:rPr>
          <w:rFonts w:ascii="Arial" w:hAnsi="Arial" w:cs="Arial"/>
          <w:sz w:val="24"/>
          <w:szCs w:val="24"/>
        </w:rPr>
        <w:t>Se refiere</w:t>
      </w:r>
      <w:r w:rsidRPr="005C0CA0">
        <w:rPr>
          <w:rFonts w:ascii="Arial" w:hAnsi="Arial" w:cs="Arial"/>
          <w:b/>
          <w:bCs/>
          <w:sz w:val="24"/>
          <w:szCs w:val="24"/>
        </w:rPr>
        <w:t xml:space="preserve"> </w:t>
      </w:r>
      <w:r w:rsidRPr="005C0CA0">
        <w:rPr>
          <w:rFonts w:ascii="Arial" w:hAnsi="Arial" w:cs="Arial"/>
          <w:sz w:val="24"/>
          <w:szCs w:val="24"/>
        </w:rPr>
        <w:t>a la infraestructura de gas combustible</w:t>
      </w:r>
      <w:r w:rsidR="009D61F8">
        <w:rPr>
          <w:rFonts w:ascii="Arial" w:hAnsi="Arial" w:cs="Arial"/>
          <w:sz w:val="24"/>
          <w:szCs w:val="24"/>
        </w:rPr>
        <w:t xml:space="preserve"> por redes</w:t>
      </w:r>
      <w:r w:rsidRPr="005C0CA0">
        <w:rPr>
          <w:rFonts w:ascii="Arial" w:hAnsi="Arial" w:cs="Arial"/>
          <w:sz w:val="24"/>
          <w:szCs w:val="24"/>
        </w:rPr>
        <w:t xml:space="preserve"> a nivel nacional que se </w:t>
      </w:r>
      <w:r w:rsidR="00F2091C">
        <w:rPr>
          <w:rFonts w:ascii="Arial" w:hAnsi="Arial" w:cs="Arial"/>
          <w:sz w:val="24"/>
          <w:szCs w:val="24"/>
        </w:rPr>
        <w:t xml:space="preserve">podrá </w:t>
      </w:r>
      <w:r w:rsidRPr="005C0CA0">
        <w:rPr>
          <w:rFonts w:ascii="Arial" w:hAnsi="Arial" w:cs="Arial"/>
          <w:sz w:val="24"/>
          <w:szCs w:val="24"/>
        </w:rPr>
        <w:t xml:space="preserve">cofinanciará con recursos de FONENERGÍA y que corresponde a la mencionada en el numeral </w:t>
      </w:r>
      <w:r w:rsidRPr="00B03685">
        <w:rPr>
          <w:rFonts w:ascii="Arial" w:hAnsi="Arial" w:cs="Arial"/>
          <w:sz w:val="24"/>
          <w:szCs w:val="24"/>
          <w:highlight w:val="yellow"/>
        </w:rPr>
        <w:t>5.2 de este Manual:</w:t>
      </w:r>
    </w:p>
    <w:p w14:paraId="51F2E74F" w14:textId="77777777" w:rsidR="004B40A4" w:rsidRPr="005C0CA0" w:rsidRDefault="004B40A4" w:rsidP="008E39FD">
      <w:pPr>
        <w:spacing w:after="0"/>
        <w:jc w:val="both"/>
        <w:rPr>
          <w:rFonts w:ascii="Arial" w:hAnsi="Arial" w:cs="Arial"/>
          <w:sz w:val="24"/>
          <w:szCs w:val="24"/>
        </w:rPr>
      </w:pPr>
    </w:p>
    <w:p w14:paraId="6EA098FD"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Instalación interna de gas:</w:t>
      </w:r>
      <w:r w:rsidRPr="005C0CA0">
        <w:rPr>
          <w:rFonts w:ascii="Arial" w:hAnsi="Arial" w:cs="Arial"/>
          <w:sz w:val="24"/>
          <w:szCs w:val="24"/>
        </w:rPr>
        <w:t xml:space="preserve"> Conjunto de redes, tuberías, accesorios y equipos que integran el sistema de suministro del servicio público al inmueble a partir del medidor.</w:t>
      </w:r>
      <w:r w:rsidRPr="005C0CA0">
        <w:rPr>
          <w:rStyle w:val="Refdenotaalpie"/>
          <w:rFonts w:ascii="Arial" w:hAnsi="Arial" w:cs="Arial"/>
          <w:sz w:val="24"/>
          <w:szCs w:val="24"/>
        </w:rPr>
        <w:footnoteReference w:id="2"/>
      </w:r>
      <w:r w:rsidRPr="005C0CA0">
        <w:rPr>
          <w:rFonts w:ascii="Arial" w:hAnsi="Arial" w:cs="Arial"/>
          <w:sz w:val="24"/>
          <w:szCs w:val="24"/>
        </w:rPr>
        <w:t xml:space="preserve"> Incluye la revisión previa de la instalación interna de gas (inspección obligatoria de la instalación interna de gas antes de ser puesta en servicio o actividad de inspección de las instalaciones para suministro de Gas Combustible correspondiente a las etapas de diseño y construcción de instalaciones nuevas antes de su puesta en servicio). No incluye artefactos a gas.</w:t>
      </w:r>
    </w:p>
    <w:p w14:paraId="221A1334" w14:textId="77777777" w:rsidR="004B40A4" w:rsidRPr="005C0CA0" w:rsidRDefault="004B40A4" w:rsidP="00B03685">
      <w:pPr>
        <w:spacing w:after="0"/>
        <w:jc w:val="both"/>
        <w:rPr>
          <w:rFonts w:ascii="Arial" w:hAnsi="Arial" w:cs="Arial"/>
          <w:sz w:val="24"/>
          <w:szCs w:val="24"/>
        </w:rPr>
      </w:pPr>
    </w:p>
    <w:p w14:paraId="5D5F7DF1"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Medidor:</w:t>
      </w:r>
      <w:r w:rsidRPr="005C0CA0">
        <w:rPr>
          <w:rFonts w:ascii="Arial" w:hAnsi="Arial" w:cs="Arial"/>
          <w:sz w:val="24"/>
          <w:szCs w:val="24"/>
        </w:rPr>
        <w:t xml:space="preserve"> Dispositivo que registra el volumen de gas que ha pasado a través de él.</w:t>
      </w:r>
    </w:p>
    <w:p w14:paraId="336F6E67" w14:textId="77777777" w:rsidR="004B40A4" w:rsidRPr="005C0CA0" w:rsidRDefault="004B40A4" w:rsidP="00B03685">
      <w:pPr>
        <w:spacing w:after="0"/>
        <w:jc w:val="both"/>
        <w:rPr>
          <w:rFonts w:ascii="Arial" w:hAnsi="Arial" w:cs="Arial"/>
          <w:sz w:val="24"/>
          <w:szCs w:val="24"/>
        </w:rPr>
      </w:pPr>
    </w:p>
    <w:p w14:paraId="54EB35D1" w14:textId="50433CEF" w:rsidR="004B40A4" w:rsidRDefault="004B40A4" w:rsidP="00B03685">
      <w:pPr>
        <w:spacing w:after="0"/>
        <w:jc w:val="both"/>
        <w:rPr>
          <w:rFonts w:ascii="Arial" w:hAnsi="Arial" w:cs="Arial"/>
          <w:sz w:val="24"/>
          <w:szCs w:val="24"/>
        </w:rPr>
      </w:pPr>
      <w:r w:rsidRPr="005C0CA0">
        <w:rPr>
          <w:rFonts w:ascii="Arial" w:hAnsi="Arial" w:cs="Arial"/>
          <w:b/>
          <w:bCs/>
          <w:sz w:val="24"/>
          <w:szCs w:val="24"/>
        </w:rPr>
        <w:t>Plan de Expansión:</w:t>
      </w:r>
      <w:r w:rsidRPr="005C0CA0">
        <w:rPr>
          <w:rFonts w:ascii="Arial" w:hAnsi="Arial" w:cs="Arial"/>
          <w:sz w:val="24"/>
          <w:szCs w:val="24"/>
        </w:rPr>
        <w:t xml:space="preserve"> Plan de inversión a mediano y largo plazo, cuya factibilidad técnica, económica, financiera y ambiental garantiza minimizar los costos de </w:t>
      </w:r>
      <w:r w:rsidR="00C5526C">
        <w:rPr>
          <w:rFonts w:ascii="Arial" w:hAnsi="Arial" w:cs="Arial"/>
          <w:sz w:val="24"/>
          <w:szCs w:val="24"/>
        </w:rPr>
        <w:t>prestación</w:t>
      </w:r>
      <w:r w:rsidR="00C5526C" w:rsidRPr="005C0CA0">
        <w:rPr>
          <w:rFonts w:ascii="Arial" w:hAnsi="Arial" w:cs="Arial"/>
          <w:sz w:val="24"/>
          <w:szCs w:val="24"/>
        </w:rPr>
        <w:t xml:space="preserve"> </w:t>
      </w:r>
      <w:r w:rsidRPr="005C0CA0">
        <w:rPr>
          <w:rFonts w:ascii="Arial" w:hAnsi="Arial" w:cs="Arial"/>
          <w:sz w:val="24"/>
          <w:szCs w:val="24"/>
        </w:rPr>
        <w:t xml:space="preserve">del servicio. Los planes oficiales de inversión serán indicativos y se harán con el propósito de garantizar </w:t>
      </w:r>
      <w:r w:rsidR="00BE2928">
        <w:rPr>
          <w:rFonts w:ascii="Arial" w:hAnsi="Arial" w:cs="Arial"/>
          <w:sz w:val="24"/>
          <w:szCs w:val="24"/>
        </w:rPr>
        <w:t xml:space="preserve">la </w:t>
      </w:r>
      <w:r w:rsidRPr="005C0CA0">
        <w:rPr>
          <w:rFonts w:ascii="Arial" w:hAnsi="Arial" w:cs="Arial"/>
          <w:sz w:val="24"/>
          <w:szCs w:val="24"/>
        </w:rPr>
        <w:t>continuidad, calidad y confiabilidad en el suministro del servicio.</w:t>
      </w:r>
    </w:p>
    <w:p w14:paraId="6D4A5F3C" w14:textId="77777777" w:rsidR="000A2A2F" w:rsidRPr="005C0CA0" w:rsidRDefault="000A2A2F" w:rsidP="00B03685">
      <w:pPr>
        <w:spacing w:after="0"/>
        <w:jc w:val="both"/>
        <w:rPr>
          <w:rFonts w:ascii="Arial" w:hAnsi="Arial" w:cs="Arial"/>
          <w:sz w:val="24"/>
          <w:szCs w:val="24"/>
        </w:rPr>
      </w:pPr>
    </w:p>
    <w:p w14:paraId="65D2D378" w14:textId="3E85842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Proyecto de infraestructura de gas combustible:</w:t>
      </w:r>
      <w:r w:rsidRPr="005C0CA0">
        <w:rPr>
          <w:rFonts w:ascii="Arial" w:hAnsi="Arial" w:cs="Arial"/>
          <w:sz w:val="24"/>
          <w:szCs w:val="24"/>
        </w:rPr>
        <w:t xml:space="preserve"> Conjunto de actividades que se desarrollan en un periodo determinado, en el cual se involucran recursos, con el propósito </w:t>
      </w:r>
      <w:r w:rsidRPr="005C0CA0">
        <w:rPr>
          <w:rFonts w:ascii="Arial" w:hAnsi="Arial" w:cs="Arial"/>
          <w:sz w:val="24"/>
          <w:szCs w:val="24"/>
        </w:rPr>
        <w:lastRenderedPageBreak/>
        <w:t>de garantizar la prestación del servicio público de distribución de gas combustible por red de tubería en un área geográfica correspondiente a una división político-administrativa del país.</w:t>
      </w:r>
    </w:p>
    <w:p w14:paraId="64078E57" w14:textId="77777777" w:rsidR="004B40A4" w:rsidRPr="005C0CA0" w:rsidRDefault="004B40A4" w:rsidP="00B03685">
      <w:pPr>
        <w:spacing w:after="0"/>
        <w:jc w:val="both"/>
        <w:rPr>
          <w:rFonts w:ascii="Arial" w:hAnsi="Arial" w:cs="Arial"/>
          <w:sz w:val="24"/>
          <w:szCs w:val="24"/>
        </w:rPr>
      </w:pPr>
    </w:p>
    <w:p w14:paraId="2B0A9F83" w14:textId="1FD6B0BF"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 xml:space="preserve">Proyecto </w:t>
      </w:r>
      <w:r w:rsidR="00A94FF4">
        <w:rPr>
          <w:rFonts w:ascii="Arial" w:hAnsi="Arial" w:cs="Arial"/>
          <w:b/>
          <w:bCs/>
          <w:sz w:val="24"/>
          <w:szCs w:val="24"/>
        </w:rPr>
        <w:t xml:space="preserve">de infraestructura </w:t>
      </w:r>
      <w:r w:rsidRPr="005C0CA0">
        <w:rPr>
          <w:rFonts w:ascii="Arial" w:hAnsi="Arial" w:cs="Arial"/>
          <w:b/>
          <w:bCs/>
          <w:sz w:val="24"/>
          <w:szCs w:val="24"/>
        </w:rPr>
        <w:t>cofinancia</w:t>
      </w:r>
      <w:r w:rsidR="00FE0D03">
        <w:rPr>
          <w:rFonts w:ascii="Arial" w:hAnsi="Arial" w:cs="Arial"/>
          <w:b/>
          <w:bCs/>
          <w:sz w:val="24"/>
          <w:szCs w:val="24"/>
        </w:rPr>
        <w:t>ble</w:t>
      </w:r>
      <w:r w:rsidRPr="005C0CA0">
        <w:rPr>
          <w:rFonts w:ascii="Arial" w:hAnsi="Arial" w:cs="Arial"/>
          <w:b/>
          <w:bCs/>
          <w:sz w:val="24"/>
          <w:szCs w:val="24"/>
        </w:rPr>
        <w:t xml:space="preserve">: </w:t>
      </w:r>
      <w:r w:rsidR="00665946" w:rsidRPr="00665946">
        <w:rPr>
          <w:rFonts w:ascii="Arial" w:hAnsi="Arial" w:cs="Arial"/>
          <w:sz w:val="24"/>
          <w:szCs w:val="24"/>
        </w:rPr>
        <w:t>Proyectos para la construcción, incluido el suministro de materiales y equipos, así como la puesta</w:t>
      </w:r>
      <w:r w:rsidR="00665946">
        <w:rPr>
          <w:rFonts w:ascii="Arial" w:hAnsi="Arial" w:cs="Arial"/>
          <w:sz w:val="24"/>
          <w:szCs w:val="24"/>
        </w:rPr>
        <w:t xml:space="preserve"> </w:t>
      </w:r>
      <w:r w:rsidR="00665946" w:rsidRPr="00665946">
        <w:rPr>
          <w:rFonts w:ascii="Arial" w:hAnsi="Arial" w:cs="Arial"/>
          <w:sz w:val="24"/>
          <w:szCs w:val="24"/>
        </w:rPr>
        <w:t>en operación de:</w:t>
      </w:r>
      <w:r w:rsidR="00665946">
        <w:rPr>
          <w:rFonts w:ascii="Arial" w:hAnsi="Arial" w:cs="Arial"/>
          <w:sz w:val="24"/>
          <w:szCs w:val="24"/>
        </w:rPr>
        <w:t xml:space="preserve"> </w:t>
      </w:r>
      <w:r w:rsidR="00665946" w:rsidRPr="00665946">
        <w:rPr>
          <w:rFonts w:ascii="Arial" w:hAnsi="Arial" w:cs="Arial"/>
          <w:sz w:val="24"/>
          <w:szCs w:val="24"/>
        </w:rPr>
        <w:t>a) Gasoductos ramales y/o Sistemas Regionales de Transporte de gas natural;</w:t>
      </w:r>
      <w:r w:rsidR="00665946">
        <w:rPr>
          <w:rFonts w:ascii="Arial" w:hAnsi="Arial" w:cs="Arial"/>
          <w:sz w:val="24"/>
          <w:szCs w:val="24"/>
        </w:rPr>
        <w:t xml:space="preserve"> </w:t>
      </w:r>
      <w:r w:rsidR="00665946" w:rsidRPr="00665946">
        <w:rPr>
          <w:rFonts w:ascii="Arial" w:hAnsi="Arial" w:cs="Arial"/>
          <w:sz w:val="24"/>
          <w:szCs w:val="24"/>
        </w:rPr>
        <w:t>b) Sistemas de Distribución de gas combustible por redes;</w:t>
      </w:r>
      <w:r w:rsidR="00665946">
        <w:rPr>
          <w:rFonts w:ascii="Arial" w:hAnsi="Arial" w:cs="Arial"/>
          <w:sz w:val="24"/>
          <w:szCs w:val="24"/>
        </w:rPr>
        <w:t xml:space="preserve"> </w:t>
      </w:r>
      <w:r w:rsidR="00665946" w:rsidRPr="00665946">
        <w:rPr>
          <w:rFonts w:ascii="Arial" w:hAnsi="Arial" w:cs="Arial"/>
          <w:sz w:val="24"/>
          <w:szCs w:val="24"/>
        </w:rPr>
        <w:t>c) Conexión de Usuarios de Menores Ingresos,</w:t>
      </w:r>
      <w:r w:rsidR="00665946">
        <w:rPr>
          <w:rFonts w:ascii="Arial" w:hAnsi="Arial" w:cs="Arial"/>
          <w:sz w:val="24"/>
          <w:szCs w:val="24"/>
        </w:rPr>
        <w:t xml:space="preserve"> </w:t>
      </w:r>
      <w:r w:rsidR="00665946" w:rsidRPr="00665946">
        <w:rPr>
          <w:rFonts w:ascii="Arial" w:hAnsi="Arial" w:cs="Arial"/>
          <w:sz w:val="24"/>
          <w:szCs w:val="24"/>
        </w:rPr>
        <w:t>d) Red Interna de Usuarios de Menores Ingresos;</w:t>
      </w:r>
      <w:r w:rsidR="00665946">
        <w:rPr>
          <w:rFonts w:ascii="Arial" w:hAnsi="Arial" w:cs="Arial"/>
          <w:sz w:val="24"/>
          <w:szCs w:val="24"/>
        </w:rPr>
        <w:t xml:space="preserve"> </w:t>
      </w:r>
      <w:r w:rsidR="00665946" w:rsidRPr="00665946">
        <w:rPr>
          <w:rFonts w:ascii="Arial" w:hAnsi="Arial" w:cs="Arial"/>
          <w:sz w:val="24"/>
          <w:szCs w:val="24"/>
        </w:rPr>
        <w:t>e) Almacenamiento estratégico;</w:t>
      </w:r>
      <w:r w:rsidR="00665946">
        <w:rPr>
          <w:rFonts w:ascii="Arial" w:hAnsi="Arial" w:cs="Arial"/>
          <w:sz w:val="24"/>
          <w:szCs w:val="24"/>
        </w:rPr>
        <w:t xml:space="preserve"> </w:t>
      </w:r>
      <w:r w:rsidR="00665946" w:rsidRPr="00665946">
        <w:rPr>
          <w:rFonts w:ascii="Arial" w:hAnsi="Arial" w:cs="Arial"/>
          <w:sz w:val="24"/>
          <w:szCs w:val="24"/>
        </w:rPr>
        <w:t>f) Sistemas de distribución de Gas Natural Licuado - GNL a pequeña escala.</w:t>
      </w:r>
    </w:p>
    <w:p w14:paraId="3917DA6A" w14:textId="77777777" w:rsidR="007405EA" w:rsidRDefault="007405EA" w:rsidP="008E39FD">
      <w:pPr>
        <w:spacing w:after="0"/>
        <w:jc w:val="both"/>
        <w:rPr>
          <w:rFonts w:ascii="Arial" w:hAnsi="Arial" w:cs="Arial"/>
          <w:b/>
          <w:bCs/>
          <w:sz w:val="24"/>
          <w:szCs w:val="24"/>
        </w:rPr>
      </w:pPr>
    </w:p>
    <w:p w14:paraId="5196228E" w14:textId="12CF630E"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Proyecto elegible:</w:t>
      </w:r>
      <w:r w:rsidRPr="005C0CA0">
        <w:rPr>
          <w:rFonts w:ascii="Arial" w:hAnsi="Arial" w:cs="Arial"/>
          <w:sz w:val="24"/>
          <w:szCs w:val="24"/>
        </w:rPr>
        <w:t xml:space="preserve"> Proyecto presentado al FONENERGÍA que como resultado de su evaluación técnica y financiera recibe concepto de viabilidad para acceder a recursos</w:t>
      </w:r>
      <w:r w:rsidR="00665946">
        <w:rPr>
          <w:rFonts w:ascii="Arial" w:hAnsi="Arial" w:cs="Arial"/>
          <w:sz w:val="24"/>
          <w:szCs w:val="24"/>
        </w:rPr>
        <w:t>.</w:t>
      </w:r>
      <w:r w:rsidRPr="005C0CA0">
        <w:rPr>
          <w:rFonts w:ascii="Arial" w:hAnsi="Arial" w:cs="Arial"/>
          <w:sz w:val="24"/>
          <w:szCs w:val="24"/>
        </w:rPr>
        <w:t xml:space="preserve">  </w:t>
      </w:r>
    </w:p>
    <w:p w14:paraId="07B883BF" w14:textId="77777777" w:rsidR="004B40A4" w:rsidRPr="005C0CA0" w:rsidRDefault="004B40A4" w:rsidP="00B03685">
      <w:pPr>
        <w:spacing w:after="0"/>
        <w:jc w:val="both"/>
        <w:rPr>
          <w:rFonts w:ascii="Arial" w:hAnsi="Arial" w:cs="Arial"/>
          <w:sz w:val="24"/>
          <w:szCs w:val="24"/>
        </w:rPr>
      </w:pPr>
    </w:p>
    <w:p w14:paraId="4CA2E7EA" w14:textId="53EDDE32"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Proyecto priorizado:</w:t>
      </w:r>
      <w:r w:rsidRPr="005C0CA0">
        <w:rPr>
          <w:rFonts w:ascii="Arial" w:hAnsi="Arial" w:cs="Arial"/>
          <w:sz w:val="24"/>
          <w:szCs w:val="24"/>
        </w:rPr>
        <w:t xml:space="preserve"> Proyecto presentado al FONENERGÍA y que habiendo recibido concepto de viabilidad es sometido a los parámetros de priorización establecidos en este Manual</w:t>
      </w:r>
      <w:r w:rsidR="00970EAA">
        <w:rPr>
          <w:rFonts w:ascii="Arial" w:hAnsi="Arial" w:cs="Arial"/>
          <w:sz w:val="24"/>
          <w:szCs w:val="24"/>
        </w:rPr>
        <w:t>.</w:t>
      </w:r>
    </w:p>
    <w:p w14:paraId="20A7D852" w14:textId="77777777" w:rsidR="004B40A4" w:rsidRPr="005C0CA0" w:rsidRDefault="004B40A4" w:rsidP="008E39FD">
      <w:pPr>
        <w:spacing w:after="0"/>
        <w:jc w:val="both"/>
        <w:rPr>
          <w:rFonts w:ascii="Arial" w:hAnsi="Arial" w:cs="Arial"/>
          <w:sz w:val="24"/>
          <w:szCs w:val="24"/>
        </w:rPr>
      </w:pPr>
    </w:p>
    <w:p w14:paraId="6222933C" w14:textId="4A61BF05"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 xml:space="preserve">Periodo tarifario: </w:t>
      </w:r>
      <w:r w:rsidRPr="005C0CA0">
        <w:rPr>
          <w:rFonts w:ascii="Arial" w:hAnsi="Arial" w:cs="Arial"/>
          <w:sz w:val="24"/>
          <w:szCs w:val="24"/>
        </w:rPr>
        <w:t>Lapso</w:t>
      </w:r>
      <w:r w:rsidRPr="005C0CA0">
        <w:rPr>
          <w:rFonts w:ascii="Arial" w:hAnsi="Arial" w:cs="Arial"/>
          <w:b/>
          <w:bCs/>
          <w:sz w:val="24"/>
          <w:szCs w:val="24"/>
        </w:rPr>
        <w:t xml:space="preserve"> </w:t>
      </w:r>
      <w:r w:rsidRPr="005C0CA0">
        <w:rPr>
          <w:rFonts w:ascii="Arial" w:hAnsi="Arial" w:cs="Arial"/>
          <w:sz w:val="24"/>
          <w:szCs w:val="24"/>
        </w:rPr>
        <w:t>en el cual las fórmulas tarifarias generales con sus respectivos componentes tienen vigencia de acuerdo con lo establecido en el artículo 126 de la Ley 142 de 1994</w:t>
      </w:r>
      <w:r w:rsidR="00070750">
        <w:rPr>
          <w:rFonts w:ascii="Arial" w:hAnsi="Arial" w:cs="Arial"/>
          <w:sz w:val="24"/>
          <w:szCs w:val="24"/>
        </w:rPr>
        <w:t>, modificado por el Artículo 52 de la Ley 2099 de 2021</w:t>
      </w:r>
      <w:r w:rsidRPr="005C0CA0">
        <w:rPr>
          <w:rFonts w:ascii="Arial" w:hAnsi="Arial" w:cs="Arial"/>
          <w:sz w:val="24"/>
          <w:szCs w:val="24"/>
        </w:rPr>
        <w:t>.</w:t>
      </w:r>
    </w:p>
    <w:p w14:paraId="63774FA5" w14:textId="77777777" w:rsidR="004B40A4" w:rsidRPr="005C0CA0" w:rsidRDefault="004B40A4" w:rsidP="008E39FD">
      <w:pPr>
        <w:spacing w:after="0"/>
        <w:jc w:val="both"/>
        <w:rPr>
          <w:rFonts w:ascii="Arial" w:hAnsi="Arial" w:cs="Arial"/>
          <w:sz w:val="24"/>
          <w:szCs w:val="24"/>
        </w:rPr>
      </w:pPr>
    </w:p>
    <w:p w14:paraId="73374787" w14:textId="77777777" w:rsidR="004B40A4" w:rsidRPr="005C0CA0" w:rsidRDefault="004B40A4" w:rsidP="008E39FD">
      <w:pPr>
        <w:spacing w:after="0"/>
        <w:jc w:val="both"/>
        <w:rPr>
          <w:rFonts w:ascii="Arial" w:hAnsi="Arial" w:cs="Arial"/>
          <w:sz w:val="24"/>
          <w:szCs w:val="24"/>
        </w:rPr>
      </w:pPr>
      <w:r w:rsidRPr="005C0CA0">
        <w:rPr>
          <w:rFonts w:ascii="Arial" w:hAnsi="Arial" w:cs="Arial"/>
          <w:b/>
          <w:bCs/>
          <w:sz w:val="24"/>
          <w:szCs w:val="24"/>
        </w:rPr>
        <w:t>Sistema de distribución:</w:t>
      </w:r>
      <w:r w:rsidRPr="005C0CA0">
        <w:rPr>
          <w:rFonts w:ascii="Arial" w:hAnsi="Arial" w:cs="Arial"/>
          <w:sz w:val="24"/>
          <w:szCs w:val="24"/>
        </w:rPr>
        <w:t xml:space="preserve"> Conjunto de gasoductos y estaciones reguladoras de presión que transportan gas combustible, desde una estación reguladora de puerta de ciudad, o desde una estación de transferencia de custodia de distribución, o desde un tanque de almacenamiento, o desde una estación de descompresión, hasta el punto de derivación de otro sistema de distribución y/o de las acometidas de los inmuebles, sin incluir su conexión.</w:t>
      </w:r>
    </w:p>
    <w:p w14:paraId="2ABFF709" w14:textId="77777777" w:rsidR="004B40A4" w:rsidRPr="005C0CA0" w:rsidRDefault="004B40A4" w:rsidP="00B03685">
      <w:pPr>
        <w:spacing w:after="0"/>
        <w:jc w:val="both"/>
        <w:rPr>
          <w:rFonts w:ascii="Arial" w:hAnsi="Arial" w:cs="Arial"/>
          <w:bCs/>
          <w:iCs/>
          <w:sz w:val="24"/>
          <w:szCs w:val="24"/>
        </w:rPr>
      </w:pPr>
    </w:p>
    <w:p w14:paraId="2174EAD0" w14:textId="77777777" w:rsidR="004B40A4" w:rsidRPr="005C0CA0" w:rsidRDefault="004B40A4" w:rsidP="008E39FD">
      <w:pPr>
        <w:spacing w:after="0"/>
        <w:jc w:val="both"/>
        <w:rPr>
          <w:rFonts w:ascii="Arial" w:hAnsi="Arial" w:cs="Arial"/>
          <w:b/>
          <w:bCs/>
          <w:sz w:val="24"/>
          <w:szCs w:val="24"/>
        </w:rPr>
      </w:pPr>
      <w:r w:rsidRPr="005C0CA0">
        <w:rPr>
          <w:rFonts w:ascii="Arial" w:hAnsi="Arial" w:cs="Arial"/>
          <w:b/>
          <w:bCs/>
          <w:sz w:val="24"/>
          <w:szCs w:val="24"/>
        </w:rPr>
        <w:t>Sistema de Almacenamiento:</w:t>
      </w:r>
      <w:r w:rsidRPr="005C0CA0">
        <w:rPr>
          <w:rFonts w:ascii="Arial" w:hAnsi="Arial" w:cs="Arial"/>
          <w:sz w:val="24"/>
          <w:szCs w:val="24"/>
        </w:rPr>
        <w:t xml:space="preserve"> Infraestructura dedicada exclusivamente a almacenar gas combustible por un período específico para su posterior uso.</w:t>
      </w:r>
    </w:p>
    <w:p w14:paraId="1D60FF89" w14:textId="77777777" w:rsidR="004B40A4" w:rsidRPr="005C0CA0" w:rsidRDefault="004B40A4" w:rsidP="00B03685">
      <w:pPr>
        <w:spacing w:after="0"/>
        <w:jc w:val="both"/>
        <w:rPr>
          <w:rFonts w:ascii="Arial" w:hAnsi="Arial" w:cs="Arial"/>
          <w:b/>
          <w:bCs/>
          <w:sz w:val="24"/>
          <w:szCs w:val="24"/>
        </w:rPr>
      </w:pPr>
    </w:p>
    <w:p w14:paraId="2D37F9AC" w14:textId="77777777" w:rsidR="004B40A4" w:rsidRPr="005C0CA0" w:rsidRDefault="004B40A4" w:rsidP="00B03685">
      <w:pPr>
        <w:spacing w:after="0"/>
        <w:jc w:val="both"/>
        <w:rPr>
          <w:rFonts w:ascii="Arial" w:hAnsi="Arial" w:cs="Arial"/>
          <w:sz w:val="24"/>
          <w:szCs w:val="24"/>
        </w:rPr>
      </w:pPr>
      <w:r w:rsidRPr="005C0CA0">
        <w:rPr>
          <w:rFonts w:ascii="Arial" w:hAnsi="Arial" w:cs="Arial"/>
          <w:b/>
          <w:bCs/>
          <w:sz w:val="24"/>
          <w:szCs w:val="24"/>
        </w:rPr>
        <w:t>Sistemas de distribución de GNL a pequeña escala:</w:t>
      </w:r>
      <w:r w:rsidRPr="005C0CA0">
        <w:rPr>
          <w:rFonts w:ascii="Arial" w:hAnsi="Arial" w:cs="Arial"/>
          <w:sz w:val="24"/>
          <w:szCs w:val="24"/>
        </w:rPr>
        <w:t xml:space="preserve"> Sistemas con una capacidad entre 100 y 600 GNL/día. Estos sistemas comprenden los tanques de almacenamiento de GNL, las tuberías o redes de distribución de GNL y la planta de regasificación de GNL.</w:t>
      </w:r>
    </w:p>
    <w:p w14:paraId="25CBAEE2" w14:textId="77777777" w:rsidR="000344B2" w:rsidRPr="005C0CA0" w:rsidRDefault="000344B2" w:rsidP="00B03685">
      <w:pPr>
        <w:spacing w:after="0"/>
        <w:jc w:val="both"/>
        <w:rPr>
          <w:rFonts w:ascii="Arial" w:hAnsi="Arial" w:cs="Arial"/>
          <w:bCs/>
          <w:iCs/>
          <w:sz w:val="24"/>
          <w:szCs w:val="24"/>
        </w:rPr>
      </w:pPr>
    </w:p>
    <w:p w14:paraId="4A72F352" w14:textId="77777777" w:rsidR="004B40A4" w:rsidRPr="005C0CA0" w:rsidRDefault="004B40A4" w:rsidP="008E39FD">
      <w:pPr>
        <w:tabs>
          <w:tab w:val="left" w:pos="4474"/>
        </w:tabs>
        <w:spacing w:after="0"/>
        <w:jc w:val="both"/>
        <w:rPr>
          <w:rFonts w:ascii="Arial" w:hAnsi="Arial" w:cs="Arial"/>
          <w:sz w:val="24"/>
          <w:szCs w:val="24"/>
        </w:rPr>
      </w:pPr>
      <w:r w:rsidRPr="005C0CA0">
        <w:rPr>
          <w:rFonts w:ascii="Arial" w:hAnsi="Arial" w:cs="Arial"/>
          <w:b/>
          <w:bCs/>
          <w:sz w:val="24"/>
          <w:szCs w:val="24"/>
        </w:rPr>
        <w:t>Sistema Nacional de Transporte (SNT):</w:t>
      </w:r>
      <w:r w:rsidRPr="005C0CA0">
        <w:rPr>
          <w:rFonts w:ascii="Arial" w:hAnsi="Arial" w:cs="Arial"/>
          <w:sz w:val="24"/>
          <w:szCs w:val="24"/>
        </w:rPr>
        <w:t xml:space="preserve"> Conjunto de gasoductos localizados en el territorio nacional, excluyendo conexiones y gasoductos dedicados, que vinculan los centros de producción de gas del país con las puertas de ciudad, sistemas de distribución, usuarios no regulados, interconexiones internacionales y sistemas de almacenamiento; de conformidad con lo establecido en el RUT (Reglamento Único de Transporte de Gas). </w:t>
      </w:r>
    </w:p>
    <w:p w14:paraId="36ED750B" w14:textId="77777777" w:rsidR="004B40A4" w:rsidRPr="005C0CA0" w:rsidRDefault="004B40A4" w:rsidP="00B03685">
      <w:pPr>
        <w:spacing w:after="0"/>
        <w:jc w:val="both"/>
        <w:rPr>
          <w:rFonts w:ascii="Arial" w:hAnsi="Arial" w:cs="Arial"/>
          <w:b/>
          <w:iCs/>
          <w:sz w:val="24"/>
          <w:szCs w:val="24"/>
        </w:rPr>
      </w:pPr>
    </w:p>
    <w:p w14:paraId="4EB0022F" w14:textId="77777777" w:rsidR="004B40A4" w:rsidRPr="005C0CA0" w:rsidRDefault="004B40A4" w:rsidP="00B03685">
      <w:pPr>
        <w:spacing w:after="0"/>
        <w:jc w:val="both"/>
        <w:rPr>
          <w:rFonts w:ascii="Arial" w:hAnsi="Arial" w:cs="Arial"/>
          <w:bCs/>
          <w:iCs/>
          <w:sz w:val="24"/>
          <w:szCs w:val="24"/>
        </w:rPr>
      </w:pPr>
      <w:r w:rsidRPr="005C0CA0">
        <w:rPr>
          <w:rFonts w:ascii="Arial" w:hAnsi="Arial" w:cs="Arial"/>
          <w:b/>
          <w:iCs/>
          <w:sz w:val="24"/>
          <w:szCs w:val="24"/>
        </w:rPr>
        <w:t>Sistema Regional de Transporte:</w:t>
      </w:r>
      <w:r w:rsidRPr="005C0CA0">
        <w:rPr>
          <w:rFonts w:ascii="Arial" w:hAnsi="Arial" w:cs="Arial"/>
          <w:bCs/>
          <w:iCs/>
          <w:sz w:val="24"/>
          <w:szCs w:val="24"/>
        </w:rPr>
        <w:t xml:space="preserve"> Gasoducto o conjunto de gasoductos del Sistema Nacional de Transporte, con o sin conexión física entre sí, derivados de Sistemas Troncales de Transporte, a través de los cuales se transporta gas natural hasta otro(s) Sistema(s) Regional(es) de Transporte, Sistemas de Distribución o que interconectan Sistemas de Distribución.</w:t>
      </w:r>
    </w:p>
    <w:p w14:paraId="5150A116" w14:textId="77777777" w:rsidR="004B40A4" w:rsidRPr="005C0CA0" w:rsidRDefault="004B40A4" w:rsidP="00B03685">
      <w:pPr>
        <w:spacing w:after="0"/>
        <w:jc w:val="both"/>
        <w:rPr>
          <w:rFonts w:ascii="Arial" w:hAnsi="Arial" w:cs="Arial"/>
          <w:bCs/>
          <w:iCs/>
          <w:sz w:val="24"/>
          <w:szCs w:val="24"/>
        </w:rPr>
      </w:pPr>
    </w:p>
    <w:p w14:paraId="5404136E" w14:textId="1C050FEF" w:rsidR="004B40A4" w:rsidRPr="005C0CA0" w:rsidRDefault="004B40A4" w:rsidP="00B03685">
      <w:pPr>
        <w:spacing w:after="0"/>
        <w:jc w:val="both"/>
        <w:rPr>
          <w:rFonts w:ascii="Arial" w:hAnsi="Arial" w:cs="Arial"/>
          <w:bCs/>
          <w:iCs/>
          <w:sz w:val="24"/>
          <w:szCs w:val="24"/>
        </w:rPr>
      </w:pPr>
      <w:r w:rsidRPr="005C0CA0">
        <w:rPr>
          <w:rFonts w:ascii="Arial" w:hAnsi="Arial" w:cs="Arial"/>
          <w:b/>
          <w:bCs/>
          <w:sz w:val="24"/>
          <w:szCs w:val="24"/>
        </w:rPr>
        <w:lastRenderedPageBreak/>
        <w:t>Solicitante:</w:t>
      </w:r>
      <w:r w:rsidRPr="005C0CA0">
        <w:rPr>
          <w:rFonts w:ascii="Arial" w:hAnsi="Arial" w:cs="Arial"/>
          <w:sz w:val="24"/>
          <w:szCs w:val="24"/>
        </w:rPr>
        <w:t xml:space="preserve"> Empresa </w:t>
      </w:r>
      <w:r w:rsidR="00B548B7" w:rsidRPr="00B548B7">
        <w:rPr>
          <w:rFonts w:ascii="Arial" w:hAnsi="Arial" w:cs="Arial"/>
          <w:sz w:val="24"/>
          <w:szCs w:val="24"/>
        </w:rPr>
        <w:t>prestadora del servicio público domiciliario de distribución de gas combustible por redes o de transporte de gas</w:t>
      </w:r>
      <w:r w:rsidR="00B548B7">
        <w:rPr>
          <w:rFonts w:ascii="Arial" w:hAnsi="Arial" w:cs="Arial"/>
          <w:sz w:val="24"/>
          <w:szCs w:val="24"/>
        </w:rPr>
        <w:t xml:space="preserve"> </w:t>
      </w:r>
      <w:r w:rsidR="00B548B7" w:rsidRPr="00B548B7">
        <w:rPr>
          <w:rFonts w:ascii="Arial" w:hAnsi="Arial" w:cs="Arial"/>
          <w:sz w:val="24"/>
          <w:szCs w:val="24"/>
        </w:rPr>
        <w:t>combustible.</w:t>
      </w:r>
    </w:p>
    <w:p w14:paraId="51DA1542" w14:textId="77777777" w:rsidR="004A65DD" w:rsidRDefault="004A65DD" w:rsidP="008E39FD">
      <w:pPr>
        <w:spacing w:after="0"/>
        <w:jc w:val="both"/>
        <w:rPr>
          <w:rFonts w:ascii="Arial" w:hAnsi="Arial" w:cs="Arial"/>
          <w:b/>
          <w:iCs/>
          <w:sz w:val="24"/>
          <w:szCs w:val="24"/>
        </w:rPr>
      </w:pPr>
    </w:p>
    <w:p w14:paraId="3B6A3C0D" w14:textId="62B19626" w:rsidR="004B40A4" w:rsidRPr="005C0CA0" w:rsidRDefault="004B40A4" w:rsidP="00B03685">
      <w:pPr>
        <w:spacing w:after="0"/>
        <w:jc w:val="both"/>
        <w:rPr>
          <w:rFonts w:ascii="Arial" w:hAnsi="Arial" w:cs="Arial"/>
          <w:bCs/>
          <w:iCs/>
          <w:sz w:val="24"/>
          <w:szCs w:val="24"/>
        </w:rPr>
      </w:pPr>
      <w:r w:rsidRPr="005C0CA0">
        <w:rPr>
          <w:rFonts w:ascii="Arial" w:hAnsi="Arial" w:cs="Arial"/>
          <w:b/>
          <w:iCs/>
          <w:sz w:val="24"/>
          <w:szCs w:val="24"/>
        </w:rPr>
        <w:t xml:space="preserve">Unidad constructiva: </w:t>
      </w:r>
      <w:r w:rsidRPr="005C0CA0">
        <w:rPr>
          <w:rFonts w:ascii="Arial" w:hAnsi="Arial" w:cs="Arial"/>
          <w:bCs/>
          <w:iCs/>
          <w:sz w:val="24"/>
          <w:szCs w:val="24"/>
        </w:rPr>
        <w:t>Componente típico del conjunto de infraestructura que conforma las Redes Primaria</w:t>
      </w:r>
      <w:r w:rsidR="00B548B7">
        <w:rPr>
          <w:rFonts w:ascii="Arial" w:hAnsi="Arial" w:cs="Arial"/>
          <w:bCs/>
          <w:iCs/>
          <w:sz w:val="24"/>
          <w:szCs w:val="24"/>
        </w:rPr>
        <w:t>s</w:t>
      </w:r>
      <w:r w:rsidRPr="005C0CA0">
        <w:rPr>
          <w:rFonts w:ascii="Arial" w:hAnsi="Arial" w:cs="Arial"/>
          <w:bCs/>
          <w:iCs/>
          <w:sz w:val="24"/>
          <w:szCs w:val="24"/>
        </w:rPr>
        <w:t xml:space="preserve"> y Secundaria</w:t>
      </w:r>
      <w:r w:rsidR="00B548B7">
        <w:rPr>
          <w:rFonts w:ascii="Arial" w:hAnsi="Arial" w:cs="Arial"/>
          <w:bCs/>
          <w:iCs/>
          <w:sz w:val="24"/>
          <w:szCs w:val="24"/>
        </w:rPr>
        <w:t>s</w:t>
      </w:r>
      <w:r w:rsidRPr="005C0CA0">
        <w:rPr>
          <w:rFonts w:ascii="Arial" w:hAnsi="Arial" w:cs="Arial"/>
          <w:bCs/>
          <w:iCs/>
          <w:sz w:val="24"/>
          <w:szCs w:val="24"/>
        </w:rPr>
        <w:t xml:space="preserve"> de los Sistemas de Distribución adoptado por la Comisión de Regulación de Energía y Gas - CREG para el inventario y/o valoración de dichos sistemas, según se establece en la Resolución CREG 202 de 2013 o la que la modifique o sustituya.</w:t>
      </w:r>
    </w:p>
    <w:p w14:paraId="758E976F" w14:textId="77777777" w:rsidR="004B40A4" w:rsidRPr="005C0CA0" w:rsidRDefault="004B40A4" w:rsidP="00B03685">
      <w:pPr>
        <w:spacing w:after="0"/>
        <w:jc w:val="both"/>
        <w:rPr>
          <w:rFonts w:ascii="Arial" w:hAnsi="Arial" w:cs="Arial"/>
          <w:bCs/>
          <w:iCs/>
          <w:sz w:val="24"/>
          <w:szCs w:val="24"/>
        </w:rPr>
      </w:pPr>
    </w:p>
    <w:p w14:paraId="7A547FEC" w14:textId="77777777" w:rsidR="004B40A4" w:rsidRPr="005C0CA0" w:rsidRDefault="004B40A4" w:rsidP="00B03685">
      <w:pPr>
        <w:spacing w:after="0"/>
        <w:jc w:val="both"/>
        <w:rPr>
          <w:rFonts w:ascii="Arial" w:hAnsi="Arial" w:cs="Arial"/>
          <w:bCs/>
          <w:iCs/>
          <w:sz w:val="24"/>
          <w:szCs w:val="24"/>
        </w:rPr>
      </w:pPr>
      <w:r w:rsidRPr="005C0CA0">
        <w:rPr>
          <w:rFonts w:ascii="Arial" w:hAnsi="Arial" w:cs="Arial"/>
          <w:b/>
          <w:iCs/>
          <w:sz w:val="24"/>
          <w:szCs w:val="24"/>
        </w:rPr>
        <w:t>Usuarios de menores ingresos:</w:t>
      </w:r>
      <w:r w:rsidRPr="005C0CA0">
        <w:rPr>
          <w:rFonts w:ascii="Arial" w:hAnsi="Arial" w:cs="Arial"/>
          <w:bCs/>
          <w:iCs/>
          <w:sz w:val="24"/>
          <w:szCs w:val="24"/>
        </w:rPr>
        <w:t xml:space="preserve"> Usuarios de estrato 1 y 2.</w:t>
      </w:r>
    </w:p>
    <w:p w14:paraId="16BC71A7" w14:textId="77777777" w:rsidR="004B40A4" w:rsidRDefault="004B40A4" w:rsidP="00B03685">
      <w:pPr>
        <w:tabs>
          <w:tab w:val="left" w:pos="975"/>
        </w:tabs>
        <w:spacing w:after="0"/>
        <w:jc w:val="both"/>
        <w:rPr>
          <w:rFonts w:ascii="Arial" w:hAnsi="Arial" w:cs="Arial"/>
          <w:bCs/>
          <w:iCs/>
          <w:sz w:val="24"/>
          <w:szCs w:val="24"/>
        </w:rPr>
      </w:pPr>
      <w:r>
        <w:rPr>
          <w:rFonts w:ascii="Arial" w:hAnsi="Arial" w:cs="Arial"/>
          <w:bCs/>
          <w:iCs/>
          <w:sz w:val="24"/>
          <w:szCs w:val="24"/>
        </w:rPr>
        <w:tab/>
      </w:r>
    </w:p>
    <w:p w14:paraId="4FFDF67B" w14:textId="77777777" w:rsidR="00C13046" w:rsidRDefault="00C13046" w:rsidP="00B03685">
      <w:pPr>
        <w:tabs>
          <w:tab w:val="left" w:pos="975"/>
        </w:tabs>
        <w:spacing w:after="0"/>
        <w:jc w:val="both"/>
        <w:rPr>
          <w:rFonts w:ascii="Arial" w:hAnsi="Arial" w:cs="Arial"/>
          <w:bCs/>
          <w:iCs/>
          <w:sz w:val="24"/>
          <w:szCs w:val="24"/>
        </w:rPr>
      </w:pPr>
    </w:p>
    <w:p w14:paraId="5660E351" w14:textId="305066BE" w:rsidR="004B40A4" w:rsidRPr="003823DF" w:rsidRDefault="003823DF" w:rsidP="003E028A">
      <w:pPr>
        <w:pStyle w:val="Ttulo6"/>
        <w:ind w:left="1152" w:hanging="1152"/>
      </w:pPr>
      <w:bookmarkStart w:id="8" w:name="_Toc219397233"/>
      <w:r w:rsidRPr="003823DF">
        <w:rPr>
          <w:bCs/>
        </w:rPr>
        <w:t xml:space="preserve">I-1.1.2  </w:t>
      </w:r>
      <w:r>
        <w:rPr>
          <w:bCs/>
        </w:rPr>
        <w:t xml:space="preserve"> </w:t>
      </w:r>
      <w:r w:rsidR="004B40A4" w:rsidRPr="003823DF">
        <w:t>Energía Eléctrica:</w:t>
      </w:r>
      <w:bookmarkEnd w:id="8"/>
    </w:p>
    <w:p w14:paraId="5DFD777C" w14:textId="77777777" w:rsidR="004B40A4" w:rsidRPr="00C63186" w:rsidRDefault="004B40A4" w:rsidP="008E39FD">
      <w:pPr>
        <w:tabs>
          <w:tab w:val="left" w:pos="4474"/>
        </w:tabs>
        <w:spacing w:after="0"/>
        <w:jc w:val="both"/>
        <w:rPr>
          <w:rFonts w:ascii="Arial" w:hAnsi="Arial" w:cs="Arial"/>
          <w:b/>
          <w:bCs/>
          <w:sz w:val="24"/>
          <w:szCs w:val="24"/>
        </w:rPr>
      </w:pPr>
    </w:p>
    <w:p w14:paraId="5FDDC0D0"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Acometida</w:t>
      </w:r>
      <w:r>
        <w:rPr>
          <w:rFonts w:ascii="Arial" w:hAnsi="Arial" w:cs="Arial"/>
          <w:b/>
          <w:bCs/>
          <w:sz w:val="24"/>
          <w:szCs w:val="24"/>
        </w:rPr>
        <w:t xml:space="preserve"> eléctrica</w:t>
      </w:r>
      <w:r w:rsidRPr="00C63186">
        <w:rPr>
          <w:rFonts w:ascii="Arial" w:hAnsi="Arial" w:cs="Arial"/>
          <w:b/>
          <w:bCs/>
          <w:sz w:val="24"/>
          <w:szCs w:val="24"/>
        </w:rPr>
        <w:t>:</w:t>
      </w:r>
      <w:r>
        <w:rPr>
          <w:rFonts w:ascii="Arial" w:hAnsi="Arial" w:cs="Arial"/>
          <w:b/>
          <w:bCs/>
          <w:sz w:val="24"/>
          <w:szCs w:val="24"/>
        </w:rPr>
        <w:t xml:space="preserve"> </w:t>
      </w:r>
      <w:r>
        <w:rPr>
          <w:rFonts w:ascii="Arial" w:hAnsi="Arial" w:cs="Arial"/>
          <w:sz w:val="24"/>
          <w:szCs w:val="24"/>
        </w:rPr>
        <w:t>C</w:t>
      </w:r>
      <w:r w:rsidRPr="00755EED">
        <w:rPr>
          <w:rFonts w:ascii="Arial" w:hAnsi="Arial" w:cs="Arial"/>
          <w:sz w:val="24"/>
          <w:szCs w:val="24"/>
        </w:rPr>
        <w:t>onjunto de conductores y accesorios entre el punto de conexión eléctrico al sistema de uso general (STN, STR o SDL) y los bornes de salida del equipo de medición</w:t>
      </w:r>
      <w:r>
        <w:rPr>
          <w:rStyle w:val="Refdenotaalpie"/>
          <w:rFonts w:ascii="Arial" w:hAnsi="Arial" w:cs="Arial"/>
          <w:sz w:val="24"/>
          <w:szCs w:val="24"/>
        </w:rPr>
        <w:footnoteReference w:id="3"/>
      </w:r>
      <w:r w:rsidRPr="00755EED">
        <w:rPr>
          <w:rFonts w:ascii="Arial" w:hAnsi="Arial" w:cs="Arial"/>
          <w:sz w:val="24"/>
          <w:szCs w:val="24"/>
        </w:rPr>
        <w:t>.</w:t>
      </w:r>
    </w:p>
    <w:p w14:paraId="593AD390" w14:textId="77777777" w:rsidR="004B40A4" w:rsidRPr="00C63186" w:rsidRDefault="004B40A4" w:rsidP="008E39FD">
      <w:pPr>
        <w:tabs>
          <w:tab w:val="left" w:pos="4474"/>
        </w:tabs>
        <w:spacing w:after="0"/>
        <w:jc w:val="both"/>
        <w:rPr>
          <w:rFonts w:ascii="Arial" w:hAnsi="Arial" w:cs="Arial"/>
          <w:sz w:val="24"/>
          <w:szCs w:val="24"/>
        </w:rPr>
      </w:pPr>
    </w:p>
    <w:p w14:paraId="40D319A6" w14:textId="77777777" w:rsidR="004B40A4" w:rsidRDefault="004B40A4" w:rsidP="008E39FD">
      <w:pPr>
        <w:tabs>
          <w:tab w:val="left" w:pos="4474"/>
        </w:tabs>
        <w:spacing w:after="0"/>
        <w:jc w:val="both"/>
        <w:rPr>
          <w:rStyle w:val="normaltextrun"/>
          <w:rFonts w:ascii="Arial" w:hAnsi="Arial" w:cs="Arial"/>
          <w:color w:val="000000"/>
          <w:sz w:val="24"/>
          <w:szCs w:val="24"/>
          <w:shd w:val="clear" w:color="auto" w:fill="FFFFFF"/>
        </w:rPr>
      </w:pPr>
      <w:r w:rsidRPr="00AA2487">
        <w:rPr>
          <w:rStyle w:val="normaltextrun"/>
          <w:rFonts w:ascii="Arial" w:hAnsi="Arial" w:cs="Arial"/>
          <w:b/>
          <w:bCs/>
          <w:color w:val="000000"/>
          <w:sz w:val="24"/>
          <w:szCs w:val="24"/>
          <w:shd w:val="clear" w:color="auto" w:fill="FFFFFF"/>
        </w:rPr>
        <w:t>Acta de liquidación:</w:t>
      </w:r>
      <w:r w:rsidRPr="00AA2487">
        <w:rPr>
          <w:rStyle w:val="normaltextrun"/>
          <w:rFonts w:ascii="Arial" w:hAnsi="Arial" w:cs="Arial"/>
          <w:color w:val="000000"/>
          <w:sz w:val="24"/>
          <w:szCs w:val="24"/>
          <w:shd w:val="clear" w:color="auto" w:fill="FFFFFF"/>
        </w:rPr>
        <w:t xml:space="preserve"> Es el documento por el cual el contratante representado por el ordenador de gasto, el contratista por medio de su representante legal, el interventor y/o supervisor, realizan un balance financiero de la ejecución presupuestal y certifican el cumplimiento de las obligaciones pactadas; los ajustes o reconocimientos a los que haya lugar, con el fin de declararse a paz y salvo. Podrán hacerse, no obstante, salvedades y suscribirse con éstas cuando no se llegue a acuerdos en la totalidad de las declaraciones</w:t>
      </w:r>
      <w:r w:rsidRPr="00AA2487">
        <w:rPr>
          <w:rStyle w:val="Refdenotaalpie"/>
          <w:rFonts w:ascii="Arial" w:hAnsi="Arial" w:cs="Arial"/>
          <w:color w:val="000000"/>
          <w:sz w:val="24"/>
          <w:szCs w:val="24"/>
          <w:shd w:val="clear" w:color="auto" w:fill="FFFFFF"/>
        </w:rPr>
        <w:footnoteReference w:id="4"/>
      </w:r>
      <w:r w:rsidRPr="00AA2487">
        <w:rPr>
          <w:rStyle w:val="normaltextrun"/>
          <w:rFonts w:ascii="Arial" w:hAnsi="Arial" w:cs="Arial"/>
          <w:color w:val="000000"/>
          <w:sz w:val="24"/>
          <w:szCs w:val="24"/>
          <w:shd w:val="clear" w:color="auto" w:fill="FFFFFF"/>
        </w:rPr>
        <w:t>.</w:t>
      </w:r>
    </w:p>
    <w:p w14:paraId="3A82B8D3" w14:textId="77777777" w:rsidR="00C85FA9" w:rsidRDefault="00C85FA9" w:rsidP="008E39FD">
      <w:pPr>
        <w:tabs>
          <w:tab w:val="left" w:pos="4474"/>
        </w:tabs>
        <w:spacing w:after="0"/>
        <w:jc w:val="both"/>
        <w:rPr>
          <w:rStyle w:val="normaltextrun"/>
          <w:rFonts w:ascii="Arial" w:hAnsi="Arial" w:cs="Arial"/>
          <w:color w:val="000000"/>
          <w:sz w:val="24"/>
          <w:szCs w:val="24"/>
          <w:shd w:val="clear" w:color="auto" w:fill="FFFFFF"/>
        </w:rPr>
      </w:pPr>
    </w:p>
    <w:p w14:paraId="2754928A" w14:textId="56000112" w:rsidR="00C85FA9" w:rsidRPr="00C85FA9" w:rsidRDefault="00C85FA9" w:rsidP="008E39FD">
      <w:pPr>
        <w:tabs>
          <w:tab w:val="left" w:pos="4474"/>
        </w:tabs>
        <w:spacing w:after="0"/>
        <w:jc w:val="both"/>
        <w:rPr>
          <w:rFonts w:ascii="Arial" w:hAnsi="Arial" w:cs="Arial"/>
          <w:sz w:val="28"/>
          <w:szCs w:val="28"/>
        </w:rPr>
      </w:pPr>
      <w:r w:rsidRPr="00C85FA9">
        <w:rPr>
          <w:rStyle w:val="normaltextrun"/>
          <w:rFonts w:ascii="Arial" w:hAnsi="Arial" w:cs="Arial"/>
          <w:b/>
          <w:bCs/>
          <w:color w:val="000000"/>
          <w:sz w:val="24"/>
          <w:szCs w:val="24"/>
          <w:shd w:val="clear" w:color="auto" w:fill="FFFFFF"/>
        </w:rPr>
        <w:t xml:space="preserve">Agilizar: </w:t>
      </w:r>
      <w:r w:rsidRPr="00C85FA9">
        <w:rPr>
          <w:rStyle w:val="normaltextrun"/>
          <w:rFonts w:ascii="Arial" w:hAnsi="Arial" w:cs="Arial"/>
          <w:color w:val="000000"/>
          <w:sz w:val="24"/>
          <w:szCs w:val="24"/>
          <w:shd w:val="clear" w:color="auto" w:fill="FFFFFF"/>
        </w:rPr>
        <w:t xml:space="preserve">Atención prioritaria que se </w:t>
      </w:r>
      <w:r>
        <w:rPr>
          <w:rStyle w:val="normaltextrun"/>
          <w:rFonts w:ascii="Arial" w:hAnsi="Arial" w:cs="Arial"/>
          <w:color w:val="000000"/>
          <w:sz w:val="24"/>
          <w:szCs w:val="24"/>
          <w:shd w:val="clear" w:color="auto" w:fill="FFFFFF"/>
        </w:rPr>
        <w:t>realiza</w:t>
      </w:r>
      <w:r w:rsidRPr="00C85FA9">
        <w:rPr>
          <w:rStyle w:val="normaltextrun"/>
          <w:rFonts w:ascii="Arial" w:hAnsi="Arial" w:cs="Arial"/>
          <w:color w:val="000000"/>
          <w:sz w:val="24"/>
          <w:szCs w:val="24"/>
          <w:shd w:val="clear" w:color="auto" w:fill="FFFFFF"/>
        </w:rPr>
        <w:t xml:space="preserve"> a proyectos urgentes necesarios para atender emergencias </w:t>
      </w:r>
      <w:r>
        <w:rPr>
          <w:rStyle w:val="normaltextrun"/>
          <w:rFonts w:ascii="Arial" w:hAnsi="Arial" w:cs="Arial"/>
          <w:color w:val="000000"/>
          <w:sz w:val="24"/>
          <w:szCs w:val="24"/>
          <w:shd w:val="clear" w:color="auto" w:fill="FFFFFF"/>
        </w:rPr>
        <w:t>en ZNI o SIN</w:t>
      </w:r>
    </w:p>
    <w:p w14:paraId="7D8BC314" w14:textId="77777777" w:rsidR="004B40A4" w:rsidRDefault="004B40A4" w:rsidP="008E39FD">
      <w:pPr>
        <w:tabs>
          <w:tab w:val="left" w:pos="4474"/>
        </w:tabs>
        <w:spacing w:after="0"/>
        <w:jc w:val="both"/>
        <w:rPr>
          <w:rFonts w:ascii="Arial" w:hAnsi="Arial" w:cs="Arial"/>
          <w:b/>
          <w:bCs/>
          <w:sz w:val="24"/>
          <w:szCs w:val="24"/>
        </w:rPr>
      </w:pPr>
    </w:p>
    <w:p w14:paraId="75C7C4EF" w14:textId="77777777" w:rsidR="004B40A4" w:rsidRPr="00AA2487" w:rsidRDefault="004B40A4" w:rsidP="008E39FD">
      <w:pPr>
        <w:tabs>
          <w:tab w:val="left" w:pos="4474"/>
        </w:tabs>
        <w:spacing w:after="0"/>
        <w:jc w:val="both"/>
        <w:rPr>
          <w:rFonts w:ascii="Arial" w:hAnsi="Arial" w:cs="Arial"/>
          <w:sz w:val="24"/>
          <w:szCs w:val="24"/>
        </w:rPr>
      </w:pPr>
      <w:r w:rsidRPr="005C0CA0">
        <w:rPr>
          <w:rFonts w:ascii="Arial" w:hAnsi="Arial" w:cs="Arial"/>
          <w:b/>
          <w:bCs/>
          <w:sz w:val="24"/>
          <w:szCs w:val="24"/>
        </w:rPr>
        <w:t>Ampliación de cobertura de energía eléctrica:</w:t>
      </w:r>
      <w:r w:rsidRPr="005C0CA0">
        <w:rPr>
          <w:rFonts w:ascii="Arial" w:hAnsi="Arial" w:cs="Arial"/>
          <w:sz w:val="24"/>
          <w:szCs w:val="24"/>
        </w:rPr>
        <w:t xml:space="preserve"> Proceso mediante el cual se expande la infraestructura y el servicio de electricidad hacia zonas geográficas y comunidades que actualmente no cuentan con acceso al servicio o se encuentran en áreas de difícil alcance, con el propósito de avanzar en la universalización del servicio y mejorar la calidad de vida de la población.</w:t>
      </w:r>
    </w:p>
    <w:p w14:paraId="0BDAE99B" w14:textId="77777777" w:rsidR="004B40A4" w:rsidRPr="00C63186" w:rsidRDefault="004B40A4" w:rsidP="008E39FD">
      <w:pPr>
        <w:tabs>
          <w:tab w:val="left" w:pos="4474"/>
        </w:tabs>
        <w:spacing w:after="0"/>
        <w:jc w:val="both"/>
        <w:rPr>
          <w:rFonts w:ascii="Arial" w:hAnsi="Arial" w:cs="Arial"/>
          <w:b/>
          <w:bCs/>
          <w:sz w:val="24"/>
          <w:szCs w:val="24"/>
        </w:rPr>
      </w:pPr>
    </w:p>
    <w:p w14:paraId="68409E9F"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Anexos: </w:t>
      </w:r>
      <w:r w:rsidRPr="00C63186">
        <w:rPr>
          <w:rFonts w:ascii="Arial" w:hAnsi="Arial" w:cs="Arial"/>
          <w:sz w:val="24"/>
          <w:szCs w:val="24"/>
        </w:rPr>
        <w:t>Documentos establecidos por el Ministerio de Minas y Energía y que deben diligenciarse para cumplir los requisitos para acceder a recursos del FONENERGÍA.</w:t>
      </w:r>
    </w:p>
    <w:p w14:paraId="12122643" w14:textId="77777777" w:rsidR="004B40A4" w:rsidRPr="00C63186" w:rsidRDefault="004B40A4" w:rsidP="008E39FD">
      <w:pPr>
        <w:tabs>
          <w:tab w:val="left" w:pos="4474"/>
        </w:tabs>
        <w:spacing w:after="0"/>
        <w:jc w:val="both"/>
        <w:rPr>
          <w:rFonts w:ascii="Arial" w:hAnsi="Arial" w:cs="Arial"/>
          <w:b/>
          <w:bCs/>
          <w:sz w:val="24"/>
          <w:szCs w:val="24"/>
        </w:rPr>
      </w:pPr>
    </w:p>
    <w:p w14:paraId="64FFF018" w14:textId="508497E7" w:rsidR="004B40A4" w:rsidRPr="005C0CA0"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Área de Servicio Exclusivo: </w:t>
      </w:r>
      <w:r w:rsidRPr="00C63186">
        <w:rPr>
          <w:rFonts w:ascii="Arial" w:hAnsi="Arial" w:cs="Arial"/>
          <w:sz w:val="24"/>
          <w:szCs w:val="24"/>
        </w:rPr>
        <w:t>Zona geográfica</w:t>
      </w:r>
      <w:r w:rsidR="00F2784C">
        <w:rPr>
          <w:rFonts w:ascii="Arial" w:hAnsi="Arial" w:cs="Arial"/>
          <w:sz w:val="24"/>
          <w:szCs w:val="24"/>
        </w:rPr>
        <w:t xml:space="preserve"> ubicada en las ZNI</w:t>
      </w:r>
      <w:r w:rsidRPr="00C63186">
        <w:rPr>
          <w:rFonts w:ascii="Arial" w:hAnsi="Arial" w:cs="Arial"/>
          <w:sz w:val="24"/>
          <w:szCs w:val="24"/>
        </w:rPr>
        <w:t xml:space="preserve"> en la que por motivos de utilidad pública e interés social y con el propósito de ampliar la cobertura de energía eléctrica, puede acordarse que ninguna otra empresa de servicios públicos pueda </w:t>
      </w:r>
      <w:r w:rsidRPr="005C0CA0">
        <w:rPr>
          <w:rFonts w:ascii="Arial" w:hAnsi="Arial" w:cs="Arial"/>
          <w:sz w:val="24"/>
          <w:szCs w:val="24"/>
        </w:rPr>
        <w:t>ofrecer los mismos servicios durante un tiempo determinado.</w:t>
      </w:r>
    </w:p>
    <w:p w14:paraId="49AAC04E" w14:textId="77777777" w:rsidR="004B40A4" w:rsidRPr="005C0CA0" w:rsidRDefault="004B40A4" w:rsidP="008E39FD">
      <w:pPr>
        <w:tabs>
          <w:tab w:val="left" w:pos="4474"/>
        </w:tabs>
        <w:spacing w:after="0"/>
        <w:jc w:val="both"/>
        <w:rPr>
          <w:rFonts w:ascii="Arial" w:hAnsi="Arial" w:cs="Arial"/>
          <w:b/>
          <w:bCs/>
          <w:sz w:val="24"/>
          <w:szCs w:val="24"/>
        </w:rPr>
      </w:pPr>
    </w:p>
    <w:p w14:paraId="36A04648" w14:textId="77777777" w:rsidR="004B40A4" w:rsidRDefault="004B40A4" w:rsidP="008E39FD">
      <w:pPr>
        <w:tabs>
          <w:tab w:val="left" w:pos="4474"/>
        </w:tabs>
        <w:spacing w:after="0"/>
        <w:jc w:val="both"/>
        <w:rPr>
          <w:rFonts w:ascii="Arial" w:hAnsi="Arial" w:cs="Arial"/>
          <w:sz w:val="24"/>
          <w:szCs w:val="24"/>
        </w:rPr>
      </w:pPr>
      <w:r w:rsidRPr="005C0CA0">
        <w:rPr>
          <w:rFonts w:ascii="Arial" w:hAnsi="Arial" w:cs="Arial"/>
          <w:b/>
          <w:bCs/>
          <w:sz w:val="24"/>
          <w:szCs w:val="24"/>
        </w:rPr>
        <w:t xml:space="preserve">Autogeneración: </w:t>
      </w:r>
      <w:r w:rsidRPr="005C0CA0">
        <w:rPr>
          <w:rFonts w:ascii="Arial" w:hAnsi="Arial" w:cs="Arial"/>
          <w:sz w:val="24"/>
          <w:szCs w:val="24"/>
        </w:rPr>
        <w:t>Actividad realizada por usuarios, sean estos personas naturales o jurídicas, que producen energía eléctrica, principalmente</w:t>
      </w:r>
      <w:r w:rsidRPr="00AA2487">
        <w:rPr>
          <w:rFonts w:ascii="Arial" w:hAnsi="Arial" w:cs="Arial"/>
          <w:sz w:val="24"/>
          <w:szCs w:val="24"/>
        </w:rPr>
        <w:t xml:space="preserve"> para atender sus propias necesidades. Cuando se atienda la propia demanda o necesidad se realizará sin utilizar </w:t>
      </w:r>
      <w:r w:rsidRPr="00AA2487">
        <w:rPr>
          <w:rFonts w:ascii="Arial" w:hAnsi="Arial" w:cs="Arial"/>
          <w:sz w:val="24"/>
          <w:szCs w:val="24"/>
        </w:rPr>
        <w:lastRenderedPageBreak/>
        <w:t>activos de uso de distribución y/o transmisión. Se podrán utilizar activos de uso de distribución y/o transmisión para entregar los excedentes de energía y para el uso de respaldo de red</w:t>
      </w:r>
      <w:r>
        <w:rPr>
          <w:rStyle w:val="Refdenotaalpie"/>
          <w:rFonts w:ascii="Arial" w:hAnsi="Arial" w:cs="Arial"/>
          <w:sz w:val="24"/>
          <w:szCs w:val="24"/>
        </w:rPr>
        <w:footnoteReference w:id="5"/>
      </w:r>
      <w:r w:rsidRPr="00AA2487">
        <w:rPr>
          <w:rFonts w:ascii="Arial" w:hAnsi="Arial" w:cs="Arial"/>
          <w:sz w:val="24"/>
          <w:szCs w:val="24"/>
        </w:rPr>
        <w:t>.</w:t>
      </w:r>
    </w:p>
    <w:p w14:paraId="3DB4F8BF" w14:textId="77777777" w:rsidR="004B40A4" w:rsidRPr="005C0CA0" w:rsidRDefault="004B40A4" w:rsidP="008E39FD">
      <w:pPr>
        <w:shd w:val="clear" w:color="auto" w:fill="FFFFFF" w:themeFill="background1"/>
        <w:spacing w:before="240" w:after="240"/>
        <w:jc w:val="both"/>
        <w:rPr>
          <w:rFonts w:ascii="Arial" w:hAnsi="Arial" w:cs="Arial"/>
          <w:sz w:val="24"/>
          <w:szCs w:val="24"/>
        </w:rPr>
      </w:pPr>
      <w:r w:rsidRPr="005C0CA0">
        <w:rPr>
          <w:rFonts w:ascii="Arial" w:hAnsi="Arial" w:cs="Arial"/>
          <w:b/>
          <w:bCs/>
          <w:sz w:val="24"/>
          <w:szCs w:val="24"/>
        </w:rPr>
        <w:t>Autogeneración a gran escala:</w:t>
      </w:r>
      <w:r w:rsidRPr="4622A9B7">
        <w:rPr>
          <w:rFonts w:eastAsiaTheme="minorEastAsia"/>
          <w:sz w:val="24"/>
          <w:szCs w:val="24"/>
        </w:rPr>
        <w:t xml:space="preserve"> </w:t>
      </w:r>
      <w:r w:rsidRPr="005C0CA0">
        <w:rPr>
          <w:rFonts w:ascii="Arial" w:hAnsi="Arial" w:cs="Arial"/>
          <w:sz w:val="24"/>
          <w:szCs w:val="24"/>
        </w:rPr>
        <w:t>Autogeneración cuya potencia máxima supera el límite establecido por la Unidad de Planeación Minero- Energética (UPME)</w:t>
      </w:r>
      <w:r w:rsidRPr="005D045B">
        <w:rPr>
          <w:rFonts w:ascii="Arial" w:hAnsi="Arial" w:cs="Arial"/>
          <w:sz w:val="24"/>
          <w:szCs w:val="24"/>
          <w:vertAlign w:val="superscript"/>
        </w:rPr>
        <w:footnoteReference w:id="6"/>
      </w:r>
    </w:p>
    <w:p w14:paraId="62B780E4" w14:textId="77777777" w:rsidR="004B40A4" w:rsidRDefault="004B40A4" w:rsidP="008E39FD">
      <w:pPr>
        <w:tabs>
          <w:tab w:val="left" w:pos="4474"/>
        </w:tabs>
        <w:spacing w:after="0"/>
        <w:jc w:val="both"/>
      </w:pPr>
      <w:r w:rsidRPr="4622A9B7">
        <w:rPr>
          <w:rFonts w:ascii="Arial" w:hAnsi="Arial" w:cs="Arial"/>
          <w:b/>
          <w:bCs/>
          <w:sz w:val="24"/>
          <w:szCs w:val="24"/>
        </w:rPr>
        <w:t xml:space="preserve">Autogenerador a pequeña escala: </w:t>
      </w:r>
      <w:r w:rsidRPr="4622A9B7">
        <w:rPr>
          <w:rFonts w:ascii="Arial" w:hAnsi="Arial" w:cs="Arial"/>
          <w:sz w:val="24"/>
          <w:szCs w:val="24"/>
        </w:rPr>
        <w:t>Autogenerador con capacidad instalada o nominal igual o inferior al límite definido en el artículo primero de la Resolución UPME 281 de 2015 o aquella que la modifique o sustituya</w:t>
      </w:r>
      <w:r w:rsidRPr="4622A9B7">
        <w:rPr>
          <w:rStyle w:val="Refdenotaalpie"/>
          <w:rFonts w:ascii="Arial" w:hAnsi="Arial" w:cs="Arial"/>
          <w:sz w:val="24"/>
          <w:szCs w:val="24"/>
        </w:rPr>
        <w:footnoteReference w:id="7"/>
      </w:r>
      <w:r w:rsidRPr="4622A9B7">
        <w:rPr>
          <w:rFonts w:ascii="Arial" w:hAnsi="Arial" w:cs="Arial"/>
          <w:sz w:val="24"/>
          <w:szCs w:val="24"/>
        </w:rPr>
        <w:t>.</w:t>
      </w:r>
    </w:p>
    <w:p w14:paraId="34D88BF0" w14:textId="77777777" w:rsidR="004B40A4" w:rsidRPr="00FA07EA" w:rsidRDefault="004B40A4" w:rsidP="008E39FD">
      <w:pPr>
        <w:shd w:val="clear" w:color="auto" w:fill="FFFFFF" w:themeFill="background1"/>
        <w:spacing w:before="240" w:after="240"/>
        <w:jc w:val="both"/>
        <w:rPr>
          <w:rFonts w:eastAsiaTheme="minorEastAsia"/>
          <w:sz w:val="24"/>
          <w:szCs w:val="24"/>
        </w:rPr>
      </w:pPr>
      <w:r w:rsidRPr="00FA07EA">
        <w:rPr>
          <w:rFonts w:ascii="Arial" w:hAnsi="Arial" w:cs="Arial"/>
          <w:b/>
          <w:bCs/>
          <w:sz w:val="24"/>
          <w:szCs w:val="24"/>
        </w:rPr>
        <w:t>Autogeneración colectiva (AGRC):</w:t>
      </w:r>
      <w:r w:rsidRPr="00FA07EA">
        <w:rPr>
          <w:rFonts w:ascii="Arial" w:hAnsi="Arial" w:cs="Arial"/>
          <w:sz w:val="24"/>
          <w:szCs w:val="24"/>
        </w:rPr>
        <w:t xml:space="preserve"> Actividad realizada por la comunidad energética que produce energía, principalmente, para atender su propia demanda de energía. En el evento en que se generen excedentes de energía a partir de tal actividad, estos podrán entregarse a la red, en los términos que establezca la Comisión de Regulación de Energía y Gas (CREG) para tal fin</w:t>
      </w:r>
      <w:r w:rsidRPr="4622A9B7">
        <w:rPr>
          <w:rStyle w:val="Refdenotaalpie"/>
          <w:rFonts w:eastAsiaTheme="minorEastAsia"/>
          <w:sz w:val="24"/>
          <w:szCs w:val="24"/>
        </w:rPr>
        <w:footnoteReference w:id="8"/>
      </w:r>
      <w:r w:rsidRPr="4622A9B7">
        <w:rPr>
          <w:rFonts w:eastAsiaTheme="minorEastAsia"/>
          <w:sz w:val="24"/>
          <w:szCs w:val="24"/>
        </w:rPr>
        <w:t>.</w:t>
      </w:r>
    </w:p>
    <w:p w14:paraId="727D393F" w14:textId="77777777" w:rsidR="004B40A4" w:rsidRDefault="004B40A4" w:rsidP="008E39FD">
      <w:pPr>
        <w:tabs>
          <w:tab w:val="left" w:pos="4474"/>
        </w:tabs>
        <w:spacing w:after="0"/>
        <w:jc w:val="both"/>
        <w:rPr>
          <w:rFonts w:ascii="Arial" w:hAnsi="Arial" w:cs="Arial"/>
          <w:sz w:val="24"/>
          <w:szCs w:val="24"/>
        </w:rPr>
      </w:pPr>
      <w:r w:rsidRPr="00FA07EA">
        <w:rPr>
          <w:rFonts w:ascii="Arial" w:hAnsi="Arial" w:cs="Arial"/>
          <w:b/>
          <w:bCs/>
          <w:sz w:val="24"/>
          <w:szCs w:val="24"/>
        </w:rPr>
        <w:t>Autogenerador colectivo (AC):</w:t>
      </w:r>
      <w:r w:rsidRPr="00FA07EA">
        <w:rPr>
          <w:rFonts w:ascii="Arial" w:hAnsi="Arial" w:cs="Arial"/>
          <w:sz w:val="24"/>
          <w:szCs w:val="24"/>
        </w:rPr>
        <w:t xml:space="preserve"> Usuarios o potenciales usuarios de servicios energéticos que constituyen una comunidad energética para desarrollar la actividad de autogeneración colectiva</w:t>
      </w:r>
      <w:r w:rsidRPr="4622A9B7">
        <w:rPr>
          <w:rFonts w:eastAsiaTheme="minorEastAsia"/>
          <w:sz w:val="24"/>
          <w:szCs w:val="24"/>
        </w:rPr>
        <w:t>.</w:t>
      </w:r>
      <w:r w:rsidRPr="4622A9B7">
        <w:rPr>
          <w:rStyle w:val="Refdenotaalpie"/>
          <w:rFonts w:eastAsiaTheme="minorEastAsia"/>
          <w:sz w:val="24"/>
          <w:szCs w:val="24"/>
        </w:rPr>
        <w:footnoteReference w:id="9"/>
      </w:r>
    </w:p>
    <w:p w14:paraId="490A1588" w14:textId="77777777" w:rsidR="004B40A4" w:rsidRDefault="004B40A4" w:rsidP="008E39FD">
      <w:pPr>
        <w:tabs>
          <w:tab w:val="left" w:pos="4474"/>
        </w:tabs>
        <w:spacing w:after="0"/>
        <w:jc w:val="both"/>
        <w:rPr>
          <w:rFonts w:ascii="Arial" w:hAnsi="Arial" w:cs="Arial"/>
          <w:b/>
          <w:bCs/>
          <w:sz w:val="24"/>
          <w:szCs w:val="24"/>
        </w:rPr>
      </w:pPr>
    </w:p>
    <w:p w14:paraId="22E8CEC3" w14:textId="1AD6A7FD" w:rsidR="004B40A4" w:rsidRDefault="004B40A4" w:rsidP="008E39FD">
      <w:pPr>
        <w:tabs>
          <w:tab w:val="left" w:pos="4474"/>
        </w:tabs>
        <w:spacing w:after="0"/>
        <w:jc w:val="both"/>
        <w:rPr>
          <w:rFonts w:ascii="Arial" w:hAnsi="Arial" w:cs="Arial"/>
          <w:sz w:val="24"/>
          <w:szCs w:val="24"/>
        </w:rPr>
      </w:pPr>
      <w:r w:rsidRPr="00E4701F">
        <w:rPr>
          <w:rFonts w:ascii="Arial" w:hAnsi="Arial" w:cs="Arial"/>
          <w:b/>
          <w:sz w:val="24"/>
          <w:szCs w:val="24"/>
        </w:rPr>
        <w:t>Autoridades Gubernamentales:</w:t>
      </w:r>
      <w:r w:rsidRPr="00E4701F">
        <w:rPr>
          <w:rFonts w:ascii="Arial" w:hAnsi="Arial" w:cs="Arial"/>
          <w:sz w:val="24"/>
          <w:szCs w:val="24"/>
        </w:rPr>
        <w:t xml:space="preserve"> Entidad o autoridad de cualquier orden nacional, departamental, distrital o municipal, agencia, superintendencia, corporación, tribunal o juzgado, banco central u otra entidad con competencias permanentes o transitorias que ejerza poderes o funciones ejecutivas, regulatorias, reglamentarias, legislativas, judiciales o sancionatorias conforme a las </w:t>
      </w:r>
      <w:r w:rsidRPr="00843CE2">
        <w:rPr>
          <w:rFonts w:ascii="Arial" w:hAnsi="Arial" w:cs="Arial"/>
          <w:sz w:val="24"/>
          <w:szCs w:val="24"/>
        </w:rPr>
        <w:t>L</w:t>
      </w:r>
      <w:r w:rsidRPr="00E4701F">
        <w:rPr>
          <w:rFonts w:ascii="Arial" w:hAnsi="Arial" w:cs="Arial"/>
          <w:sz w:val="24"/>
          <w:szCs w:val="24"/>
        </w:rPr>
        <w:t xml:space="preserve">eyes </w:t>
      </w:r>
      <w:r w:rsidRPr="00843CE2">
        <w:rPr>
          <w:rFonts w:ascii="Arial" w:hAnsi="Arial" w:cs="Arial"/>
          <w:sz w:val="24"/>
          <w:szCs w:val="24"/>
        </w:rPr>
        <w:t>A</w:t>
      </w:r>
      <w:r w:rsidRPr="00E4701F">
        <w:rPr>
          <w:rFonts w:ascii="Arial" w:hAnsi="Arial" w:cs="Arial"/>
          <w:sz w:val="24"/>
          <w:szCs w:val="24"/>
        </w:rPr>
        <w:t>plicables.</w:t>
      </w:r>
    </w:p>
    <w:p w14:paraId="5850C5D6" w14:textId="77777777" w:rsidR="004B40A4" w:rsidRDefault="004B40A4" w:rsidP="008E39FD">
      <w:pPr>
        <w:tabs>
          <w:tab w:val="left" w:pos="4474"/>
        </w:tabs>
        <w:spacing w:after="0"/>
        <w:jc w:val="both"/>
        <w:rPr>
          <w:rFonts w:ascii="Arial" w:hAnsi="Arial" w:cs="Arial"/>
          <w:sz w:val="24"/>
          <w:szCs w:val="24"/>
        </w:rPr>
      </w:pPr>
    </w:p>
    <w:p w14:paraId="2DC28905" w14:textId="77777777" w:rsidR="004B40A4" w:rsidRPr="00C63186" w:rsidRDefault="004B40A4" w:rsidP="008E39FD">
      <w:pPr>
        <w:tabs>
          <w:tab w:val="left" w:pos="4474"/>
        </w:tabs>
        <w:spacing w:after="0"/>
        <w:jc w:val="both"/>
        <w:rPr>
          <w:rFonts w:ascii="Arial" w:hAnsi="Arial" w:cs="Arial"/>
          <w:sz w:val="24"/>
          <w:szCs w:val="24"/>
        </w:rPr>
      </w:pPr>
      <w:r w:rsidRPr="00AA2487">
        <w:rPr>
          <w:rFonts w:ascii="Arial" w:hAnsi="Arial" w:cs="Arial"/>
          <w:b/>
          <w:bCs/>
          <w:sz w:val="24"/>
          <w:szCs w:val="24"/>
        </w:rPr>
        <w:t>Barrio Subnormal:</w:t>
      </w:r>
      <w:r w:rsidRPr="0037622C">
        <w:rPr>
          <w:rFonts w:ascii="Arial" w:hAnsi="Arial" w:cs="Arial"/>
          <w:sz w:val="24"/>
          <w:szCs w:val="24"/>
        </w:rPr>
        <w:t xml:space="preserve"> Asentamiento humano ubicado en las cabeceras de municipios o distritos que reúne los siguientes requisitos: (i) que no tenga servicio público domiciliario de energía eléctrica o que este se obtenga a través de derivaciones del Sistema de Distribución Local o de una Acometida, efectuadas sin aprobación del respectivo Operador de Red; (ii) que no se trate de zonas donde se deba suspender el servicio público domiciliario de electricidad, de conformidad con el artículo 139.2 de la Ley 142 de 1994, las normas de la Ley 388 de 1997 y en general en aquellas zonas en las que esté prohibido prestar el servicio, y (iii) Certificación del Alcalde Municipal o Distrital o de la autoridad competente en la cual conste la clasificación y existencia de los Barrios Subnormales, la cual deberá ser expedida dentro de los quince (15) días siguientes a la fecha de la respectiva solicitud efectuada por el Operador de Red</w:t>
      </w:r>
      <w:r>
        <w:rPr>
          <w:rStyle w:val="Refdenotaalpie"/>
          <w:rFonts w:ascii="Arial" w:hAnsi="Arial" w:cs="Arial"/>
          <w:sz w:val="24"/>
          <w:szCs w:val="24"/>
        </w:rPr>
        <w:footnoteReference w:id="10"/>
      </w:r>
      <w:r w:rsidRPr="0037622C">
        <w:rPr>
          <w:rFonts w:ascii="Arial" w:hAnsi="Arial" w:cs="Arial"/>
          <w:sz w:val="24"/>
          <w:szCs w:val="24"/>
        </w:rPr>
        <w:t>.</w:t>
      </w:r>
    </w:p>
    <w:p w14:paraId="1B0F5C56" w14:textId="77777777" w:rsidR="004B40A4" w:rsidRPr="00C63186" w:rsidRDefault="004B40A4" w:rsidP="008E39FD">
      <w:pPr>
        <w:tabs>
          <w:tab w:val="left" w:pos="4474"/>
        </w:tabs>
        <w:spacing w:after="0"/>
        <w:jc w:val="both"/>
        <w:rPr>
          <w:rFonts w:ascii="Arial" w:hAnsi="Arial" w:cs="Arial"/>
          <w:sz w:val="24"/>
          <w:szCs w:val="24"/>
        </w:rPr>
      </w:pPr>
    </w:p>
    <w:p w14:paraId="375608B7" w14:textId="77777777" w:rsidR="004B40A4" w:rsidRPr="00C63186" w:rsidRDefault="01F1EA49" w:rsidP="008E39FD">
      <w:pPr>
        <w:tabs>
          <w:tab w:val="left" w:pos="4474"/>
        </w:tabs>
        <w:spacing w:after="0"/>
        <w:jc w:val="both"/>
        <w:rPr>
          <w:rFonts w:ascii="Arial" w:hAnsi="Arial" w:cs="Arial"/>
          <w:sz w:val="24"/>
          <w:szCs w:val="24"/>
        </w:rPr>
      </w:pPr>
      <w:r w:rsidRPr="719E25F3">
        <w:rPr>
          <w:rFonts w:ascii="Arial" w:hAnsi="Arial" w:cs="Arial"/>
          <w:b/>
          <w:bCs/>
          <w:sz w:val="24"/>
          <w:szCs w:val="24"/>
        </w:rPr>
        <w:t>Bienes:</w:t>
      </w:r>
      <w:r w:rsidRPr="719E25F3">
        <w:rPr>
          <w:rFonts w:ascii="Arial" w:hAnsi="Arial" w:cs="Arial"/>
          <w:sz w:val="24"/>
          <w:szCs w:val="24"/>
        </w:rPr>
        <w:t xml:space="preserve"> Estudios, infraestructura, equipos, repuestos, partes y demás activos tangibles e intangibles, adquiridos con recursos de FONENERGÍA, o de los fondos FAZNI, FAER, PRONE, FECFGN y demás fuentes de financiación. </w:t>
      </w:r>
    </w:p>
    <w:p w14:paraId="28086A39" w14:textId="2726449F" w:rsidR="719E25F3" w:rsidRDefault="719E25F3" w:rsidP="008E39FD">
      <w:pPr>
        <w:tabs>
          <w:tab w:val="left" w:pos="4474"/>
        </w:tabs>
        <w:spacing w:after="0"/>
        <w:jc w:val="both"/>
        <w:rPr>
          <w:rFonts w:ascii="Arial" w:hAnsi="Arial" w:cs="Arial"/>
          <w:sz w:val="24"/>
          <w:szCs w:val="24"/>
        </w:rPr>
      </w:pPr>
    </w:p>
    <w:p w14:paraId="75189316" w14:textId="6AA6191F" w:rsidR="3EE81C67" w:rsidRDefault="3EE81C67" w:rsidP="008E39FD">
      <w:pPr>
        <w:tabs>
          <w:tab w:val="left" w:pos="4474"/>
        </w:tabs>
        <w:spacing w:after="0"/>
        <w:jc w:val="both"/>
        <w:rPr>
          <w:rFonts w:ascii="Arial" w:hAnsi="Arial" w:cs="Arial"/>
          <w:b/>
          <w:bCs/>
          <w:sz w:val="24"/>
          <w:szCs w:val="24"/>
        </w:rPr>
      </w:pPr>
      <w:r w:rsidRPr="719E25F3">
        <w:rPr>
          <w:rFonts w:ascii="Arial" w:hAnsi="Arial" w:cs="Arial"/>
          <w:b/>
          <w:bCs/>
          <w:sz w:val="24"/>
          <w:szCs w:val="24"/>
        </w:rPr>
        <w:t xml:space="preserve">Capacitaciones: </w:t>
      </w:r>
      <w:r w:rsidR="003E028A" w:rsidRPr="003E028A">
        <w:rPr>
          <w:rFonts w:ascii="Arial" w:hAnsi="Arial" w:cs="Arial"/>
          <w:sz w:val="24"/>
          <w:szCs w:val="24"/>
        </w:rPr>
        <w:t>Conjunto de actividades de formación, asistencia técnica y acompañamiento social dirigidas a los usuarios beneficiarios, con el propósito de garantizar el uso adecuado, eficiente y sostenible de las soluciones energéticas implementadas.</w:t>
      </w:r>
    </w:p>
    <w:p w14:paraId="6BB1E7CF" w14:textId="77777777" w:rsidR="000133DA" w:rsidRDefault="000133DA" w:rsidP="008E39FD">
      <w:pPr>
        <w:tabs>
          <w:tab w:val="left" w:pos="4474"/>
        </w:tabs>
        <w:spacing w:after="0"/>
        <w:jc w:val="both"/>
        <w:rPr>
          <w:rFonts w:ascii="Arial" w:hAnsi="Arial" w:cs="Arial"/>
          <w:b/>
          <w:bCs/>
          <w:sz w:val="24"/>
          <w:szCs w:val="24"/>
        </w:rPr>
      </w:pPr>
    </w:p>
    <w:p w14:paraId="7A99142B" w14:textId="14BE82F0" w:rsidR="004B40A4" w:rsidRDefault="004B40A4" w:rsidP="008E39FD">
      <w:pPr>
        <w:tabs>
          <w:tab w:val="left" w:pos="4474"/>
        </w:tabs>
        <w:spacing w:after="0"/>
        <w:jc w:val="both"/>
        <w:rPr>
          <w:rFonts w:ascii="Arial" w:hAnsi="Arial" w:cs="Arial"/>
          <w:sz w:val="24"/>
          <w:szCs w:val="24"/>
        </w:rPr>
      </w:pPr>
      <w:r w:rsidRPr="4622A9B7">
        <w:rPr>
          <w:rFonts w:ascii="Arial" w:hAnsi="Arial" w:cs="Arial"/>
          <w:b/>
          <w:bCs/>
          <w:sz w:val="24"/>
          <w:szCs w:val="24"/>
        </w:rPr>
        <w:t>Cofinanciación:</w:t>
      </w:r>
      <w:r w:rsidRPr="4622A9B7">
        <w:rPr>
          <w:rFonts w:ascii="Arial" w:hAnsi="Arial" w:cs="Arial"/>
          <w:sz w:val="24"/>
          <w:szCs w:val="24"/>
        </w:rPr>
        <w:t xml:space="preserve"> Recursos del FONENERGÍA con el objeto de financiar parcialmente la ejecución de Planes, Programas y/o Proyectos susceptibles de cofinanciación por parte de un tercero.</w:t>
      </w:r>
    </w:p>
    <w:p w14:paraId="5DA79E98" w14:textId="77777777" w:rsidR="004B40A4" w:rsidRPr="00FA07EA" w:rsidRDefault="004B40A4" w:rsidP="008E39FD">
      <w:pPr>
        <w:tabs>
          <w:tab w:val="left" w:pos="4474"/>
        </w:tabs>
        <w:spacing w:after="0"/>
        <w:jc w:val="both"/>
        <w:rPr>
          <w:rFonts w:eastAsiaTheme="minorEastAsia"/>
          <w:sz w:val="24"/>
          <w:szCs w:val="24"/>
        </w:rPr>
      </w:pPr>
    </w:p>
    <w:p w14:paraId="56ACA403" w14:textId="77777777" w:rsidR="00D87739" w:rsidRPr="00FA07EA" w:rsidRDefault="00D87739" w:rsidP="00D87739">
      <w:pPr>
        <w:tabs>
          <w:tab w:val="left" w:pos="4474"/>
        </w:tabs>
        <w:spacing w:after="0"/>
        <w:jc w:val="both"/>
        <w:rPr>
          <w:rStyle w:val="eop"/>
          <w:color w:val="000000"/>
          <w:shd w:val="clear" w:color="auto" w:fill="FFFFFF"/>
        </w:rPr>
      </w:pPr>
      <w:r w:rsidRPr="00FA07EA">
        <w:rPr>
          <w:rStyle w:val="eop"/>
          <w:rFonts w:ascii="Arial" w:hAnsi="Arial" w:cs="Arial"/>
          <w:b/>
          <w:bCs/>
          <w:color w:val="000000"/>
          <w:sz w:val="24"/>
          <w:szCs w:val="24"/>
          <w:shd w:val="clear" w:color="auto" w:fill="FFFFFF"/>
        </w:rPr>
        <w:t>Colombia Solar:</w:t>
      </w:r>
      <w:r w:rsidRPr="00FA07EA">
        <w:rPr>
          <w:rStyle w:val="eop"/>
          <w:rFonts w:ascii="Arial" w:hAnsi="Arial" w:cs="Arial"/>
          <w:color w:val="000000"/>
          <w:sz w:val="24"/>
          <w:szCs w:val="24"/>
          <w:shd w:val="clear" w:color="auto" w:fill="FFFFFF"/>
        </w:rPr>
        <w:t xml:space="preserve"> </w:t>
      </w:r>
      <w:r>
        <w:rPr>
          <w:rStyle w:val="eop"/>
          <w:rFonts w:ascii="Arial" w:hAnsi="Arial" w:cs="Arial"/>
          <w:color w:val="000000"/>
          <w:sz w:val="24"/>
          <w:szCs w:val="24"/>
          <w:shd w:val="clear" w:color="auto" w:fill="FFFFFF"/>
        </w:rPr>
        <w:t>P</w:t>
      </w:r>
      <w:r w:rsidRPr="00FA07EA">
        <w:rPr>
          <w:rStyle w:val="eop"/>
          <w:rFonts w:ascii="Arial" w:hAnsi="Arial" w:cs="Arial"/>
          <w:color w:val="000000"/>
          <w:sz w:val="24"/>
          <w:szCs w:val="24"/>
          <w:shd w:val="clear" w:color="auto" w:fill="FFFFFF"/>
        </w:rPr>
        <w:t>olítica energética liderada por el Ministerio de Minas y Energía y sus entidades adscritas, orientada a promover la autogeneración con energía solar, en cualquiera de sus modalidades, para los usuarios de los estratos 1, 2 y 3 del Sistema Interconectado Nacional (SIN) y de las Zonas No Interconectadas (ZNI), como alternativa al subsidio existente para el consumo de electricidad de estos usuarios, en el marco de la Transición Energética Justa.</w:t>
      </w:r>
      <w:r>
        <w:rPr>
          <w:rStyle w:val="Refdenotaalpie"/>
          <w:rFonts w:ascii="Arial" w:hAnsi="Arial" w:cs="Arial"/>
          <w:color w:val="000000"/>
          <w:sz w:val="24"/>
          <w:szCs w:val="24"/>
          <w:shd w:val="clear" w:color="auto" w:fill="FFFFFF"/>
        </w:rPr>
        <w:footnoteReference w:id="11"/>
      </w:r>
    </w:p>
    <w:p w14:paraId="24511C05" w14:textId="77777777" w:rsidR="00D87739" w:rsidRDefault="00D87739" w:rsidP="008E39FD">
      <w:pPr>
        <w:tabs>
          <w:tab w:val="left" w:pos="4474"/>
        </w:tabs>
        <w:spacing w:after="0"/>
        <w:jc w:val="both"/>
        <w:rPr>
          <w:rFonts w:ascii="Arial" w:hAnsi="Arial" w:cs="Arial"/>
          <w:b/>
          <w:bCs/>
          <w:sz w:val="24"/>
          <w:szCs w:val="24"/>
        </w:rPr>
      </w:pPr>
    </w:p>
    <w:p w14:paraId="027C197F" w14:textId="2C2F0EA2"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Comité de Administración:</w:t>
      </w:r>
      <w:r w:rsidRPr="00C63186">
        <w:rPr>
          <w:rFonts w:ascii="Arial" w:hAnsi="Arial" w:cs="Arial"/>
          <w:sz w:val="24"/>
          <w:szCs w:val="24"/>
        </w:rPr>
        <w:t xml:space="preserve"> Órgano colegiado del FONENERGIA, encargado de la aprobación de los Planes, Programas y/o Proyectos </w:t>
      </w:r>
      <w:r w:rsidRPr="00D87739">
        <w:rPr>
          <w:rFonts w:ascii="Arial" w:hAnsi="Arial" w:cs="Arial"/>
          <w:sz w:val="24"/>
          <w:szCs w:val="24"/>
        </w:rPr>
        <w:t>presentados, en los términos de</w:t>
      </w:r>
      <w:r w:rsidR="00D87739" w:rsidRPr="00D87739">
        <w:rPr>
          <w:rFonts w:ascii="Arial" w:hAnsi="Arial" w:cs="Arial"/>
          <w:sz w:val="24"/>
          <w:szCs w:val="24"/>
        </w:rPr>
        <w:t xml:space="preserve">l artículo 41 de </w:t>
      </w:r>
      <w:r w:rsidRPr="00D87739">
        <w:rPr>
          <w:rFonts w:ascii="Arial" w:hAnsi="Arial" w:cs="Arial"/>
          <w:sz w:val="24"/>
          <w:szCs w:val="24"/>
        </w:rPr>
        <w:t>la Ley 2099 de 202</w:t>
      </w:r>
      <w:r w:rsidR="00D87739" w:rsidRPr="00D87739">
        <w:rPr>
          <w:rFonts w:ascii="Arial" w:hAnsi="Arial" w:cs="Arial"/>
          <w:sz w:val="24"/>
          <w:szCs w:val="24"/>
        </w:rPr>
        <w:t>1, modificado por el artíc</w:t>
      </w:r>
      <w:r w:rsidR="00D87739">
        <w:rPr>
          <w:rFonts w:ascii="Arial" w:hAnsi="Arial" w:cs="Arial"/>
          <w:sz w:val="24"/>
          <w:szCs w:val="24"/>
        </w:rPr>
        <w:t>ulo 247 de la Ley 2294 de 2023,</w:t>
      </w:r>
      <w:r w:rsidRPr="00C63186">
        <w:rPr>
          <w:rFonts w:ascii="Arial" w:hAnsi="Arial" w:cs="Arial"/>
          <w:sz w:val="24"/>
          <w:szCs w:val="24"/>
        </w:rPr>
        <w:t xml:space="preserve"> </w:t>
      </w:r>
      <w:r w:rsidR="00D87739">
        <w:rPr>
          <w:rFonts w:ascii="Arial" w:hAnsi="Arial" w:cs="Arial"/>
          <w:sz w:val="24"/>
          <w:szCs w:val="24"/>
        </w:rPr>
        <w:t xml:space="preserve">así como </w:t>
      </w:r>
      <w:r w:rsidRPr="00C63186">
        <w:rPr>
          <w:rFonts w:ascii="Arial" w:hAnsi="Arial" w:cs="Arial"/>
          <w:sz w:val="24"/>
          <w:szCs w:val="24"/>
        </w:rPr>
        <w:t xml:space="preserve">las normas que la reglamentan, modifiquen o adicionen. Su composición y funciones son las definidas en el Decreto </w:t>
      </w:r>
      <w:r w:rsidRPr="00D95475">
        <w:rPr>
          <w:rFonts w:ascii="Arial" w:hAnsi="Arial" w:cs="Arial"/>
          <w:sz w:val="24"/>
          <w:szCs w:val="24"/>
          <w:highlight w:val="magenta"/>
        </w:rPr>
        <w:t>XXX</w:t>
      </w:r>
      <w:r w:rsidRPr="00C63186">
        <w:rPr>
          <w:rFonts w:ascii="Arial" w:hAnsi="Arial" w:cs="Arial"/>
          <w:sz w:val="24"/>
          <w:szCs w:val="24"/>
        </w:rPr>
        <w:t xml:space="preserve"> así como en el presente Manual. </w:t>
      </w:r>
    </w:p>
    <w:p w14:paraId="6DEABC4E" w14:textId="77777777" w:rsidR="004B40A4" w:rsidRPr="00C63186" w:rsidRDefault="004B40A4" w:rsidP="008E39FD">
      <w:pPr>
        <w:tabs>
          <w:tab w:val="left" w:pos="4474"/>
        </w:tabs>
        <w:spacing w:after="0"/>
        <w:jc w:val="both"/>
        <w:rPr>
          <w:rFonts w:ascii="Arial" w:hAnsi="Arial" w:cs="Arial"/>
          <w:sz w:val="24"/>
          <w:szCs w:val="24"/>
        </w:rPr>
      </w:pPr>
    </w:p>
    <w:p w14:paraId="6146EBC1" w14:textId="77777777" w:rsidR="004B40A4" w:rsidRPr="00FA07EA" w:rsidRDefault="004B40A4" w:rsidP="008E39FD">
      <w:pPr>
        <w:tabs>
          <w:tab w:val="left" w:pos="4474"/>
        </w:tabs>
        <w:spacing w:after="0"/>
        <w:jc w:val="both"/>
        <w:rPr>
          <w:rFonts w:ascii="Arial" w:hAnsi="Arial" w:cs="Arial"/>
          <w:sz w:val="24"/>
          <w:szCs w:val="24"/>
        </w:rPr>
      </w:pPr>
      <w:r w:rsidRPr="00FA07EA">
        <w:rPr>
          <w:rFonts w:ascii="Arial" w:hAnsi="Arial" w:cs="Arial"/>
          <w:b/>
          <w:bCs/>
          <w:sz w:val="24"/>
          <w:szCs w:val="24"/>
        </w:rPr>
        <w:t>Comunidades Energéticas</w:t>
      </w:r>
      <w:r w:rsidRPr="00FA07EA">
        <w:rPr>
          <w:rFonts w:ascii="Arial" w:hAnsi="Arial" w:cs="Arial"/>
          <w:sz w:val="24"/>
          <w:szCs w:val="24"/>
        </w:rPr>
        <w:t>: Son comunidades organizadas que surgen en virtud de un acuerdo entre personas naturales y/o jurídicas de derecho público o privado que cooperan entre sí a través de un contrato o convenio asociativo para desarrollar las siguientes actividades: generación, comercialización y uso eficiente de la energía a través del uso de Fuentes No Convencionales de Energía Renovables -FNCER-, combustibles renovables y recursos energéticos distribuidos.</w:t>
      </w:r>
      <w:r>
        <w:rPr>
          <w:rStyle w:val="Refdenotaalpie"/>
          <w:rFonts w:ascii="Arial" w:hAnsi="Arial" w:cs="Arial"/>
          <w:sz w:val="24"/>
          <w:szCs w:val="24"/>
        </w:rPr>
        <w:footnoteReference w:id="12"/>
      </w:r>
    </w:p>
    <w:p w14:paraId="78CF3FC6" w14:textId="77777777" w:rsidR="004B40A4" w:rsidRDefault="004B40A4" w:rsidP="008E39FD">
      <w:pPr>
        <w:tabs>
          <w:tab w:val="left" w:pos="4474"/>
        </w:tabs>
        <w:spacing w:after="0"/>
        <w:jc w:val="both"/>
        <w:rPr>
          <w:rStyle w:val="eop"/>
          <w:rFonts w:ascii="Arial" w:hAnsi="Arial" w:cs="Arial"/>
          <w:color w:val="000000"/>
          <w:sz w:val="24"/>
          <w:szCs w:val="24"/>
          <w:shd w:val="clear" w:color="auto" w:fill="FFFFFF"/>
        </w:rPr>
      </w:pPr>
    </w:p>
    <w:p w14:paraId="41CE8804" w14:textId="22CD2B03" w:rsidR="004B40A4" w:rsidRDefault="004B40A4" w:rsidP="008E39FD">
      <w:pPr>
        <w:tabs>
          <w:tab w:val="left" w:pos="4474"/>
        </w:tabs>
        <w:spacing w:after="0"/>
        <w:jc w:val="both"/>
        <w:rPr>
          <w:rStyle w:val="eop"/>
          <w:rFonts w:ascii="Arial" w:hAnsi="Arial" w:cs="Arial"/>
          <w:color w:val="000000"/>
          <w:sz w:val="24"/>
          <w:szCs w:val="24"/>
          <w:shd w:val="clear" w:color="auto" w:fill="FFFFFF"/>
        </w:rPr>
      </w:pPr>
      <w:r w:rsidRPr="00AA2487">
        <w:rPr>
          <w:rStyle w:val="eop"/>
          <w:rFonts w:ascii="Arial" w:hAnsi="Arial" w:cs="Arial"/>
          <w:b/>
          <w:bCs/>
          <w:color w:val="000000"/>
          <w:sz w:val="24"/>
          <w:szCs w:val="24"/>
          <w:shd w:val="clear" w:color="auto" w:fill="FFFFFF"/>
        </w:rPr>
        <w:t>Comercialización:</w:t>
      </w:r>
      <w:r w:rsidRPr="00D74BC3">
        <w:rPr>
          <w:rStyle w:val="eop"/>
          <w:rFonts w:ascii="Arial" w:hAnsi="Arial" w:cs="Arial"/>
          <w:color w:val="000000"/>
          <w:sz w:val="24"/>
          <w:szCs w:val="24"/>
          <w:shd w:val="clear" w:color="auto" w:fill="FFFFFF"/>
        </w:rPr>
        <w:t xml:space="preserve"> actividad consistente en la compra de energía eléctrica y su venta a los usuarios finales, </w:t>
      </w:r>
      <w:r w:rsidRPr="002821A7">
        <w:rPr>
          <w:rStyle w:val="eop"/>
          <w:rFonts w:ascii="Arial" w:hAnsi="Arial" w:cs="Arial"/>
          <w:color w:val="000000"/>
          <w:sz w:val="24"/>
          <w:szCs w:val="24"/>
          <w:shd w:val="clear" w:color="auto" w:fill="FFFFFF"/>
        </w:rPr>
        <w:t xml:space="preserve">regulados o no-regulados, que se sujetará a las disposiciones previstas en </w:t>
      </w:r>
      <w:r w:rsidR="00D87739" w:rsidRPr="002821A7">
        <w:rPr>
          <w:rStyle w:val="eop"/>
          <w:rFonts w:ascii="Arial" w:hAnsi="Arial" w:cs="Arial"/>
          <w:color w:val="000000"/>
          <w:sz w:val="24"/>
          <w:szCs w:val="24"/>
          <w:shd w:val="clear" w:color="auto" w:fill="FFFFFF"/>
        </w:rPr>
        <w:t>la</w:t>
      </w:r>
      <w:r w:rsidRPr="002821A7">
        <w:rPr>
          <w:rStyle w:val="eop"/>
          <w:rFonts w:ascii="Arial" w:hAnsi="Arial" w:cs="Arial"/>
          <w:color w:val="000000"/>
          <w:sz w:val="24"/>
          <w:szCs w:val="24"/>
          <w:shd w:val="clear" w:color="auto" w:fill="FFFFFF"/>
        </w:rPr>
        <w:t xml:space="preserve"> Ley</w:t>
      </w:r>
      <w:r w:rsidR="00D87739" w:rsidRPr="002821A7">
        <w:rPr>
          <w:rStyle w:val="eop"/>
          <w:rFonts w:ascii="Arial" w:hAnsi="Arial" w:cs="Arial"/>
          <w:color w:val="000000"/>
          <w:sz w:val="24"/>
          <w:szCs w:val="24"/>
          <w:shd w:val="clear" w:color="auto" w:fill="FFFFFF"/>
        </w:rPr>
        <w:t xml:space="preserve"> 143</w:t>
      </w:r>
      <w:r w:rsidR="002821A7" w:rsidRPr="002821A7">
        <w:rPr>
          <w:rStyle w:val="eop"/>
          <w:rFonts w:ascii="Arial" w:hAnsi="Arial" w:cs="Arial"/>
          <w:color w:val="000000"/>
          <w:sz w:val="24"/>
          <w:szCs w:val="24"/>
          <w:shd w:val="clear" w:color="auto" w:fill="FFFFFF"/>
        </w:rPr>
        <w:t xml:space="preserve"> de</w:t>
      </w:r>
      <w:r w:rsidR="002821A7">
        <w:rPr>
          <w:rStyle w:val="eop"/>
          <w:rFonts w:ascii="Arial" w:hAnsi="Arial" w:cs="Arial"/>
          <w:color w:val="000000"/>
          <w:sz w:val="24"/>
          <w:szCs w:val="24"/>
          <w:shd w:val="clear" w:color="auto" w:fill="FFFFFF"/>
        </w:rPr>
        <w:t xml:space="preserve"> 1994</w:t>
      </w:r>
      <w:r w:rsidRPr="00D74BC3">
        <w:rPr>
          <w:rStyle w:val="eop"/>
          <w:rFonts w:ascii="Arial" w:hAnsi="Arial" w:cs="Arial"/>
          <w:color w:val="000000"/>
          <w:sz w:val="24"/>
          <w:szCs w:val="24"/>
          <w:shd w:val="clear" w:color="auto" w:fill="FFFFFF"/>
        </w:rPr>
        <w:t xml:space="preserve"> y en la de servicios públicos domiciliarios en lo pertinente</w:t>
      </w:r>
      <w:r>
        <w:rPr>
          <w:rStyle w:val="Refdenotaalpie"/>
          <w:rFonts w:ascii="Arial" w:hAnsi="Arial" w:cs="Arial"/>
          <w:color w:val="000000"/>
          <w:sz w:val="24"/>
          <w:szCs w:val="24"/>
          <w:shd w:val="clear" w:color="auto" w:fill="FFFFFF"/>
        </w:rPr>
        <w:footnoteReference w:id="13"/>
      </w:r>
      <w:r w:rsidRPr="00D74BC3">
        <w:rPr>
          <w:rStyle w:val="eop"/>
          <w:rFonts w:ascii="Arial" w:hAnsi="Arial" w:cs="Arial"/>
          <w:color w:val="000000"/>
          <w:sz w:val="24"/>
          <w:szCs w:val="24"/>
          <w:shd w:val="clear" w:color="auto" w:fill="FFFFFF"/>
        </w:rPr>
        <w:t>.</w:t>
      </w:r>
    </w:p>
    <w:p w14:paraId="2B44C950" w14:textId="77777777" w:rsidR="004B40A4" w:rsidRDefault="004B40A4" w:rsidP="008E39FD">
      <w:pPr>
        <w:tabs>
          <w:tab w:val="left" w:pos="4474"/>
        </w:tabs>
        <w:spacing w:after="0"/>
        <w:jc w:val="both"/>
        <w:rPr>
          <w:rStyle w:val="eop"/>
          <w:rFonts w:ascii="Arial" w:hAnsi="Arial" w:cs="Arial"/>
          <w:color w:val="000000" w:themeColor="text1"/>
          <w:sz w:val="24"/>
          <w:szCs w:val="24"/>
        </w:rPr>
      </w:pPr>
    </w:p>
    <w:p w14:paraId="07DC9B60" w14:textId="7524ACC1" w:rsidR="004B40A4" w:rsidRDefault="004B40A4" w:rsidP="008E39FD">
      <w:pPr>
        <w:tabs>
          <w:tab w:val="left" w:pos="4474"/>
        </w:tabs>
        <w:spacing w:after="0"/>
        <w:jc w:val="both"/>
        <w:rPr>
          <w:rFonts w:ascii="Arial" w:hAnsi="Arial" w:cs="Arial"/>
          <w:b/>
          <w:bCs/>
          <w:sz w:val="24"/>
          <w:szCs w:val="24"/>
        </w:rPr>
      </w:pPr>
      <w:r w:rsidRPr="00B06F4F">
        <w:rPr>
          <w:rStyle w:val="eop"/>
          <w:rFonts w:ascii="Arial" w:hAnsi="Arial" w:cs="Arial"/>
          <w:b/>
          <w:bCs/>
          <w:color w:val="000000"/>
          <w:sz w:val="24"/>
          <w:szCs w:val="24"/>
          <w:shd w:val="clear" w:color="auto" w:fill="FFFFFF"/>
        </w:rPr>
        <w:t>Comercialización</w:t>
      </w:r>
      <w:r>
        <w:rPr>
          <w:rStyle w:val="eop"/>
          <w:rFonts w:ascii="Arial" w:hAnsi="Arial" w:cs="Arial"/>
          <w:b/>
          <w:bCs/>
          <w:color w:val="000000"/>
          <w:sz w:val="24"/>
          <w:szCs w:val="24"/>
          <w:shd w:val="clear" w:color="auto" w:fill="FFFFFF"/>
        </w:rPr>
        <w:t xml:space="preserve"> de energía</w:t>
      </w:r>
      <w:r w:rsidRPr="00B06F4F">
        <w:rPr>
          <w:rStyle w:val="eop"/>
          <w:rFonts w:ascii="Arial" w:hAnsi="Arial" w:cs="Arial"/>
          <w:b/>
          <w:bCs/>
          <w:color w:val="000000"/>
          <w:sz w:val="24"/>
          <w:szCs w:val="24"/>
          <w:shd w:val="clear" w:color="auto" w:fill="FFFFFF"/>
        </w:rPr>
        <w:t xml:space="preserve">: </w:t>
      </w:r>
      <w:r w:rsidRPr="002821A7">
        <w:rPr>
          <w:rStyle w:val="eop"/>
          <w:rFonts w:ascii="Arial" w:hAnsi="Arial" w:cs="Arial"/>
          <w:color w:val="000000"/>
          <w:sz w:val="24"/>
          <w:szCs w:val="24"/>
          <w:shd w:val="clear" w:color="auto" w:fill="FFFFFF"/>
        </w:rPr>
        <w:t xml:space="preserve">Consiste en la compra y venta de energía eléctrica en el mercado mayorista, bien sea en forma exclusiva o combinada con otras actividades del sector eléctrico, cualquiera </w:t>
      </w:r>
      <w:r w:rsidR="002821A7" w:rsidRPr="002821A7">
        <w:rPr>
          <w:rStyle w:val="eop"/>
          <w:rFonts w:ascii="Arial" w:hAnsi="Arial" w:cs="Arial"/>
          <w:color w:val="000000"/>
          <w:sz w:val="24"/>
          <w:szCs w:val="24"/>
          <w:shd w:val="clear" w:color="auto" w:fill="FFFFFF"/>
        </w:rPr>
        <w:t xml:space="preserve">que </w:t>
      </w:r>
      <w:r w:rsidRPr="002821A7">
        <w:rPr>
          <w:rStyle w:val="eop"/>
          <w:rFonts w:ascii="Arial" w:hAnsi="Arial" w:cs="Arial"/>
          <w:color w:val="000000"/>
          <w:sz w:val="24"/>
          <w:szCs w:val="24"/>
          <w:shd w:val="clear" w:color="auto" w:fill="FFFFFF"/>
        </w:rPr>
        <w:t>sea la actividad</w:t>
      </w:r>
      <w:r w:rsidRPr="00B06F4F">
        <w:rPr>
          <w:rStyle w:val="eop"/>
          <w:rFonts w:ascii="Arial" w:hAnsi="Arial" w:cs="Arial"/>
          <w:color w:val="000000"/>
          <w:sz w:val="24"/>
          <w:szCs w:val="24"/>
          <w:shd w:val="clear" w:color="auto" w:fill="FFFFFF"/>
        </w:rPr>
        <w:t xml:space="preserve"> </w:t>
      </w:r>
      <w:r w:rsidR="33ADDC9C" w:rsidRPr="00B06F4F">
        <w:rPr>
          <w:rStyle w:val="eop"/>
          <w:rFonts w:ascii="Arial" w:hAnsi="Arial" w:cs="Arial"/>
          <w:color w:val="000000"/>
          <w:sz w:val="24"/>
          <w:szCs w:val="24"/>
          <w:shd w:val="clear" w:color="auto" w:fill="FFFFFF"/>
        </w:rPr>
        <w:t>principal.</w:t>
      </w:r>
      <w:r w:rsidR="0075090F">
        <w:rPr>
          <w:rStyle w:val="Refdenotaalpie"/>
          <w:rFonts w:ascii="Arial" w:hAnsi="Arial" w:cs="Arial"/>
          <w:color w:val="000000"/>
          <w:sz w:val="24"/>
          <w:szCs w:val="24"/>
          <w:shd w:val="clear" w:color="auto" w:fill="FFFFFF"/>
        </w:rPr>
        <w:footnoteReference w:id="14"/>
      </w:r>
      <w:r w:rsidR="33ADDC9C" w:rsidRPr="00B06F4F">
        <w:rPr>
          <w:rStyle w:val="eop"/>
          <w:rFonts w:ascii="Arial" w:hAnsi="Arial" w:cs="Arial"/>
          <w:color w:val="000000"/>
          <w:sz w:val="24"/>
          <w:szCs w:val="24"/>
          <w:shd w:val="clear" w:color="auto" w:fill="FFFFFF"/>
        </w:rPr>
        <w:t xml:space="preserve"> </w:t>
      </w:r>
    </w:p>
    <w:p w14:paraId="7D8E932F" w14:textId="77777777" w:rsidR="0075090F" w:rsidRDefault="0075090F" w:rsidP="008E39FD">
      <w:pPr>
        <w:tabs>
          <w:tab w:val="left" w:pos="4474"/>
        </w:tabs>
        <w:spacing w:after="0"/>
        <w:jc w:val="both"/>
        <w:rPr>
          <w:rFonts w:ascii="Arial" w:hAnsi="Arial" w:cs="Arial"/>
          <w:b/>
          <w:bCs/>
          <w:sz w:val="24"/>
          <w:szCs w:val="24"/>
        </w:rPr>
      </w:pPr>
    </w:p>
    <w:p w14:paraId="354153E5" w14:textId="77777777" w:rsidR="004B40A4" w:rsidRPr="00AA2487"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Conexión</w:t>
      </w:r>
      <w:r>
        <w:rPr>
          <w:rFonts w:ascii="Arial" w:hAnsi="Arial" w:cs="Arial"/>
          <w:b/>
          <w:bCs/>
          <w:sz w:val="24"/>
          <w:szCs w:val="24"/>
        </w:rPr>
        <w:t xml:space="preserve"> de usuario</w:t>
      </w:r>
      <w:r w:rsidRPr="00C63186">
        <w:rPr>
          <w:rFonts w:ascii="Arial" w:hAnsi="Arial" w:cs="Arial"/>
          <w:b/>
          <w:bCs/>
          <w:sz w:val="24"/>
          <w:szCs w:val="24"/>
        </w:rPr>
        <w:t>:</w:t>
      </w:r>
      <w:r w:rsidRPr="00C63186">
        <w:rPr>
          <w:rFonts w:ascii="Arial" w:hAnsi="Arial" w:cs="Arial"/>
          <w:sz w:val="24"/>
          <w:szCs w:val="24"/>
        </w:rPr>
        <w:t xml:space="preserve"> Conjunto de activos que permiten conectar a un usuario residencial con las redes de distribución de energía eléctrica. La conexión se compone de la acometida y el medidor</w:t>
      </w:r>
      <w:r>
        <w:rPr>
          <w:rStyle w:val="Refdenotaalpie"/>
          <w:rFonts w:ascii="Arial" w:hAnsi="Arial" w:cs="Arial"/>
          <w:sz w:val="24"/>
          <w:szCs w:val="24"/>
        </w:rPr>
        <w:footnoteReference w:id="15"/>
      </w:r>
      <w:r w:rsidRPr="00C63186">
        <w:rPr>
          <w:rFonts w:ascii="Arial" w:hAnsi="Arial" w:cs="Arial"/>
          <w:sz w:val="24"/>
          <w:szCs w:val="24"/>
        </w:rPr>
        <w:t>.</w:t>
      </w:r>
    </w:p>
    <w:p w14:paraId="263C3D81" w14:textId="77777777" w:rsidR="004B40A4" w:rsidRDefault="004B40A4" w:rsidP="008E39FD">
      <w:pPr>
        <w:tabs>
          <w:tab w:val="left" w:pos="4474"/>
        </w:tabs>
        <w:spacing w:after="0"/>
        <w:jc w:val="both"/>
        <w:rPr>
          <w:rFonts w:ascii="Arial" w:hAnsi="Arial" w:cs="Arial"/>
          <w:sz w:val="24"/>
          <w:szCs w:val="24"/>
        </w:rPr>
      </w:pPr>
    </w:p>
    <w:p w14:paraId="70103203" w14:textId="1BD8D4A1" w:rsidR="004B40A4" w:rsidRDefault="004B40A4" w:rsidP="008E39FD">
      <w:pPr>
        <w:tabs>
          <w:tab w:val="left" w:pos="4474"/>
        </w:tabs>
        <w:spacing w:after="0"/>
        <w:jc w:val="both"/>
        <w:rPr>
          <w:rFonts w:ascii="Arial" w:hAnsi="Arial" w:cs="Arial"/>
          <w:sz w:val="24"/>
          <w:szCs w:val="24"/>
        </w:rPr>
      </w:pPr>
      <w:r w:rsidRPr="00B06F4F">
        <w:rPr>
          <w:rFonts w:ascii="Arial" w:hAnsi="Arial" w:cs="Arial"/>
          <w:b/>
          <w:bCs/>
          <w:sz w:val="24"/>
          <w:szCs w:val="24"/>
        </w:rPr>
        <w:lastRenderedPageBreak/>
        <w:t>Consumo de subsistencia:</w:t>
      </w:r>
      <w:r w:rsidRPr="00B06F4F">
        <w:rPr>
          <w:rFonts w:ascii="Arial" w:hAnsi="Arial" w:cs="Arial"/>
          <w:sz w:val="24"/>
          <w:szCs w:val="24"/>
        </w:rPr>
        <w:t xml:space="preserve"> </w:t>
      </w:r>
      <w:r w:rsidR="002821A7">
        <w:rPr>
          <w:rFonts w:ascii="Arial" w:hAnsi="Arial" w:cs="Arial"/>
          <w:sz w:val="24"/>
          <w:szCs w:val="24"/>
        </w:rPr>
        <w:t>C</w:t>
      </w:r>
      <w:r w:rsidRPr="00B06F4F">
        <w:rPr>
          <w:rFonts w:ascii="Arial" w:hAnsi="Arial" w:cs="Arial"/>
          <w:sz w:val="24"/>
          <w:szCs w:val="24"/>
        </w:rPr>
        <w:t>antidad mínima de electricidad utilizada en un mes por un usuario típico para satisfacer las necesidades básicas que solamente puedan ser satisfechas mediante esta forma de energía final. Se establece el Consumo de Subsistencia en 173 kWh-mes para alturas inferiores a 1.000 metros sobre el nivel del mar, y en 130 kWh-mes para alturas iguales o superiores a 1.000 metros sobre el nivel del mar.</w:t>
      </w:r>
      <w:r>
        <w:rPr>
          <w:rStyle w:val="Refdenotaalpie"/>
          <w:rFonts w:ascii="Arial" w:hAnsi="Arial" w:cs="Arial"/>
          <w:sz w:val="24"/>
          <w:szCs w:val="24"/>
        </w:rPr>
        <w:footnoteReference w:id="16"/>
      </w:r>
    </w:p>
    <w:p w14:paraId="152FFA2F" w14:textId="77777777" w:rsidR="000A3136" w:rsidRDefault="000A3136" w:rsidP="008E39FD">
      <w:pPr>
        <w:tabs>
          <w:tab w:val="left" w:pos="4474"/>
        </w:tabs>
        <w:spacing w:after="0"/>
        <w:jc w:val="both"/>
        <w:rPr>
          <w:rFonts w:ascii="Arial" w:hAnsi="Arial" w:cs="Arial"/>
          <w:sz w:val="24"/>
          <w:szCs w:val="24"/>
        </w:rPr>
      </w:pPr>
    </w:p>
    <w:p w14:paraId="72D0ADA0" w14:textId="004E2E38" w:rsidR="000A3136" w:rsidRPr="000A3136" w:rsidRDefault="000A3136" w:rsidP="008E39FD">
      <w:pPr>
        <w:tabs>
          <w:tab w:val="left" w:pos="4474"/>
        </w:tabs>
        <w:spacing w:after="0"/>
        <w:jc w:val="both"/>
        <w:rPr>
          <w:rFonts w:ascii="Arial" w:hAnsi="Arial" w:cs="Arial"/>
          <w:b/>
          <w:bCs/>
          <w:sz w:val="24"/>
          <w:szCs w:val="24"/>
        </w:rPr>
      </w:pPr>
      <w:r w:rsidRPr="000A3136">
        <w:rPr>
          <w:rFonts w:ascii="Arial" w:hAnsi="Arial" w:cs="Arial"/>
          <w:b/>
          <w:bCs/>
          <w:sz w:val="24"/>
          <w:szCs w:val="24"/>
          <w:highlight w:val="yellow"/>
        </w:rPr>
        <w:t>Contratación derivada:</w:t>
      </w:r>
      <w:r w:rsidRPr="000A3136">
        <w:rPr>
          <w:rFonts w:ascii="Arial" w:hAnsi="Arial" w:cs="Arial"/>
          <w:b/>
          <w:bCs/>
          <w:sz w:val="24"/>
          <w:szCs w:val="24"/>
        </w:rPr>
        <w:t xml:space="preserve"> </w:t>
      </w:r>
    </w:p>
    <w:p w14:paraId="385B871D" w14:textId="77777777" w:rsidR="004B40A4" w:rsidRPr="00C63186" w:rsidRDefault="004B40A4" w:rsidP="008E39FD">
      <w:pPr>
        <w:tabs>
          <w:tab w:val="left" w:pos="4474"/>
        </w:tabs>
        <w:spacing w:after="0"/>
        <w:jc w:val="both"/>
        <w:rPr>
          <w:rFonts w:ascii="Arial" w:hAnsi="Arial" w:cs="Arial"/>
          <w:b/>
          <w:bCs/>
          <w:sz w:val="24"/>
          <w:szCs w:val="24"/>
        </w:rPr>
      </w:pPr>
    </w:p>
    <w:p w14:paraId="2A5B3E46"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Convocatorias:</w:t>
      </w:r>
      <w:r w:rsidRPr="0025137C">
        <w:rPr>
          <w:rFonts w:ascii="Arial" w:hAnsi="Arial" w:cs="Arial"/>
          <w:sz w:val="24"/>
          <w:szCs w:val="24"/>
        </w:rPr>
        <w:t xml:space="preserve"> Mecanismo de invitación para la presentación de Planes, Programas o Proyectos que pretendan la Financiación o Cofinanciación </w:t>
      </w:r>
      <w:bookmarkStart w:id="9" w:name="_Hlk164757439"/>
      <w:r w:rsidRPr="0025137C">
        <w:rPr>
          <w:rFonts w:ascii="Arial" w:hAnsi="Arial" w:cs="Arial"/>
          <w:sz w:val="24"/>
          <w:szCs w:val="24"/>
        </w:rPr>
        <w:t xml:space="preserve">por parte de FONENERGÍA y que tengan por objeto </w:t>
      </w:r>
      <w:bookmarkEnd w:id="9"/>
      <w:r w:rsidRPr="0025137C">
        <w:rPr>
          <w:rFonts w:ascii="Arial" w:hAnsi="Arial" w:cs="Arial"/>
          <w:sz w:val="24"/>
          <w:szCs w:val="24"/>
        </w:rPr>
        <w:t>la ampliación de cobertura en la prestación del servicio público domiciliario de energía eléctrica o normalización de redes eléctricas.</w:t>
      </w:r>
      <w:r w:rsidRPr="4622A9B7">
        <w:rPr>
          <w:rFonts w:ascii="Arial" w:hAnsi="Arial" w:cs="Arial"/>
          <w:sz w:val="24"/>
          <w:szCs w:val="24"/>
        </w:rPr>
        <w:t xml:space="preserve"> </w:t>
      </w:r>
    </w:p>
    <w:p w14:paraId="0970DC00" w14:textId="77777777" w:rsidR="004B40A4" w:rsidRPr="00C63186" w:rsidRDefault="004B40A4" w:rsidP="008E39FD">
      <w:pPr>
        <w:tabs>
          <w:tab w:val="left" w:pos="4474"/>
        </w:tabs>
        <w:spacing w:after="0"/>
        <w:jc w:val="both"/>
        <w:rPr>
          <w:rFonts w:ascii="Arial" w:hAnsi="Arial" w:cs="Arial"/>
          <w:sz w:val="24"/>
          <w:szCs w:val="24"/>
        </w:rPr>
      </w:pPr>
    </w:p>
    <w:p w14:paraId="49B493F0" w14:textId="427A3E1C" w:rsidR="004B40A4" w:rsidRPr="00C63186" w:rsidRDefault="004B40A4" w:rsidP="008E39FD">
      <w:pPr>
        <w:tabs>
          <w:tab w:val="left" w:pos="4474"/>
        </w:tabs>
        <w:spacing w:after="0"/>
        <w:jc w:val="both"/>
        <w:rPr>
          <w:rFonts w:ascii="Arial" w:hAnsi="Arial" w:cs="Arial"/>
          <w:sz w:val="24"/>
          <w:szCs w:val="24"/>
        </w:rPr>
      </w:pPr>
      <w:r w:rsidRPr="00067C74">
        <w:rPr>
          <w:rFonts w:ascii="Arial" w:hAnsi="Arial" w:cs="Arial"/>
          <w:b/>
          <w:bCs/>
          <w:sz w:val="24"/>
          <w:szCs w:val="24"/>
        </w:rPr>
        <w:t xml:space="preserve">Costos de administración: </w:t>
      </w:r>
      <w:r w:rsidRPr="00067C74">
        <w:rPr>
          <w:rFonts w:ascii="Arial" w:hAnsi="Arial" w:cs="Arial"/>
          <w:sz w:val="24"/>
          <w:szCs w:val="24"/>
        </w:rPr>
        <w:t xml:space="preserve">Emolumentos que se asignan al Operador de Red-OR, a la Persona Prestadora de Servicios Públicos o cualquier otra persona jurídica que ejecute proyectos financiados </w:t>
      </w:r>
      <w:r w:rsidR="00FB09C6">
        <w:rPr>
          <w:rFonts w:ascii="Arial" w:hAnsi="Arial" w:cs="Arial"/>
          <w:sz w:val="24"/>
          <w:szCs w:val="24"/>
        </w:rPr>
        <w:t>con recursos del</w:t>
      </w:r>
      <w:r w:rsidRPr="00067C74">
        <w:rPr>
          <w:rFonts w:ascii="Arial" w:hAnsi="Arial" w:cs="Arial"/>
          <w:sz w:val="24"/>
          <w:szCs w:val="24"/>
        </w:rPr>
        <w:t xml:space="preserve"> FONENERGIA.</w:t>
      </w:r>
      <w:r w:rsidRPr="00C63186">
        <w:rPr>
          <w:rFonts w:ascii="Arial" w:hAnsi="Arial" w:cs="Arial"/>
          <w:sz w:val="24"/>
          <w:szCs w:val="24"/>
        </w:rPr>
        <w:t xml:space="preserve"> </w:t>
      </w:r>
    </w:p>
    <w:p w14:paraId="2F9C30E9" w14:textId="77777777" w:rsidR="004B40A4" w:rsidRPr="00C63186" w:rsidRDefault="004B40A4" w:rsidP="008E39FD">
      <w:pPr>
        <w:tabs>
          <w:tab w:val="left" w:pos="4474"/>
        </w:tabs>
        <w:spacing w:after="0"/>
        <w:jc w:val="both"/>
        <w:rPr>
          <w:rFonts w:ascii="Arial" w:hAnsi="Arial" w:cs="Arial"/>
          <w:b/>
          <w:bCs/>
          <w:sz w:val="24"/>
          <w:szCs w:val="24"/>
        </w:rPr>
      </w:pPr>
    </w:p>
    <w:p w14:paraId="160D2281" w14:textId="77777777" w:rsidR="004B40A4"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Criterios de Priorización de Planes, Programas y/o Proyectos:</w:t>
      </w:r>
      <w:r w:rsidRPr="0025137C">
        <w:rPr>
          <w:rFonts w:ascii="Arial" w:hAnsi="Arial" w:cs="Arial"/>
          <w:sz w:val="24"/>
          <w:szCs w:val="24"/>
        </w:rPr>
        <w:t xml:space="preserve"> Criterios adoptados en este Manual, en los cuales se fijan las condiciones, parámetros y requisitos, incluyendo variables energéticas, ambientales, financieras, económicas y sociales, para priorizar los Planes, Programas y/o Proyectos que se presenten al FONENERGÍA para su financiación o que se estructuren por el Equipo Técnico del Fondo.</w:t>
      </w:r>
    </w:p>
    <w:p w14:paraId="10F169C3" w14:textId="77777777" w:rsidR="004B40A4" w:rsidRPr="00C63186" w:rsidRDefault="004B40A4" w:rsidP="008E39FD">
      <w:pPr>
        <w:tabs>
          <w:tab w:val="left" w:pos="4474"/>
        </w:tabs>
        <w:spacing w:after="0"/>
        <w:jc w:val="both"/>
        <w:rPr>
          <w:rFonts w:ascii="Arial" w:hAnsi="Arial" w:cs="Arial"/>
          <w:sz w:val="24"/>
          <w:szCs w:val="24"/>
        </w:rPr>
      </w:pPr>
    </w:p>
    <w:p w14:paraId="1873087A" w14:textId="103EC705"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Desembolso:</w:t>
      </w:r>
      <w:r w:rsidRPr="00C63186">
        <w:rPr>
          <w:rFonts w:ascii="Arial" w:hAnsi="Arial" w:cs="Arial"/>
          <w:sz w:val="24"/>
          <w:szCs w:val="24"/>
        </w:rPr>
        <w:t xml:space="preserve"> Giro de recursos del FONENERGIA que efectú</w:t>
      </w:r>
      <w:r w:rsidR="002821A7">
        <w:rPr>
          <w:rFonts w:ascii="Arial" w:hAnsi="Arial" w:cs="Arial"/>
          <w:sz w:val="24"/>
          <w:szCs w:val="24"/>
        </w:rPr>
        <w:t>a</w:t>
      </w:r>
      <w:r w:rsidRPr="00C63186">
        <w:rPr>
          <w:rFonts w:ascii="Arial" w:hAnsi="Arial" w:cs="Arial"/>
          <w:sz w:val="24"/>
          <w:szCs w:val="24"/>
        </w:rPr>
        <w:t xml:space="preserve"> el Ministerio de Minas y Energía, previa solicitud del respectivo Gerente Técnico o de la persona que este determine, según los términos y condiciones fijados en este Manual, con ocasión o como resultado de las obligaciones derivadas de los contratos o convenios que se celebren para la financiación de Planes, Programas y/o Proyectos.</w:t>
      </w:r>
    </w:p>
    <w:p w14:paraId="1018F15C" w14:textId="77777777" w:rsidR="004B40A4" w:rsidRPr="00C63186" w:rsidRDefault="004B40A4" w:rsidP="008E39FD">
      <w:pPr>
        <w:tabs>
          <w:tab w:val="left" w:pos="4474"/>
        </w:tabs>
        <w:spacing w:after="0"/>
        <w:jc w:val="both"/>
        <w:rPr>
          <w:rFonts w:ascii="Arial" w:hAnsi="Arial" w:cs="Arial"/>
          <w:sz w:val="24"/>
          <w:szCs w:val="24"/>
        </w:rPr>
      </w:pPr>
    </w:p>
    <w:p w14:paraId="27F02360" w14:textId="77777777" w:rsidR="004B40A4" w:rsidRPr="0025137C"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Día:</w:t>
      </w:r>
      <w:r w:rsidRPr="0025137C">
        <w:rPr>
          <w:rFonts w:ascii="Arial" w:hAnsi="Arial" w:cs="Arial"/>
          <w:sz w:val="24"/>
          <w:szCs w:val="24"/>
        </w:rPr>
        <w:t xml:space="preserve"> Significa un día calendario. </w:t>
      </w:r>
    </w:p>
    <w:p w14:paraId="4289E242" w14:textId="77777777" w:rsidR="004B40A4" w:rsidRPr="0025137C" w:rsidRDefault="004B40A4" w:rsidP="008E39FD">
      <w:pPr>
        <w:tabs>
          <w:tab w:val="left" w:pos="4474"/>
        </w:tabs>
        <w:spacing w:after="0"/>
        <w:jc w:val="both"/>
        <w:rPr>
          <w:rFonts w:ascii="Arial" w:hAnsi="Arial" w:cs="Arial"/>
          <w:sz w:val="24"/>
          <w:szCs w:val="24"/>
        </w:rPr>
      </w:pPr>
    </w:p>
    <w:p w14:paraId="3EB9C349"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Día Hábil:</w:t>
      </w:r>
      <w:r w:rsidRPr="0025137C">
        <w:rPr>
          <w:rFonts w:ascii="Arial" w:hAnsi="Arial" w:cs="Arial"/>
          <w:sz w:val="24"/>
          <w:szCs w:val="24"/>
        </w:rPr>
        <w:t xml:space="preserve"> Significa cualquier día, excepto los sábados, domingos y festivos en la República de Colombia.</w:t>
      </w:r>
      <w:r w:rsidRPr="00C63186">
        <w:rPr>
          <w:rFonts w:ascii="Arial" w:hAnsi="Arial" w:cs="Arial"/>
          <w:sz w:val="24"/>
          <w:szCs w:val="24"/>
        </w:rPr>
        <w:t xml:space="preserve"> </w:t>
      </w:r>
    </w:p>
    <w:p w14:paraId="7785A208" w14:textId="77777777" w:rsidR="004B40A4" w:rsidRPr="00C63186" w:rsidRDefault="004B40A4" w:rsidP="008E39FD">
      <w:pPr>
        <w:tabs>
          <w:tab w:val="left" w:pos="4474"/>
        </w:tabs>
        <w:spacing w:after="0"/>
        <w:jc w:val="both"/>
        <w:rPr>
          <w:rFonts w:ascii="Arial" w:hAnsi="Arial" w:cs="Arial"/>
          <w:sz w:val="24"/>
          <w:szCs w:val="24"/>
        </w:rPr>
      </w:pPr>
    </w:p>
    <w:p w14:paraId="5CA5F6EE"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Emergencias en las Zonas no Interconectadas:</w:t>
      </w:r>
      <w:r w:rsidRPr="00C63186">
        <w:rPr>
          <w:rFonts w:ascii="Arial" w:hAnsi="Arial" w:cs="Arial"/>
          <w:sz w:val="24"/>
          <w:szCs w:val="24"/>
        </w:rPr>
        <w:t xml:space="preserve"> Situación que causa la indisponibilidad parcial o total de un activo de generación o de distribución en ZNI. </w:t>
      </w:r>
    </w:p>
    <w:p w14:paraId="65FEE332" w14:textId="77777777" w:rsidR="004B40A4" w:rsidRPr="00C63186" w:rsidRDefault="004B40A4" w:rsidP="008E39FD">
      <w:pPr>
        <w:tabs>
          <w:tab w:val="left" w:pos="4474"/>
        </w:tabs>
        <w:spacing w:after="0"/>
        <w:jc w:val="both"/>
        <w:rPr>
          <w:rFonts w:ascii="Arial" w:hAnsi="Arial" w:cs="Arial"/>
          <w:sz w:val="24"/>
          <w:szCs w:val="24"/>
        </w:rPr>
      </w:pPr>
    </w:p>
    <w:p w14:paraId="7E5EF417" w14:textId="77777777" w:rsidR="004B40A4"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Equipo Técnico:</w:t>
      </w:r>
      <w:r w:rsidRPr="0025137C">
        <w:rPr>
          <w:rFonts w:ascii="Arial" w:hAnsi="Arial" w:cs="Arial"/>
          <w:sz w:val="24"/>
          <w:szCs w:val="24"/>
        </w:rPr>
        <w:t xml:space="preserve"> Equipo de trabajo a que hace referencia el </w:t>
      </w:r>
      <w:r w:rsidRPr="00C85FA9">
        <w:rPr>
          <w:rFonts w:ascii="Arial" w:hAnsi="Arial" w:cs="Arial"/>
          <w:sz w:val="24"/>
          <w:szCs w:val="24"/>
        </w:rPr>
        <w:t>artículo 2.2.8.3.3.2.1. del</w:t>
      </w:r>
      <w:r w:rsidRPr="0025137C">
        <w:rPr>
          <w:rFonts w:ascii="Arial" w:hAnsi="Arial" w:cs="Arial"/>
          <w:sz w:val="24"/>
          <w:szCs w:val="24"/>
        </w:rPr>
        <w:t xml:space="preserve"> Decreto 1073 de 2015, modificado por el Decreto </w:t>
      </w:r>
      <w:r w:rsidRPr="004826F2">
        <w:rPr>
          <w:rFonts w:ascii="Arial" w:hAnsi="Arial" w:cs="Arial"/>
          <w:sz w:val="24"/>
          <w:szCs w:val="24"/>
          <w:highlight w:val="yellow"/>
        </w:rPr>
        <w:t>XXXX</w:t>
      </w:r>
      <w:r w:rsidRPr="0025137C">
        <w:rPr>
          <w:rFonts w:ascii="Arial" w:hAnsi="Arial" w:cs="Arial"/>
          <w:sz w:val="24"/>
          <w:szCs w:val="24"/>
        </w:rPr>
        <w:t>, que adelantará las funciones señaladas en la Sección 3.2 del capítulo 3 del Título VIII del mencionado Decreto 1073 de 2015.</w:t>
      </w:r>
    </w:p>
    <w:p w14:paraId="1BC70B05" w14:textId="77777777" w:rsidR="004B40A4" w:rsidRDefault="004B40A4" w:rsidP="008E39FD">
      <w:pPr>
        <w:tabs>
          <w:tab w:val="left" w:pos="4474"/>
        </w:tabs>
        <w:spacing w:after="0"/>
        <w:jc w:val="both"/>
        <w:rPr>
          <w:rFonts w:ascii="Arial" w:hAnsi="Arial" w:cs="Arial"/>
          <w:sz w:val="24"/>
          <w:szCs w:val="24"/>
        </w:rPr>
      </w:pPr>
    </w:p>
    <w:p w14:paraId="3DFE919D" w14:textId="4921AA35" w:rsidR="004B40A4" w:rsidRPr="00C63186" w:rsidRDefault="004B40A4" w:rsidP="008E39FD">
      <w:pPr>
        <w:tabs>
          <w:tab w:val="left" w:pos="4474"/>
        </w:tabs>
        <w:spacing w:after="0"/>
        <w:jc w:val="both"/>
        <w:rPr>
          <w:rFonts w:ascii="Arial" w:hAnsi="Arial" w:cs="Arial"/>
          <w:b/>
          <w:bCs/>
          <w:sz w:val="24"/>
          <w:szCs w:val="24"/>
        </w:rPr>
      </w:pPr>
      <w:r>
        <w:rPr>
          <w:rFonts w:ascii="Arial" w:hAnsi="Arial" w:cs="Arial"/>
          <w:b/>
          <w:bCs/>
          <w:sz w:val="24"/>
          <w:szCs w:val="24"/>
        </w:rPr>
        <w:t xml:space="preserve">Estructurador: </w:t>
      </w:r>
      <w:r>
        <w:rPr>
          <w:rFonts w:ascii="Arial" w:hAnsi="Arial" w:cs="Arial"/>
          <w:sz w:val="24"/>
          <w:szCs w:val="24"/>
        </w:rPr>
        <w:t>Persona jurídica</w:t>
      </w:r>
      <w:r w:rsidRPr="00AA2487">
        <w:rPr>
          <w:rFonts w:ascii="Arial" w:hAnsi="Arial" w:cs="Arial"/>
          <w:sz w:val="24"/>
          <w:szCs w:val="24"/>
        </w:rPr>
        <w:t xml:space="preserve"> </w:t>
      </w:r>
      <w:r w:rsidR="00D83605" w:rsidRPr="0025137C">
        <w:rPr>
          <w:rFonts w:ascii="Arial" w:hAnsi="Arial" w:cs="Arial"/>
          <w:sz w:val="24"/>
          <w:szCs w:val="24"/>
        </w:rPr>
        <w:t xml:space="preserve">o Equipo Técnico de </w:t>
      </w:r>
      <w:r w:rsidR="00C85FA9" w:rsidRPr="00C85FA9">
        <w:rPr>
          <w:rFonts w:ascii="Arial" w:hAnsi="Arial" w:cs="Arial"/>
          <w:sz w:val="24"/>
          <w:szCs w:val="24"/>
        </w:rPr>
        <w:t xml:space="preserve">FONENERGÍA </w:t>
      </w:r>
      <w:r w:rsidRPr="00AA2487">
        <w:rPr>
          <w:rFonts w:ascii="Arial" w:hAnsi="Arial" w:cs="Arial"/>
          <w:sz w:val="24"/>
          <w:szCs w:val="24"/>
        </w:rPr>
        <w:t>encargado de la planificación y organización detallada de un proyecto</w:t>
      </w:r>
      <w:r>
        <w:rPr>
          <w:rFonts w:ascii="Arial" w:hAnsi="Arial" w:cs="Arial"/>
          <w:sz w:val="24"/>
          <w:szCs w:val="24"/>
        </w:rPr>
        <w:t>.</w:t>
      </w:r>
    </w:p>
    <w:p w14:paraId="6A2502DC" w14:textId="77777777" w:rsidR="004B40A4" w:rsidRPr="00C63186" w:rsidRDefault="004B40A4" w:rsidP="008E39FD">
      <w:pPr>
        <w:tabs>
          <w:tab w:val="left" w:pos="4474"/>
        </w:tabs>
        <w:spacing w:after="0"/>
        <w:jc w:val="both"/>
        <w:rPr>
          <w:rFonts w:ascii="Arial" w:hAnsi="Arial" w:cs="Arial"/>
          <w:sz w:val="24"/>
          <w:szCs w:val="24"/>
        </w:rPr>
      </w:pPr>
    </w:p>
    <w:p w14:paraId="28EB8F0F" w14:textId="77777777" w:rsidR="004B40A4" w:rsidRPr="004F4F51" w:rsidRDefault="004B40A4" w:rsidP="008E39FD">
      <w:pPr>
        <w:tabs>
          <w:tab w:val="left" w:pos="4474"/>
        </w:tabs>
        <w:spacing w:after="0"/>
        <w:jc w:val="both"/>
        <w:rPr>
          <w:rFonts w:ascii="Arial" w:hAnsi="Arial" w:cs="Arial"/>
          <w:sz w:val="24"/>
          <w:szCs w:val="24"/>
        </w:rPr>
      </w:pPr>
      <w:r w:rsidRPr="00AA2487">
        <w:rPr>
          <w:rStyle w:val="normaltextrun"/>
          <w:rFonts w:ascii="Arial" w:hAnsi="Arial" w:cs="Arial"/>
          <w:b/>
          <w:bCs/>
          <w:color w:val="000000"/>
          <w:sz w:val="24"/>
          <w:szCs w:val="24"/>
          <w:shd w:val="clear" w:color="auto" w:fill="FFFFFF"/>
        </w:rPr>
        <w:lastRenderedPageBreak/>
        <w:t>Estudios de Inversión:</w:t>
      </w:r>
      <w:r w:rsidRPr="00AA2487">
        <w:rPr>
          <w:rStyle w:val="normaltextrun"/>
          <w:rFonts w:ascii="Arial" w:hAnsi="Arial" w:cs="Arial"/>
          <w:color w:val="000000"/>
          <w:sz w:val="24"/>
          <w:szCs w:val="24"/>
          <w:shd w:val="clear" w:color="auto" w:fill="FFFFFF"/>
        </w:rPr>
        <w:t xml:space="preserve"> Conjunto de análisis y estudios necesarios para evaluar desde el punto de vista técnico y económico, la viabilidad de emprender </w:t>
      </w:r>
      <w:r w:rsidRPr="54B2E939">
        <w:rPr>
          <w:rStyle w:val="normaltextrun"/>
          <w:rFonts w:ascii="Arial" w:hAnsi="Arial" w:cs="Arial"/>
          <w:color w:val="000000" w:themeColor="text1"/>
          <w:sz w:val="24"/>
          <w:szCs w:val="24"/>
        </w:rPr>
        <w:t>un proyecto</w:t>
      </w:r>
      <w:r w:rsidRPr="00AA2487">
        <w:rPr>
          <w:rStyle w:val="normaltextrun"/>
          <w:rFonts w:ascii="Arial" w:hAnsi="Arial" w:cs="Arial"/>
          <w:color w:val="000000"/>
          <w:sz w:val="24"/>
          <w:szCs w:val="24"/>
          <w:shd w:val="clear" w:color="auto" w:fill="FFFFFF"/>
        </w:rPr>
        <w:t xml:space="preserve"> con soluciones energéticas en el Sistema Interconectado Nacional, SIN</w:t>
      </w:r>
      <w:r w:rsidRPr="00AA2487">
        <w:rPr>
          <w:rStyle w:val="normaltextrun"/>
          <w:rFonts w:ascii="Arial" w:hAnsi="Arial" w:cs="Arial"/>
          <w:b/>
          <w:bCs/>
          <w:color w:val="000000"/>
          <w:sz w:val="24"/>
          <w:szCs w:val="24"/>
          <w:shd w:val="clear" w:color="auto" w:fill="FFFFFF"/>
        </w:rPr>
        <w:t xml:space="preserve"> </w:t>
      </w:r>
      <w:r w:rsidRPr="00AA2487">
        <w:rPr>
          <w:rStyle w:val="normaltextrun"/>
          <w:rFonts w:ascii="Arial" w:hAnsi="Arial" w:cs="Arial"/>
          <w:color w:val="000000"/>
          <w:sz w:val="24"/>
          <w:szCs w:val="24"/>
          <w:shd w:val="clear" w:color="auto" w:fill="FFFFFF"/>
        </w:rPr>
        <w:t>o en las Zonas No Interconectadas-ZNI. </w:t>
      </w:r>
      <w:r w:rsidRPr="00AA2487">
        <w:rPr>
          <w:rStyle w:val="eop"/>
          <w:rFonts w:ascii="Arial" w:hAnsi="Arial" w:cs="Arial"/>
          <w:color w:val="000000"/>
          <w:sz w:val="24"/>
          <w:szCs w:val="24"/>
          <w:shd w:val="clear" w:color="auto" w:fill="FFFFFF"/>
        </w:rPr>
        <w:t> </w:t>
      </w:r>
    </w:p>
    <w:p w14:paraId="6FDC03D2" w14:textId="77777777" w:rsidR="004B40A4" w:rsidRPr="00C63186" w:rsidRDefault="004B40A4" w:rsidP="008E39FD">
      <w:pPr>
        <w:tabs>
          <w:tab w:val="left" w:pos="4474"/>
        </w:tabs>
        <w:spacing w:after="0"/>
        <w:jc w:val="both"/>
        <w:rPr>
          <w:rFonts w:ascii="Arial" w:hAnsi="Arial" w:cs="Arial"/>
          <w:sz w:val="24"/>
          <w:szCs w:val="24"/>
        </w:rPr>
      </w:pPr>
    </w:p>
    <w:p w14:paraId="668B732B" w14:textId="77777777" w:rsidR="004B40A4" w:rsidRDefault="004B40A4" w:rsidP="008E39FD">
      <w:pPr>
        <w:tabs>
          <w:tab w:val="left" w:pos="4474"/>
        </w:tabs>
        <w:spacing w:after="0"/>
        <w:jc w:val="both"/>
        <w:rPr>
          <w:rFonts w:ascii="Arial" w:hAnsi="Arial" w:cs="Arial"/>
          <w:sz w:val="24"/>
          <w:szCs w:val="24"/>
        </w:rPr>
      </w:pPr>
      <w:r w:rsidRPr="1A65CE1C">
        <w:rPr>
          <w:rFonts w:ascii="Arial" w:hAnsi="Arial" w:cs="Arial"/>
          <w:b/>
          <w:bCs/>
          <w:sz w:val="24"/>
          <w:szCs w:val="24"/>
        </w:rPr>
        <w:t>Estudios de Preinversión:</w:t>
      </w:r>
      <w:r w:rsidRPr="1A65CE1C">
        <w:rPr>
          <w:rFonts w:ascii="Arial" w:hAnsi="Arial" w:cs="Arial"/>
          <w:sz w:val="24"/>
          <w:szCs w:val="24"/>
        </w:rPr>
        <w:t xml:space="preserve"> Para efectos de lo previsto en el presente Manual, significa los estudios adelantados por parte de los particulares, o por entidades</w:t>
      </w:r>
      <w:r>
        <w:rPr>
          <w:rFonts w:ascii="Arial" w:hAnsi="Arial" w:cs="Arial"/>
          <w:sz w:val="24"/>
          <w:szCs w:val="24"/>
        </w:rPr>
        <w:t xml:space="preserve"> privadas,</w:t>
      </w:r>
      <w:r w:rsidRPr="1A65CE1C">
        <w:rPr>
          <w:rFonts w:ascii="Arial" w:hAnsi="Arial" w:cs="Arial"/>
          <w:sz w:val="24"/>
          <w:szCs w:val="24"/>
        </w:rPr>
        <w:t xml:space="preserve"> públicas o mixtas, en la identificación de una necesidad </w:t>
      </w:r>
      <w:r>
        <w:rPr>
          <w:rFonts w:ascii="Arial" w:hAnsi="Arial" w:cs="Arial"/>
          <w:sz w:val="24"/>
          <w:szCs w:val="24"/>
        </w:rPr>
        <w:t xml:space="preserve">de implementar una solución energética que mejore </w:t>
      </w:r>
      <w:r w:rsidRPr="1A65CE1C">
        <w:rPr>
          <w:rFonts w:ascii="Arial" w:hAnsi="Arial" w:cs="Arial"/>
          <w:sz w:val="24"/>
          <w:szCs w:val="24"/>
        </w:rPr>
        <w:t xml:space="preserve">la prestación del servicio público domiciliario de energía eléctrica en el desarrollo de Planes, Programas y/o Proyectos de energía eléctrica. </w:t>
      </w:r>
    </w:p>
    <w:p w14:paraId="0ECE1769" w14:textId="77777777" w:rsidR="004B40A4" w:rsidRPr="00C63186" w:rsidRDefault="004B40A4" w:rsidP="008E39FD">
      <w:pPr>
        <w:tabs>
          <w:tab w:val="left" w:pos="4474"/>
        </w:tabs>
        <w:spacing w:after="0"/>
        <w:jc w:val="both"/>
        <w:rPr>
          <w:rFonts w:ascii="Arial" w:hAnsi="Arial" w:cs="Arial"/>
          <w:sz w:val="24"/>
          <w:szCs w:val="24"/>
        </w:rPr>
      </w:pPr>
    </w:p>
    <w:p w14:paraId="1364C202" w14:textId="77777777" w:rsidR="004B40A4"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Expansión de la Cobertura:</w:t>
      </w:r>
      <w:r w:rsidRPr="0025137C">
        <w:rPr>
          <w:rFonts w:ascii="Arial" w:hAnsi="Arial" w:cs="Arial"/>
          <w:sz w:val="24"/>
          <w:szCs w:val="24"/>
        </w:rPr>
        <w:t xml:space="preserve"> Actividades dirigidas a la ampliación del servicio de energía por redes que beneficien a nuevos usuarios.</w:t>
      </w:r>
      <w:r w:rsidRPr="00C63186">
        <w:rPr>
          <w:rFonts w:ascii="Arial" w:hAnsi="Arial" w:cs="Arial"/>
          <w:sz w:val="24"/>
          <w:szCs w:val="24"/>
        </w:rPr>
        <w:t xml:space="preserve"> </w:t>
      </w:r>
    </w:p>
    <w:p w14:paraId="1B73764F" w14:textId="77777777" w:rsidR="004B40A4" w:rsidRDefault="004B40A4" w:rsidP="008E39FD">
      <w:pPr>
        <w:tabs>
          <w:tab w:val="left" w:pos="4474"/>
        </w:tabs>
        <w:spacing w:after="0"/>
        <w:jc w:val="both"/>
        <w:rPr>
          <w:rFonts w:ascii="Arial" w:hAnsi="Arial" w:cs="Arial"/>
          <w:sz w:val="24"/>
          <w:szCs w:val="24"/>
        </w:rPr>
      </w:pPr>
    </w:p>
    <w:p w14:paraId="378E754A" w14:textId="77777777" w:rsidR="004B40A4" w:rsidRPr="00C63186" w:rsidRDefault="004B40A4" w:rsidP="008E39FD">
      <w:pPr>
        <w:tabs>
          <w:tab w:val="left" w:pos="4474"/>
        </w:tabs>
        <w:spacing w:after="0"/>
        <w:jc w:val="both"/>
        <w:rPr>
          <w:rFonts w:ascii="Arial" w:hAnsi="Arial" w:cs="Arial"/>
          <w:sz w:val="24"/>
          <w:szCs w:val="24"/>
        </w:rPr>
      </w:pPr>
      <w:r w:rsidRPr="00C9581C">
        <w:rPr>
          <w:rFonts w:ascii="Arial" w:hAnsi="Arial" w:cs="Arial"/>
          <w:b/>
          <w:bCs/>
          <w:sz w:val="24"/>
          <w:szCs w:val="24"/>
        </w:rPr>
        <w:t>Financiación</w:t>
      </w:r>
      <w:r>
        <w:rPr>
          <w:rFonts w:ascii="Arial" w:hAnsi="Arial" w:cs="Arial"/>
          <w:sz w:val="24"/>
          <w:szCs w:val="24"/>
        </w:rPr>
        <w:t>: R</w:t>
      </w:r>
      <w:r w:rsidRPr="00C63186">
        <w:rPr>
          <w:rFonts w:ascii="Arial" w:hAnsi="Arial" w:cs="Arial"/>
          <w:sz w:val="24"/>
          <w:szCs w:val="24"/>
        </w:rPr>
        <w:t xml:space="preserve">ecursos del FONENERGÍA </w:t>
      </w:r>
      <w:r>
        <w:rPr>
          <w:rFonts w:ascii="Arial" w:hAnsi="Arial" w:cs="Arial"/>
          <w:sz w:val="24"/>
          <w:szCs w:val="24"/>
        </w:rPr>
        <w:t xml:space="preserve">que se asignan para atender la totalidad del costo de la ejecución </w:t>
      </w:r>
      <w:r w:rsidRPr="00C63186">
        <w:rPr>
          <w:rFonts w:ascii="Arial" w:hAnsi="Arial" w:cs="Arial"/>
          <w:sz w:val="24"/>
          <w:szCs w:val="24"/>
        </w:rPr>
        <w:t>de Planes, Programas y/o Proyectos</w:t>
      </w:r>
      <w:r>
        <w:rPr>
          <w:rFonts w:ascii="Arial" w:hAnsi="Arial" w:cs="Arial"/>
          <w:sz w:val="24"/>
          <w:szCs w:val="24"/>
        </w:rPr>
        <w:t>.</w:t>
      </w:r>
    </w:p>
    <w:p w14:paraId="6F366163" w14:textId="77777777" w:rsidR="004B40A4" w:rsidRPr="00C63186" w:rsidRDefault="004B40A4" w:rsidP="008E39FD">
      <w:pPr>
        <w:tabs>
          <w:tab w:val="left" w:pos="4474"/>
        </w:tabs>
        <w:spacing w:after="0"/>
        <w:jc w:val="both"/>
        <w:rPr>
          <w:rFonts w:ascii="Arial" w:hAnsi="Arial" w:cs="Arial"/>
          <w:sz w:val="24"/>
          <w:szCs w:val="24"/>
        </w:rPr>
      </w:pPr>
    </w:p>
    <w:p w14:paraId="1442F413"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FONENERGIA o Fondo:</w:t>
      </w:r>
      <w:r w:rsidRPr="00C63186">
        <w:rPr>
          <w:rFonts w:ascii="Arial" w:hAnsi="Arial" w:cs="Arial"/>
          <w:sz w:val="24"/>
          <w:szCs w:val="24"/>
        </w:rPr>
        <w:t xml:space="preserve"> Fondo cuenta administrado por el Ministerio de Minas y Energía creado por el artículo 41 de la Ley 2099 de 2021, en el que se fusionan las actividades anteriormente asignadas a los Fondos FAER, FAZNI y CEFCGN, así como el PRONE, disposición modificada por el artículo 247 de la Ley 2294 de 2023. </w:t>
      </w:r>
    </w:p>
    <w:p w14:paraId="679A3FF6" w14:textId="77777777" w:rsidR="004B40A4" w:rsidRPr="00C63186" w:rsidRDefault="004B40A4" w:rsidP="008E39FD">
      <w:pPr>
        <w:tabs>
          <w:tab w:val="left" w:pos="4474"/>
        </w:tabs>
        <w:spacing w:after="0"/>
        <w:jc w:val="both"/>
        <w:rPr>
          <w:rFonts w:ascii="Arial" w:hAnsi="Arial" w:cs="Arial"/>
          <w:sz w:val="24"/>
          <w:szCs w:val="24"/>
        </w:rPr>
      </w:pPr>
    </w:p>
    <w:p w14:paraId="2394B003" w14:textId="66AD89EB"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Gerente Técnico:</w:t>
      </w:r>
      <w:r w:rsidRPr="0025137C">
        <w:rPr>
          <w:rFonts w:ascii="Arial" w:hAnsi="Arial" w:cs="Arial"/>
          <w:sz w:val="24"/>
          <w:szCs w:val="24"/>
        </w:rPr>
        <w:t xml:space="preserve"> </w:t>
      </w:r>
      <w:r w:rsidR="00C86284">
        <w:rPr>
          <w:rFonts w:ascii="Arial" w:hAnsi="Arial" w:cs="Arial"/>
          <w:sz w:val="24"/>
          <w:szCs w:val="24"/>
        </w:rPr>
        <w:t>Cualquiera que sea el nombre que se le asigne a dicha labor, corresponde al f</w:t>
      </w:r>
      <w:r w:rsidR="00C86284" w:rsidRPr="00C63186">
        <w:rPr>
          <w:rFonts w:ascii="Arial" w:hAnsi="Arial" w:cs="Arial"/>
          <w:sz w:val="24"/>
          <w:szCs w:val="24"/>
        </w:rPr>
        <w:t>uncionario</w:t>
      </w:r>
      <w:r w:rsidRPr="0025137C">
        <w:rPr>
          <w:rFonts w:ascii="Arial" w:hAnsi="Arial" w:cs="Arial"/>
          <w:sz w:val="24"/>
          <w:szCs w:val="24"/>
        </w:rPr>
        <w:t xml:space="preserve"> del Ministerio de Minas y Energía perteneciente al Nivel Directivo o Asesor, encargado de realizar la coordinación general del FONENERGÍA, dirigiendo las actividades administrativas, financieras, legales, técnicas y operativas, aplicando las directrices del mismo y adelantando las gestiones tendientes a la debida ejecución de los recursos.</w:t>
      </w:r>
    </w:p>
    <w:p w14:paraId="1A312F4B" w14:textId="77777777" w:rsidR="004B40A4" w:rsidRPr="00C63186" w:rsidRDefault="004B40A4" w:rsidP="008E39FD">
      <w:pPr>
        <w:tabs>
          <w:tab w:val="left" w:pos="4474"/>
        </w:tabs>
        <w:spacing w:after="0"/>
        <w:jc w:val="both"/>
        <w:rPr>
          <w:rFonts w:ascii="Arial" w:hAnsi="Arial" w:cs="Arial"/>
          <w:sz w:val="24"/>
          <w:szCs w:val="24"/>
        </w:rPr>
      </w:pPr>
    </w:p>
    <w:p w14:paraId="6BF01FAB" w14:textId="77777777" w:rsidR="004B40A4"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Infraestructura Eléctrica:</w:t>
      </w:r>
      <w:r w:rsidRPr="00C63186">
        <w:rPr>
          <w:rFonts w:ascii="Arial" w:hAnsi="Arial" w:cs="Arial"/>
          <w:sz w:val="24"/>
          <w:szCs w:val="24"/>
        </w:rPr>
        <w:t xml:space="preserve"> Conjunto de activos que se utilizan en la prestación del servicio público domiciliario de energía eléctrica, en los niveles de tensión I, II y III. </w:t>
      </w:r>
    </w:p>
    <w:p w14:paraId="75FBD1A3" w14:textId="77777777" w:rsidR="004B40A4" w:rsidRDefault="004B40A4" w:rsidP="008E39FD">
      <w:pPr>
        <w:tabs>
          <w:tab w:val="left" w:pos="4474"/>
        </w:tabs>
        <w:spacing w:after="0"/>
        <w:jc w:val="both"/>
        <w:rPr>
          <w:rFonts w:ascii="Arial" w:hAnsi="Arial" w:cs="Arial"/>
          <w:sz w:val="24"/>
          <w:szCs w:val="24"/>
        </w:rPr>
      </w:pPr>
    </w:p>
    <w:p w14:paraId="58A6576B" w14:textId="2A90DCBB" w:rsidR="004B40A4" w:rsidRPr="00C63186" w:rsidRDefault="004B40A4" w:rsidP="008E39FD">
      <w:pPr>
        <w:tabs>
          <w:tab w:val="left" w:pos="4474"/>
        </w:tabs>
        <w:spacing w:after="0"/>
        <w:jc w:val="both"/>
        <w:rPr>
          <w:rFonts w:ascii="Arial" w:hAnsi="Arial" w:cs="Arial"/>
          <w:sz w:val="24"/>
          <w:szCs w:val="24"/>
        </w:rPr>
      </w:pPr>
      <w:r w:rsidRPr="00AA2487">
        <w:rPr>
          <w:rFonts w:ascii="Arial" w:hAnsi="Arial" w:cs="Arial"/>
          <w:b/>
          <w:bCs/>
          <w:sz w:val="24"/>
          <w:szCs w:val="24"/>
        </w:rPr>
        <w:t>Infraestructura de Medición Avanzada (AMI</w:t>
      </w:r>
      <w:r w:rsidR="005D59DC">
        <w:rPr>
          <w:rFonts w:ascii="Arial" w:hAnsi="Arial" w:cs="Arial"/>
          <w:b/>
          <w:bCs/>
          <w:sz w:val="24"/>
          <w:szCs w:val="24"/>
        </w:rPr>
        <w:t xml:space="preserve"> </w:t>
      </w:r>
      <w:r w:rsidR="005D59DC" w:rsidRPr="005E070B">
        <w:rPr>
          <w:rFonts w:ascii="Arial" w:hAnsi="Arial" w:cs="Arial"/>
          <w:b/>
          <w:bCs/>
          <w:sz w:val="24"/>
          <w:szCs w:val="24"/>
        </w:rPr>
        <w:t xml:space="preserve">- </w:t>
      </w:r>
      <w:r w:rsidR="005D59DC" w:rsidRPr="00B03685">
        <w:rPr>
          <w:rFonts w:ascii="Arial" w:hAnsi="Arial" w:cs="Arial"/>
          <w:b/>
          <w:sz w:val="24"/>
          <w:szCs w:val="24"/>
        </w:rPr>
        <w:t>Advance Metering Infrastructure</w:t>
      </w:r>
      <w:r w:rsidRPr="00B03685" w:rsidDel="005E070B">
        <w:rPr>
          <w:rFonts w:ascii="Arial" w:hAnsi="Arial" w:cs="Arial"/>
          <w:sz w:val="24"/>
          <w:szCs w:val="24"/>
        </w:rPr>
        <w:t>)</w:t>
      </w:r>
      <w:r w:rsidRPr="00AA2487">
        <w:rPr>
          <w:rFonts w:ascii="Arial" w:hAnsi="Arial" w:cs="Arial"/>
          <w:b/>
          <w:bCs/>
          <w:sz w:val="24"/>
          <w:szCs w:val="24"/>
        </w:rPr>
        <w:t>:</w:t>
      </w:r>
      <w:r w:rsidRPr="00AA3BE6">
        <w:rPr>
          <w:rFonts w:ascii="Arial" w:hAnsi="Arial" w:cs="Arial"/>
          <w:sz w:val="24"/>
          <w:szCs w:val="24"/>
        </w:rPr>
        <w:t xml:space="preserve"> Es la infraestructura que permite la comunicación bidireccional con los usuarios del servicio de energía eléctrica. Esta infraestructura integra hardware (medidores avanzados, centros de gestión de medida, enrutadores, concentradores, antenas, entre otros), software y arquitecturas y redes de comunicaciones, que permiten la operación de la infraestructura y la gestión de los datos del sistema de distribución de energía eléctrica y de los sistemas de medida</w:t>
      </w:r>
      <w:r>
        <w:rPr>
          <w:rStyle w:val="Refdenotaalpie"/>
          <w:rFonts w:ascii="Arial" w:hAnsi="Arial" w:cs="Arial"/>
          <w:sz w:val="24"/>
          <w:szCs w:val="24"/>
        </w:rPr>
        <w:footnoteReference w:id="17"/>
      </w:r>
      <w:r w:rsidRPr="00AA3BE6">
        <w:rPr>
          <w:rFonts w:ascii="Arial" w:hAnsi="Arial" w:cs="Arial"/>
          <w:sz w:val="24"/>
          <w:szCs w:val="24"/>
        </w:rPr>
        <w:t>.</w:t>
      </w:r>
    </w:p>
    <w:p w14:paraId="007491CC" w14:textId="77777777" w:rsidR="004B40A4" w:rsidRPr="00C63186" w:rsidRDefault="004B40A4" w:rsidP="008E39FD">
      <w:pPr>
        <w:tabs>
          <w:tab w:val="left" w:pos="4474"/>
        </w:tabs>
        <w:spacing w:after="0"/>
        <w:jc w:val="both"/>
        <w:rPr>
          <w:rFonts w:ascii="Arial" w:hAnsi="Arial" w:cs="Arial"/>
          <w:sz w:val="24"/>
          <w:szCs w:val="24"/>
        </w:rPr>
      </w:pPr>
    </w:p>
    <w:p w14:paraId="1309DE22" w14:textId="77777777" w:rsidR="004B40A4" w:rsidRPr="00C63186" w:rsidRDefault="004B40A4" w:rsidP="008E39FD">
      <w:pPr>
        <w:tabs>
          <w:tab w:val="left" w:pos="4474"/>
        </w:tabs>
        <w:spacing w:after="0"/>
        <w:jc w:val="both"/>
        <w:rPr>
          <w:rFonts w:ascii="Arial" w:hAnsi="Arial" w:cs="Arial"/>
          <w:sz w:val="24"/>
          <w:szCs w:val="24"/>
        </w:rPr>
      </w:pPr>
      <w:r w:rsidRPr="00D82989">
        <w:rPr>
          <w:rFonts w:ascii="Arial" w:hAnsi="Arial" w:cs="Arial"/>
          <w:b/>
          <w:bCs/>
          <w:sz w:val="24"/>
          <w:szCs w:val="24"/>
        </w:rPr>
        <w:t>Instalaciones Internas:</w:t>
      </w:r>
      <w:r w:rsidRPr="00D82989">
        <w:rPr>
          <w:rFonts w:ascii="Arial" w:hAnsi="Arial" w:cs="Arial"/>
          <w:sz w:val="24"/>
          <w:szCs w:val="24"/>
        </w:rPr>
        <w:t xml:space="preserve"> Conjunto de redes, accesorios y equipos que integran el sistema de suministro de energía eléctrica al inmueble a partir del medidor.</w:t>
      </w:r>
      <w:r w:rsidRPr="00C63186">
        <w:rPr>
          <w:rFonts w:ascii="Arial" w:hAnsi="Arial" w:cs="Arial"/>
          <w:sz w:val="24"/>
          <w:szCs w:val="24"/>
        </w:rPr>
        <w:t xml:space="preserve"> </w:t>
      </w:r>
    </w:p>
    <w:p w14:paraId="7C9B7978" w14:textId="77777777" w:rsidR="004B40A4" w:rsidRPr="00C63186" w:rsidRDefault="004B40A4" w:rsidP="008E39FD">
      <w:pPr>
        <w:tabs>
          <w:tab w:val="left" w:pos="4474"/>
        </w:tabs>
        <w:spacing w:after="0"/>
        <w:jc w:val="both"/>
        <w:rPr>
          <w:rFonts w:ascii="Arial" w:hAnsi="Arial" w:cs="Arial"/>
          <w:sz w:val="24"/>
          <w:szCs w:val="24"/>
        </w:rPr>
      </w:pPr>
    </w:p>
    <w:p w14:paraId="738FE1FF"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Interesado:</w:t>
      </w:r>
      <w:r w:rsidRPr="0025137C">
        <w:rPr>
          <w:rFonts w:ascii="Arial" w:hAnsi="Arial" w:cs="Arial"/>
          <w:sz w:val="24"/>
          <w:szCs w:val="24"/>
        </w:rPr>
        <w:t xml:space="preserve"> Persona natural o entidad pública, mixta o privada, incluyendo particulares o las Personas Prestadoras de servicios públicos domiciliarios que solicitan recursos de Financiación o Cofinanciación al FONENERGÍA para la ejecución de Planes, Programas </w:t>
      </w:r>
      <w:r w:rsidRPr="0025137C">
        <w:rPr>
          <w:rFonts w:ascii="Arial" w:hAnsi="Arial" w:cs="Arial"/>
          <w:sz w:val="24"/>
          <w:szCs w:val="24"/>
        </w:rPr>
        <w:lastRenderedPageBreak/>
        <w:t xml:space="preserve">y/o Proyectos, y que cumplen con los requisitos habilitantes para hacerlo, en los términos de este Manual y de la </w:t>
      </w:r>
      <w:r w:rsidRPr="003A219F">
        <w:rPr>
          <w:rFonts w:ascii="Arial" w:hAnsi="Arial" w:cs="Arial"/>
          <w:sz w:val="24"/>
          <w:szCs w:val="24"/>
        </w:rPr>
        <w:t>N</w:t>
      </w:r>
      <w:r w:rsidRPr="0025137C">
        <w:rPr>
          <w:rFonts w:ascii="Arial" w:hAnsi="Arial" w:cs="Arial"/>
          <w:sz w:val="24"/>
          <w:szCs w:val="24"/>
        </w:rPr>
        <w:t xml:space="preserve">ormativa </w:t>
      </w:r>
      <w:r w:rsidRPr="003A219F">
        <w:rPr>
          <w:rFonts w:ascii="Arial" w:hAnsi="Arial" w:cs="Arial"/>
          <w:sz w:val="24"/>
          <w:szCs w:val="24"/>
        </w:rPr>
        <w:t>A</w:t>
      </w:r>
      <w:r w:rsidRPr="0025137C">
        <w:rPr>
          <w:rFonts w:ascii="Arial" w:hAnsi="Arial" w:cs="Arial"/>
          <w:sz w:val="24"/>
          <w:szCs w:val="24"/>
        </w:rPr>
        <w:t>plicable.</w:t>
      </w:r>
      <w:r w:rsidRPr="00C63186">
        <w:rPr>
          <w:rFonts w:ascii="Arial" w:hAnsi="Arial" w:cs="Arial"/>
          <w:sz w:val="24"/>
          <w:szCs w:val="24"/>
        </w:rPr>
        <w:t xml:space="preserve"> </w:t>
      </w:r>
    </w:p>
    <w:p w14:paraId="71DDDD5C" w14:textId="77777777" w:rsidR="004B40A4" w:rsidRPr="00C63186" w:rsidRDefault="004B40A4" w:rsidP="008E39FD">
      <w:pPr>
        <w:tabs>
          <w:tab w:val="left" w:pos="4474"/>
        </w:tabs>
        <w:spacing w:after="0"/>
        <w:jc w:val="both"/>
        <w:rPr>
          <w:rFonts w:ascii="Arial" w:hAnsi="Arial" w:cs="Arial"/>
          <w:b/>
          <w:bCs/>
          <w:sz w:val="24"/>
          <w:szCs w:val="24"/>
        </w:rPr>
      </w:pPr>
    </w:p>
    <w:p w14:paraId="6781F7A6"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Interventoría:</w:t>
      </w:r>
      <w:r w:rsidRPr="0025137C">
        <w:rPr>
          <w:rFonts w:ascii="Arial" w:hAnsi="Arial" w:cs="Arial"/>
          <w:sz w:val="24"/>
          <w:szCs w:val="24"/>
        </w:rPr>
        <w:t xml:space="preserve"> Persona natural o jurídica contratada por el Ministerio de Minas y Energía o por la entidad que ejecute los recursos del FONENERGÍA para adelantar el seguimiento técnico, administrativo, financiero, contable y jurídico a la ejecución de contratos y/o convenios que celebra FONENERGIA para el cumplimiento de sus objetivos.</w:t>
      </w:r>
      <w:r w:rsidRPr="00C63186">
        <w:rPr>
          <w:rFonts w:ascii="Arial" w:hAnsi="Arial" w:cs="Arial"/>
          <w:sz w:val="24"/>
          <w:szCs w:val="24"/>
        </w:rPr>
        <w:t xml:space="preserve">  </w:t>
      </w:r>
    </w:p>
    <w:p w14:paraId="0006846F" w14:textId="77777777" w:rsidR="004B40A4" w:rsidRPr="00C63186" w:rsidRDefault="004B40A4" w:rsidP="008E39FD">
      <w:pPr>
        <w:tabs>
          <w:tab w:val="left" w:pos="4474"/>
        </w:tabs>
        <w:spacing w:after="0"/>
        <w:jc w:val="both"/>
        <w:rPr>
          <w:rFonts w:ascii="Arial" w:hAnsi="Arial" w:cs="Arial"/>
          <w:sz w:val="24"/>
          <w:szCs w:val="24"/>
        </w:rPr>
      </w:pPr>
    </w:p>
    <w:p w14:paraId="151343BC"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Inversiones:</w:t>
      </w:r>
      <w:r w:rsidRPr="0025137C">
        <w:rPr>
          <w:rFonts w:ascii="Arial" w:hAnsi="Arial" w:cs="Arial"/>
          <w:sz w:val="24"/>
          <w:szCs w:val="24"/>
        </w:rPr>
        <w:t xml:space="preserve">  Financiación o Cofinanciación de Planes, Programas y/o Proyectos que realiza FONENERGIA en el marco de su objeto misional.</w:t>
      </w:r>
      <w:r w:rsidRPr="20FA6F65">
        <w:rPr>
          <w:rFonts w:ascii="Arial" w:hAnsi="Arial" w:cs="Arial"/>
          <w:sz w:val="24"/>
          <w:szCs w:val="24"/>
        </w:rPr>
        <w:t xml:space="preserve"> </w:t>
      </w:r>
    </w:p>
    <w:p w14:paraId="1F1A39A0" w14:textId="77777777" w:rsidR="004B40A4" w:rsidRPr="00C63186" w:rsidRDefault="004B40A4" w:rsidP="008E39FD">
      <w:pPr>
        <w:tabs>
          <w:tab w:val="left" w:pos="4474"/>
        </w:tabs>
        <w:spacing w:after="0"/>
        <w:jc w:val="both"/>
        <w:rPr>
          <w:rFonts w:ascii="Arial" w:hAnsi="Arial" w:cs="Arial"/>
          <w:sz w:val="24"/>
          <w:szCs w:val="24"/>
        </w:rPr>
      </w:pPr>
    </w:p>
    <w:p w14:paraId="4C216458"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Ley Aplicable o Normativa Aplicable:</w:t>
      </w:r>
      <w:r w:rsidRPr="0025137C">
        <w:rPr>
          <w:rFonts w:ascii="Arial" w:hAnsi="Arial" w:cs="Arial"/>
          <w:sz w:val="24"/>
          <w:szCs w:val="24"/>
        </w:rPr>
        <w:t xml:space="preserve"> Leyes, ordenanzas, acuerdos, decretos (de cualquier naturaleza), resoluciones, circulares, órdenes, regulaciones, actos administrativos y cualesquiera otras normas de nivel nacional, departamental, municipal o distrital, o de cualquier otro nivel, general o particular, vigentes en la República de Colombia.</w:t>
      </w:r>
      <w:r w:rsidRPr="00C63186">
        <w:rPr>
          <w:rFonts w:ascii="Arial" w:hAnsi="Arial" w:cs="Arial"/>
          <w:sz w:val="24"/>
          <w:szCs w:val="24"/>
        </w:rPr>
        <w:t xml:space="preserve"> </w:t>
      </w:r>
    </w:p>
    <w:p w14:paraId="38135498" w14:textId="77777777" w:rsidR="004B40A4" w:rsidRPr="00C63186" w:rsidRDefault="004B40A4" w:rsidP="008E39FD">
      <w:pPr>
        <w:tabs>
          <w:tab w:val="left" w:pos="4474"/>
        </w:tabs>
        <w:spacing w:after="0"/>
        <w:jc w:val="both"/>
        <w:rPr>
          <w:rFonts w:ascii="Arial" w:hAnsi="Arial" w:cs="Arial"/>
          <w:sz w:val="24"/>
          <w:szCs w:val="24"/>
        </w:rPr>
      </w:pPr>
    </w:p>
    <w:p w14:paraId="58A10FC7" w14:textId="3E1BC9ED" w:rsidR="004B40A4" w:rsidRPr="00C63186" w:rsidRDefault="004B40A4" w:rsidP="008E39FD">
      <w:pPr>
        <w:tabs>
          <w:tab w:val="left" w:pos="4474"/>
        </w:tabs>
        <w:spacing w:after="0"/>
        <w:jc w:val="both"/>
        <w:rPr>
          <w:rFonts w:ascii="Arial" w:hAnsi="Arial" w:cs="Arial"/>
          <w:b/>
          <w:bCs/>
          <w:sz w:val="24"/>
          <w:szCs w:val="24"/>
        </w:rPr>
      </w:pPr>
      <w:r w:rsidRPr="0025137C">
        <w:rPr>
          <w:rFonts w:ascii="Arial" w:hAnsi="Arial" w:cs="Arial"/>
          <w:b/>
          <w:sz w:val="24"/>
          <w:szCs w:val="24"/>
        </w:rPr>
        <w:t xml:space="preserve">Manual </w:t>
      </w:r>
      <w:r w:rsidR="00777DE7" w:rsidRPr="0025137C">
        <w:rPr>
          <w:rFonts w:ascii="Arial" w:hAnsi="Arial" w:cs="Arial"/>
          <w:b/>
          <w:sz w:val="24"/>
          <w:szCs w:val="24"/>
        </w:rPr>
        <w:t xml:space="preserve">Específico </w:t>
      </w:r>
      <w:r w:rsidRPr="0025137C">
        <w:rPr>
          <w:rFonts w:ascii="Arial" w:hAnsi="Arial" w:cs="Arial"/>
          <w:b/>
          <w:sz w:val="24"/>
          <w:szCs w:val="24"/>
        </w:rPr>
        <w:t>de Contratación:</w:t>
      </w:r>
      <w:r w:rsidRPr="0025137C">
        <w:rPr>
          <w:rFonts w:ascii="Arial" w:hAnsi="Arial" w:cs="Arial"/>
          <w:sz w:val="24"/>
          <w:szCs w:val="24"/>
        </w:rPr>
        <w:t xml:space="preserve"> Conglomerado normativo establecido por el Ministerio de Minas y Energía </w:t>
      </w:r>
      <w:r w:rsidRPr="00C85FA9">
        <w:rPr>
          <w:rFonts w:ascii="Arial" w:hAnsi="Arial" w:cs="Arial"/>
          <w:sz w:val="24"/>
          <w:szCs w:val="24"/>
        </w:rPr>
        <w:t>con base en las disposiciones especiales que rigen en materia de contratación</w:t>
      </w:r>
      <w:r w:rsidR="00082F6F" w:rsidRPr="00C85FA9">
        <w:rPr>
          <w:rFonts w:ascii="Arial" w:hAnsi="Arial" w:cs="Arial"/>
          <w:sz w:val="24"/>
          <w:szCs w:val="24"/>
        </w:rPr>
        <w:t>, aplicables al FONENERGÍA</w:t>
      </w:r>
      <w:r w:rsidRPr="00C85FA9">
        <w:rPr>
          <w:rFonts w:ascii="Arial" w:hAnsi="Arial" w:cs="Arial"/>
          <w:sz w:val="24"/>
          <w:szCs w:val="24"/>
        </w:rPr>
        <w:t xml:space="preserve"> y que determina la forma </w:t>
      </w:r>
      <w:r w:rsidR="00C85FA9" w:rsidRPr="00C85FA9">
        <w:rPr>
          <w:rFonts w:ascii="Arial" w:hAnsi="Arial" w:cs="Arial"/>
          <w:sz w:val="24"/>
          <w:szCs w:val="24"/>
        </w:rPr>
        <w:t xml:space="preserve">contractual </w:t>
      </w:r>
      <w:r w:rsidRPr="00C85FA9">
        <w:rPr>
          <w:rFonts w:ascii="Arial" w:hAnsi="Arial" w:cs="Arial"/>
          <w:sz w:val="24"/>
          <w:szCs w:val="24"/>
        </w:rPr>
        <w:t xml:space="preserve">como opera este </w:t>
      </w:r>
      <w:r w:rsidR="00C85FA9">
        <w:rPr>
          <w:rFonts w:ascii="Arial" w:hAnsi="Arial" w:cs="Arial"/>
          <w:sz w:val="24"/>
          <w:szCs w:val="24"/>
        </w:rPr>
        <w:t>F</w:t>
      </w:r>
      <w:r w:rsidRPr="00C85FA9">
        <w:rPr>
          <w:rFonts w:ascii="Arial" w:hAnsi="Arial" w:cs="Arial"/>
          <w:sz w:val="24"/>
          <w:szCs w:val="24"/>
        </w:rPr>
        <w:t>ondo.</w:t>
      </w:r>
    </w:p>
    <w:p w14:paraId="35E726DA" w14:textId="77777777" w:rsidR="004B40A4" w:rsidRPr="00C63186" w:rsidRDefault="004B40A4" w:rsidP="008E39FD">
      <w:pPr>
        <w:tabs>
          <w:tab w:val="left" w:pos="4474"/>
        </w:tabs>
        <w:spacing w:after="0"/>
        <w:jc w:val="both"/>
        <w:rPr>
          <w:rFonts w:ascii="Arial" w:hAnsi="Arial" w:cs="Arial"/>
          <w:b/>
          <w:bCs/>
          <w:sz w:val="24"/>
          <w:szCs w:val="24"/>
        </w:rPr>
      </w:pPr>
    </w:p>
    <w:p w14:paraId="7FCA3FB3" w14:textId="77777777" w:rsidR="004B40A4"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Manual Operativo o Manual:</w:t>
      </w:r>
      <w:r w:rsidRPr="0025137C">
        <w:rPr>
          <w:rFonts w:ascii="Arial" w:hAnsi="Arial" w:cs="Arial"/>
          <w:sz w:val="24"/>
          <w:szCs w:val="24"/>
        </w:rPr>
        <w:t xml:space="preserve"> Hace referencia al presente documento y sus Anexos.</w:t>
      </w:r>
      <w:r w:rsidRPr="00C63186">
        <w:rPr>
          <w:rFonts w:ascii="Arial" w:hAnsi="Arial" w:cs="Arial"/>
          <w:sz w:val="24"/>
          <w:szCs w:val="24"/>
        </w:rPr>
        <w:t xml:space="preserve"> </w:t>
      </w:r>
    </w:p>
    <w:p w14:paraId="0CFAB350" w14:textId="77777777" w:rsidR="004B40A4" w:rsidRDefault="004B40A4" w:rsidP="008E39FD">
      <w:pPr>
        <w:tabs>
          <w:tab w:val="left" w:pos="4474"/>
        </w:tabs>
        <w:spacing w:after="0"/>
        <w:jc w:val="both"/>
        <w:rPr>
          <w:rFonts w:ascii="Arial" w:hAnsi="Arial" w:cs="Arial"/>
          <w:sz w:val="24"/>
          <w:szCs w:val="24"/>
        </w:rPr>
      </w:pPr>
    </w:p>
    <w:p w14:paraId="08BDAC27" w14:textId="77777777" w:rsidR="004B40A4" w:rsidRDefault="004B40A4" w:rsidP="008E39FD">
      <w:pPr>
        <w:tabs>
          <w:tab w:val="left" w:pos="4474"/>
        </w:tabs>
        <w:spacing w:after="0"/>
        <w:jc w:val="both"/>
        <w:rPr>
          <w:rFonts w:ascii="Arial" w:hAnsi="Arial" w:cs="Arial"/>
          <w:sz w:val="24"/>
          <w:szCs w:val="24"/>
        </w:rPr>
      </w:pPr>
      <w:r w:rsidRPr="00AA2487">
        <w:rPr>
          <w:rFonts w:ascii="Arial" w:hAnsi="Arial" w:cs="Arial"/>
          <w:b/>
          <w:bCs/>
          <w:sz w:val="24"/>
          <w:szCs w:val="24"/>
        </w:rPr>
        <w:t>Medidor avanzado de energía eléctrica:</w:t>
      </w:r>
      <w:r w:rsidRPr="001E526C">
        <w:rPr>
          <w:rFonts w:ascii="Arial" w:hAnsi="Arial" w:cs="Arial"/>
          <w:sz w:val="24"/>
          <w:szCs w:val="24"/>
        </w:rPr>
        <w:t xml:space="preserve"> Dispositivo que mide y registra datos de uso de energía eléctrica de los usuarios, en intervalos máximos de una hora, con capacidad de almacenar y transmitir dichos datos, por lo menos, con frecuencia diaria. La información registrada se podrá utilizar, entre otros fines, para la gestión comercial, la planeación y operación del sistema y la gestión de pérdidas</w:t>
      </w:r>
      <w:r>
        <w:rPr>
          <w:rStyle w:val="Refdenotaalpie"/>
          <w:rFonts w:ascii="Arial" w:hAnsi="Arial" w:cs="Arial"/>
          <w:sz w:val="24"/>
          <w:szCs w:val="24"/>
        </w:rPr>
        <w:footnoteReference w:id="18"/>
      </w:r>
      <w:r w:rsidRPr="001E526C">
        <w:rPr>
          <w:rFonts w:ascii="Arial" w:hAnsi="Arial" w:cs="Arial"/>
          <w:sz w:val="24"/>
          <w:szCs w:val="24"/>
        </w:rPr>
        <w:t>.</w:t>
      </w:r>
    </w:p>
    <w:p w14:paraId="45CA41AC" w14:textId="77777777" w:rsidR="002821A7" w:rsidRDefault="002821A7" w:rsidP="008E39FD">
      <w:pPr>
        <w:tabs>
          <w:tab w:val="left" w:pos="4474"/>
        </w:tabs>
        <w:spacing w:after="0"/>
        <w:jc w:val="both"/>
        <w:rPr>
          <w:rFonts w:ascii="Arial" w:hAnsi="Arial" w:cs="Arial"/>
          <w:sz w:val="24"/>
          <w:szCs w:val="24"/>
        </w:rPr>
      </w:pPr>
    </w:p>
    <w:p w14:paraId="50AB6AD3" w14:textId="37F758DF" w:rsidR="002821A7" w:rsidRPr="00C63186" w:rsidRDefault="002821A7" w:rsidP="008E39FD">
      <w:pPr>
        <w:tabs>
          <w:tab w:val="left" w:pos="4474"/>
        </w:tabs>
        <w:spacing w:after="0"/>
        <w:jc w:val="both"/>
        <w:rPr>
          <w:rFonts w:ascii="Arial" w:hAnsi="Arial" w:cs="Arial"/>
          <w:sz w:val="24"/>
          <w:szCs w:val="24"/>
        </w:rPr>
      </w:pPr>
      <w:r w:rsidRPr="002821A7">
        <w:rPr>
          <w:rFonts w:ascii="Arial" w:hAnsi="Arial" w:cs="Arial"/>
          <w:b/>
          <w:bCs/>
          <w:sz w:val="24"/>
          <w:szCs w:val="24"/>
        </w:rPr>
        <w:t>Mercado de Comercialización en las Zonas no Interconectadas</w:t>
      </w:r>
      <w:r>
        <w:rPr>
          <w:rFonts w:ascii="Arial" w:hAnsi="Arial" w:cs="Arial"/>
          <w:b/>
          <w:bCs/>
          <w:sz w:val="24"/>
          <w:szCs w:val="24"/>
        </w:rPr>
        <w:t>:</w:t>
      </w:r>
      <w:r w:rsidRPr="002821A7">
        <w:rPr>
          <w:rFonts w:ascii="Arial" w:hAnsi="Arial" w:cs="Arial"/>
          <w:b/>
          <w:bCs/>
          <w:sz w:val="24"/>
          <w:szCs w:val="24"/>
        </w:rPr>
        <w:t xml:space="preserve"> </w:t>
      </w:r>
      <w:r w:rsidRPr="002821A7">
        <w:rPr>
          <w:rFonts w:ascii="Arial" w:hAnsi="Arial" w:cs="Arial"/>
          <w:sz w:val="24"/>
          <w:szCs w:val="24"/>
        </w:rPr>
        <w:t>Es el conjunto de usuarios finales conectados directamente a un mismo sistema eléctrico que no hace parte del Sistema Interconectado Nacional</w:t>
      </w:r>
      <w:r>
        <w:rPr>
          <w:rStyle w:val="Refdenotaalpie"/>
          <w:rFonts w:ascii="Arial" w:hAnsi="Arial" w:cs="Arial"/>
          <w:sz w:val="24"/>
          <w:szCs w:val="24"/>
        </w:rPr>
        <w:footnoteReference w:id="19"/>
      </w:r>
      <w:r w:rsidRPr="002821A7">
        <w:rPr>
          <w:rFonts w:ascii="Arial" w:hAnsi="Arial" w:cs="Arial"/>
          <w:sz w:val="24"/>
          <w:szCs w:val="24"/>
        </w:rPr>
        <w:t>.</w:t>
      </w:r>
    </w:p>
    <w:p w14:paraId="6F820E76" w14:textId="77777777" w:rsidR="004B40A4" w:rsidRPr="00C63186" w:rsidRDefault="004B40A4" w:rsidP="008E39FD">
      <w:pPr>
        <w:tabs>
          <w:tab w:val="left" w:pos="4474"/>
        </w:tabs>
        <w:spacing w:after="0"/>
        <w:jc w:val="both"/>
        <w:rPr>
          <w:rFonts w:ascii="Arial" w:hAnsi="Arial" w:cs="Arial"/>
          <w:sz w:val="24"/>
          <w:szCs w:val="24"/>
        </w:rPr>
      </w:pPr>
    </w:p>
    <w:p w14:paraId="6B71AAD8"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Necesidad:</w:t>
      </w:r>
      <w:r w:rsidRPr="0025137C">
        <w:rPr>
          <w:rFonts w:ascii="Arial" w:hAnsi="Arial" w:cs="Arial"/>
          <w:sz w:val="24"/>
          <w:szCs w:val="24"/>
        </w:rPr>
        <w:t xml:space="preserve"> Corresponde a los Planes, Programas y/o Proyectos identificados y/o estructurados por FONENERGIA, el IPSE, Entes Territoriales, Personas Prestadoras de Servicios Públicos, particulares o por entidades públicas o mixtas, que pretenden acceder a Recursos de Financiación o Cofinanciación de FONENERGÍA, en cumplimiento de los requisitos señalados para el efecto en el presente Manual y la Normativa aplicable, sin perjuicio de las demás políticas adoptadas por el Comité de Administración, según aplique.</w:t>
      </w:r>
    </w:p>
    <w:p w14:paraId="02B4028E" w14:textId="77777777" w:rsidR="004B40A4" w:rsidRPr="00C63186" w:rsidRDefault="004B40A4" w:rsidP="008E39FD">
      <w:pPr>
        <w:tabs>
          <w:tab w:val="left" w:pos="4474"/>
        </w:tabs>
        <w:spacing w:after="0"/>
        <w:jc w:val="both"/>
        <w:rPr>
          <w:rFonts w:ascii="Arial" w:hAnsi="Arial" w:cs="Arial"/>
          <w:sz w:val="24"/>
          <w:szCs w:val="24"/>
        </w:rPr>
      </w:pPr>
    </w:p>
    <w:p w14:paraId="4ED2AC38" w14:textId="77777777" w:rsidR="004B40A4" w:rsidRDefault="004B40A4" w:rsidP="008E39FD">
      <w:pPr>
        <w:tabs>
          <w:tab w:val="left" w:pos="4474"/>
        </w:tabs>
        <w:spacing w:after="0"/>
        <w:jc w:val="both"/>
        <w:rPr>
          <w:rFonts w:ascii="Arial" w:hAnsi="Arial" w:cs="Arial"/>
          <w:sz w:val="24"/>
          <w:szCs w:val="24"/>
        </w:rPr>
      </w:pPr>
      <w:r w:rsidRPr="35A9FD5F">
        <w:rPr>
          <w:rFonts w:ascii="Arial" w:hAnsi="Arial" w:cs="Arial"/>
          <w:b/>
          <w:bCs/>
          <w:sz w:val="24"/>
          <w:szCs w:val="24"/>
        </w:rPr>
        <w:t>Normalización de redes:</w:t>
      </w:r>
      <w:r w:rsidRPr="35A9FD5F">
        <w:rPr>
          <w:rFonts w:ascii="Arial" w:hAnsi="Arial" w:cs="Arial"/>
          <w:sz w:val="24"/>
          <w:szCs w:val="24"/>
        </w:rPr>
        <w:t xml:space="preserve"> Acciones dirigidas a la legalización de usuarios y la adecuación de las redes a los reglamentos técnicos vigentes en barrios subnormales, áreas rurales de menor desarrollo o zonas de difícil gestión, situados en el Sistema Interconectado Nacional SIN.</w:t>
      </w:r>
    </w:p>
    <w:p w14:paraId="0325C7C0" w14:textId="77777777" w:rsidR="004B40A4" w:rsidRDefault="004B40A4" w:rsidP="008E39FD">
      <w:pPr>
        <w:tabs>
          <w:tab w:val="left" w:pos="4474"/>
        </w:tabs>
        <w:spacing w:after="0"/>
        <w:jc w:val="both"/>
        <w:rPr>
          <w:rFonts w:ascii="Arial" w:hAnsi="Arial" w:cs="Arial"/>
          <w:sz w:val="24"/>
          <w:szCs w:val="24"/>
        </w:rPr>
      </w:pPr>
    </w:p>
    <w:p w14:paraId="5B6CCE57" w14:textId="77777777" w:rsidR="004B40A4" w:rsidRPr="00C63186" w:rsidRDefault="004B40A4" w:rsidP="008E39FD">
      <w:pPr>
        <w:tabs>
          <w:tab w:val="left" w:pos="4474"/>
        </w:tabs>
        <w:spacing w:after="0"/>
        <w:jc w:val="both"/>
        <w:rPr>
          <w:rFonts w:ascii="Arial" w:hAnsi="Arial" w:cs="Arial"/>
          <w:sz w:val="24"/>
          <w:szCs w:val="24"/>
        </w:rPr>
      </w:pPr>
      <w:r w:rsidRPr="35A9FD5F">
        <w:rPr>
          <w:rFonts w:ascii="Arial" w:hAnsi="Arial" w:cs="Arial"/>
          <w:b/>
          <w:bCs/>
          <w:sz w:val="24"/>
          <w:szCs w:val="24"/>
        </w:rPr>
        <w:t>Operador de Red (OR):</w:t>
      </w:r>
      <w:r w:rsidRPr="35A9FD5F">
        <w:rPr>
          <w:rFonts w:ascii="Arial" w:hAnsi="Arial" w:cs="Arial"/>
          <w:sz w:val="24"/>
          <w:szCs w:val="24"/>
        </w:rPr>
        <w:t xml:space="preserve"> Persona jurídica encargada de la planeación de la expansión y de las inversiones, operación y mantenimiento de todo o parte de un Sistema de Transmisión Regional -STR o Sistema de Distribución Local -SDL; los activos pueden ser de su propiedad o de terceros. Para todos los propósitos son las empresas que tienen Cargos por Uso de los STR y/o SDL aprobados por la Comisión de Regulación de Energía y Gas – CREG.</w:t>
      </w:r>
    </w:p>
    <w:p w14:paraId="7834C548" w14:textId="77777777" w:rsidR="004B40A4" w:rsidRDefault="004B40A4" w:rsidP="008E39FD">
      <w:pPr>
        <w:tabs>
          <w:tab w:val="left" w:pos="4474"/>
        </w:tabs>
        <w:spacing w:after="0"/>
        <w:jc w:val="both"/>
        <w:rPr>
          <w:rFonts w:ascii="Arial" w:hAnsi="Arial" w:cs="Arial"/>
          <w:b/>
          <w:bCs/>
          <w:sz w:val="24"/>
          <w:szCs w:val="24"/>
        </w:rPr>
      </w:pPr>
    </w:p>
    <w:p w14:paraId="1B815EA8" w14:textId="549E2C13"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Plan:</w:t>
      </w:r>
      <w:r w:rsidRPr="0025137C">
        <w:rPr>
          <w:rFonts w:ascii="Arial" w:hAnsi="Arial" w:cs="Arial"/>
          <w:sz w:val="24"/>
          <w:szCs w:val="24"/>
        </w:rPr>
        <w:t xml:space="preserve"> Para efectos del FONENERGÍA es un tipo de producto financiable o cofinanciable a través del Fondo. Es un instrumento que permite determinar objetivos, metas, prioridades y estrategias de manera general definidas para un periodo, de esta manera se programa la materialización de las políticas de desarrollo planteadas por el Estado. Un Plan se desagrega en Programas y estos a su vez se conforman por Proyectos.</w:t>
      </w:r>
    </w:p>
    <w:p w14:paraId="4D19247A" w14:textId="77777777" w:rsidR="004B40A4" w:rsidRPr="00C63186" w:rsidRDefault="004B40A4" w:rsidP="008E39FD">
      <w:pPr>
        <w:tabs>
          <w:tab w:val="left" w:pos="4474"/>
        </w:tabs>
        <w:spacing w:after="0"/>
        <w:jc w:val="both"/>
        <w:rPr>
          <w:rFonts w:ascii="Arial" w:hAnsi="Arial" w:cs="Arial"/>
          <w:sz w:val="24"/>
          <w:szCs w:val="24"/>
        </w:rPr>
      </w:pPr>
    </w:p>
    <w:p w14:paraId="5899472B"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Priorización:</w:t>
      </w:r>
      <w:r w:rsidRPr="0025137C">
        <w:rPr>
          <w:rFonts w:ascii="Arial" w:hAnsi="Arial" w:cs="Arial"/>
          <w:sz w:val="24"/>
          <w:szCs w:val="24"/>
        </w:rPr>
        <w:t xml:space="preserve"> Decisión a cargo del Equipo Técnico en aplicación del procedimiento establecido en este Manual, mediante la cual se expresa la prelación de unos Planes, Programas o Proyectos respecto de otros, una vez que han sido viabilizados.</w:t>
      </w:r>
      <w:r w:rsidRPr="00C63186">
        <w:rPr>
          <w:rFonts w:ascii="Arial" w:hAnsi="Arial" w:cs="Arial"/>
          <w:sz w:val="24"/>
          <w:szCs w:val="24"/>
        </w:rPr>
        <w:t xml:space="preserve"> </w:t>
      </w:r>
    </w:p>
    <w:p w14:paraId="0B4C1737" w14:textId="77777777" w:rsidR="004B40A4" w:rsidRPr="00C63186" w:rsidRDefault="004B40A4" w:rsidP="008E39FD">
      <w:pPr>
        <w:tabs>
          <w:tab w:val="left" w:pos="4474"/>
        </w:tabs>
        <w:spacing w:after="0"/>
        <w:jc w:val="both"/>
        <w:rPr>
          <w:rFonts w:ascii="Arial" w:hAnsi="Arial" w:cs="Arial"/>
          <w:sz w:val="24"/>
          <w:szCs w:val="24"/>
        </w:rPr>
      </w:pPr>
    </w:p>
    <w:p w14:paraId="01233D40"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Programa:</w:t>
      </w:r>
      <w:r w:rsidRPr="0025137C">
        <w:rPr>
          <w:rFonts w:ascii="Arial" w:hAnsi="Arial" w:cs="Arial"/>
          <w:sz w:val="24"/>
          <w:szCs w:val="24"/>
        </w:rPr>
        <w:t xml:space="preserve"> Conjunto y/o articulación de un grupo de Proyectos dirigidos a satisfacer el mismo objetivo.</w:t>
      </w:r>
    </w:p>
    <w:p w14:paraId="3FF1706E" w14:textId="77777777" w:rsidR="004B40A4" w:rsidRPr="00C63186" w:rsidRDefault="004B40A4" w:rsidP="008E39FD">
      <w:pPr>
        <w:tabs>
          <w:tab w:val="left" w:pos="4474"/>
        </w:tabs>
        <w:spacing w:after="0"/>
        <w:jc w:val="both"/>
        <w:rPr>
          <w:rFonts w:ascii="Arial" w:hAnsi="Arial" w:cs="Arial"/>
          <w:sz w:val="24"/>
          <w:szCs w:val="24"/>
        </w:rPr>
      </w:pPr>
    </w:p>
    <w:p w14:paraId="2C72FDEF" w14:textId="5C86E730" w:rsidR="004B40A4"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Proyectos:</w:t>
      </w:r>
      <w:r w:rsidRPr="0025137C">
        <w:rPr>
          <w:rFonts w:ascii="Arial" w:hAnsi="Arial" w:cs="Arial"/>
          <w:sz w:val="24"/>
          <w:szCs w:val="24"/>
        </w:rPr>
        <w:t xml:space="preserve"> Conjunto de documentos elaborados en </w:t>
      </w:r>
      <w:r w:rsidR="00F2784C">
        <w:rPr>
          <w:rFonts w:ascii="Arial" w:hAnsi="Arial" w:cs="Arial"/>
          <w:sz w:val="24"/>
          <w:szCs w:val="24"/>
        </w:rPr>
        <w:t>desarrollo</w:t>
      </w:r>
      <w:r w:rsidRPr="0025137C">
        <w:rPr>
          <w:rFonts w:ascii="Arial" w:hAnsi="Arial" w:cs="Arial"/>
          <w:sz w:val="24"/>
          <w:szCs w:val="24"/>
        </w:rPr>
        <w:t xml:space="preserve"> de una serie de requisitos en los cuales se establecen las actividades específicas que se deben realizar de manera articulada para resolver una necesidad</w:t>
      </w:r>
      <w:r w:rsidR="00F2784C">
        <w:rPr>
          <w:rFonts w:ascii="Arial" w:hAnsi="Arial" w:cs="Arial"/>
          <w:sz w:val="24"/>
          <w:szCs w:val="24"/>
        </w:rPr>
        <w:t>,</w:t>
      </w:r>
      <w:r w:rsidRPr="0025137C">
        <w:rPr>
          <w:rFonts w:ascii="Arial" w:hAnsi="Arial" w:cs="Arial"/>
          <w:sz w:val="24"/>
          <w:szCs w:val="24"/>
        </w:rPr>
        <w:t xml:space="preserve"> en cumplimiento de un objetivo</w:t>
      </w:r>
      <w:r w:rsidR="00F2784C">
        <w:rPr>
          <w:rFonts w:ascii="Arial" w:hAnsi="Arial" w:cs="Arial"/>
          <w:sz w:val="24"/>
          <w:szCs w:val="24"/>
        </w:rPr>
        <w:t>,</w:t>
      </w:r>
      <w:r w:rsidRPr="0025137C">
        <w:rPr>
          <w:rFonts w:ascii="Arial" w:hAnsi="Arial" w:cs="Arial"/>
          <w:sz w:val="24"/>
          <w:szCs w:val="24"/>
        </w:rPr>
        <w:t xml:space="preserve"> para la ejecución, desarrollo, instalación, construcción</w:t>
      </w:r>
      <w:r w:rsidR="00F2784C">
        <w:rPr>
          <w:rFonts w:ascii="Arial" w:hAnsi="Arial" w:cs="Arial"/>
          <w:sz w:val="24"/>
          <w:szCs w:val="24"/>
        </w:rPr>
        <w:t xml:space="preserve"> </w:t>
      </w:r>
      <w:r w:rsidRPr="0025137C">
        <w:rPr>
          <w:rFonts w:ascii="Arial" w:hAnsi="Arial" w:cs="Arial"/>
          <w:sz w:val="24"/>
          <w:szCs w:val="24"/>
        </w:rPr>
        <w:t>y operación</w:t>
      </w:r>
      <w:r w:rsidR="00F2784C">
        <w:rPr>
          <w:rFonts w:ascii="Arial" w:hAnsi="Arial" w:cs="Arial"/>
          <w:sz w:val="24"/>
          <w:szCs w:val="24"/>
        </w:rPr>
        <w:t xml:space="preserve"> de infraestructura</w:t>
      </w:r>
      <w:r w:rsidR="00491F72">
        <w:rPr>
          <w:rFonts w:ascii="Arial" w:hAnsi="Arial" w:cs="Arial"/>
          <w:sz w:val="24"/>
          <w:szCs w:val="24"/>
        </w:rPr>
        <w:t xml:space="preserve">, que buscan la </w:t>
      </w:r>
      <w:r w:rsidRPr="00C85FA9">
        <w:rPr>
          <w:rFonts w:ascii="Arial" w:hAnsi="Arial" w:cs="Arial"/>
          <w:sz w:val="24"/>
          <w:szCs w:val="24"/>
        </w:rPr>
        <w:t xml:space="preserve"> Financiación o Cofinanciación del FONENERGÍA </w:t>
      </w:r>
      <w:r w:rsidR="00491F72">
        <w:rPr>
          <w:rFonts w:ascii="Arial" w:hAnsi="Arial" w:cs="Arial"/>
          <w:sz w:val="24"/>
          <w:szCs w:val="24"/>
        </w:rPr>
        <w:t xml:space="preserve">de que trata </w:t>
      </w:r>
      <w:r w:rsidRPr="00C85FA9">
        <w:rPr>
          <w:rFonts w:ascii="Arial" w:hAnsi="Arial" w:cs="Arial"/>
          <w:sz w:val="24"/>
          <w:szCs w:val="24"/>
        </w:rPr>
        <w:t xml:space="preserve">el </w:t>
      </w:r>
      <w:r w:rsidR="00C85FA9" w:rsidRPr="00C85FA9">
        <w:rPr>
          <w:rFonts w:ascii="Arial" w:hAnsi="Arial" w:cs="Arial"/>
          <w:sz w:val="24"/>
          <w:szCs w:val="24"/>
        </w:rPr>
        <w:t>Título III</w:t>
      </w:r>
      <w:r w:rsidRPr="00C85FA9">
        <w:rPr>
          <w:rFonts w:ascii="Arial" w:hAnsi="Arial" w:cs="Arial"/>
          <w:sz w:val="24"/>
          <w:szCs w:val="24"/>
        </w:rPr>
        <w:t xml:space="preserve"> del</w:t>
      </w:r>
      <w:r w:rsidRPr="0025137C">
        <w:rPr>
          <w:rFonts w:ascii="Arial" w:hAnsi="Arial" w:cs="Arial"/>
          <w:sz w:val="24"/>
          <w:szCs w:val="24"/>
        </w:rPr>
        <w:t xml:space="preserve"> presente Manual.</w:t>
      </w:r>
    </w:p>
    <w:p w14:paraId="52849430" w14:textId="77777777" w:rsidR="004B40A4" w:rsidRDefault="004B40A4" w:rsidP="008E39FD">
      <w:pPr>
        <w:tabs>
          <w:tab w:val="left" w:pos="4474"/>
        </w:tabs>
        <w:spacing w:after="0"/>
        <w:jc w:val="both"/>
        <w:rPr>
          <w:rFonts w:ascii="Arial" w:hAnsi="Arial" w:cs="Arial"/>
          <w:sz w:val="24"/>
          <w:szCs w:val="24"/>
        </w:rPr>
      </w:pPr>
    </w:p>
    <w:p w14:paraId="4335D186" w14:textId="3E601226" w:rsidR="004B40A4" w:rsidRPr="002E2CD7"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 xml:space="preserve">Proyectos de reposición, rehabilitación y/o modernización de infraestructura existente: </w:t>
      </w:r>
      <w:r w:rsidRPr="0025137C">
        <w:rPr>
          <w:rFonts w:ascii="Arial" w:hAnsi="Arial" w:cs="Arial"/>
          <w:sz w:val="24"/>
          <w:szCs w:val="24"/>
        </w:rPr>
        <w:t>Iniciativas orientadas a intervenir infraestructura existente con el fin de restituir, recuperar o actualizar componentes físicos y funcionales, mediante el reemplazo de elementos obsoletos o deteriorados, la corrección de fallas técnicas y la incorporación de mejoras tecnológicas, con el objetivo de garantizar la continuidad, seguridad, eficiencia y confiabilidad del servicio.</w:t>
      </w:r>
    </w:p>
    <w:p w14:paraId="02B3E497" w14:textId="77777777" w:rsidR="004B40A4" w:rsidRPr="002E2CD7" w:rsidRDefault="004B40A4" w:rsidP="008E39FD">
      <w:pPr>
        <w:tabs>
          <w:tab w:val="left" w:pos="4474"/>
        </w:tabs>
        <w:spacing w:after="0"/>
        <w:jc w:val="both"/>
        <w:rPr>
          <w:rFonts w:ascii="Arial" w:hAnsi="Arial" w:cs="Arial"/>
          <w:sz w:val="24"/>
          <w:szCs w:val="24"/>
        </w:rPr>
      </w:pPr>
    </w:p>
    <w:p w14:paraId="4A551F57" w14:textId="3563DB7C"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Proyectos Urgentes:</w:t>
      </w:r>
      <w:r w:rsidRPr="0025137C" w:rsidDel="009B1A97">
        <w:rPr>
          <w:rFonts w:ascii="Arial" w:hAnsi="Arial" w:cs="Arial"/>
          <w:sz w:val="24"/>
          <w:szCs w:val="24"/>
        </w:rPr>
        <w:t xml:space="preserve"> </w:t>
      </w:r>
      <w:r w:rsidR="00C85FA9">
        <w:rPr>
          <w:rFonts w:ascii="Arial" w:hAnsi="Arial" w:cs="Arial"/>
          <w:sz w:val="24"/>
          <w:szCs w:val="24"/>
        </w:rPr>
        <w:t>P</w:t>
      </w:r>
      <w:r w:rsidR="009B1A97" w:rsidRPr="0025137C">
        <w:rPr>
          <w:rFonts w:ascii="Arial" w:hAnsi="Arial" w:cs="Arial"/>
          <w:sz w:val="24"/>
          <w:szCs w:val="24"/>
        </w:rPr>
        <w:t xml:space="preserve">royecto </w:t>
      </w:r>
      <w:r w:rsidR="00C85FA9">
        <w:rPr>
          <w:rFonts w:ascii="Arial" w:hAnsi="Arial" w:cs="Arial"/>
          <w:sz w:val="24"/>
          <w:szCs w:val="24"/>
        </w:rPr>
        <w:t xml:space="preserve">agilizado y </w:t>
      </w:r>
      <w:r w:rsidR="009B1A97" w:rsidRPr="0025137C">
        <w:rPr>
          <w:rFonts w:ascii="Arial" w:hAnsi="Arial" w:cs="Arial"/>
          <w:sz w:val="24"/>
          <w:szCs w:val="24"/>
        </w:rPr>
        <w:t>priorizado</w:t>
      </w:r>
      <w:r w:rsidR="004B5004" w:rsidRPr="0025137C">
        <w:rPr>
          <w:rFonts w:ascii="Arial" w:hAnsi="Arial" w:cs="Arial"/>
          <w:sz w:val="24"/>
          <w:szCs w:val="24"/>
        </w:rPr>
        <w:t xml:space="preserve"> por el Ministerio de Minas y Energía</w:t>
      </w:r>
      <w:r w:rsidR="009B1A97" w:rsidRPr="0025137C">
        <w:rPr>
          <w:rFonts w:ascii="Arial" w:hAnsi="Arial" w:cs="Arial"/>
          <w:sz w:val="24"/>
          <w:szCs w:val="24"/>
        </w:rPr>
        <w:t xml:space="preserve"> </w:t>
      </w:r>
      <w:r w:rsidRPr="0025137C">
        <w:rPr>
          <w:rFonts w:ascii="Arial" w:hAnsi="Arial" w:cs="Arial"/>
          <w:sz w:val="24"/>
          <w:szCs w:val="24"/>
        </w:rPr>
        <w:t xml:space="preserve">para </w:t>
      </w:r>
      <w:r w:rsidR="004B5004" w:rsidRPr="0025137C">
        <w:rPr>
          <w:rFonts w:ascii="Arial" w:hAnsi="Arial" w:cs="Arial"/>
          <w:sz w:val="24"/>
          <w:szCs w:val="24"/>
        </w:rPr>
        <w:t>atender situaciones críticas de prestación del servicio o emergencias en ZNI</w:t>
      </w:r>
      <w:r w:rsidR="00C85FA9">
        <w:rPr>
          <w:rFonts w:ascii="Arial" w:hAnsi="Arial" w:cs="Arial"/>
          <w:sz w:val="24"/>
          <w:szCs w:val="24"/>
        </w:rPr>
        <w:t xml:space="preserve"> o SIN</w:t>
      </w:r>
      <w:r w:rsidR="007E0F77" w:rsidRPr="0025137C">
        <w:rPr>
          <w:rFonts w:ascii="Arial" w:hAnsi="Arial" w:cs="Arial"/>
          <w:sz w:val="24"/>
          <w:szCs w:val="24"/>
        </w:rPr>
        <w:t xml:space="preserve">, por medio de </w:t>
      </w:r>
      <w:r w:rsidRPr="0025137C">
        <w:rPr>
          <w:rFonts w:ascii="Arial" w:hAnsi="Arial" w:cs="Arial"/>
          <w:sz w:val="24"/>
          <w:szCs w:val="24"/>
        </w:rPr>
        <w:t>la Financiación o Cofinanciación de Planes, Programas o Proyectos de Energía Eléctrica.</w:t>
      </w:r>
    </w:p>
    <w:p w14:paraId="3EA02613" w14:textId="77777777" w:rsidR="004B40A4" w:rsidRPr="00C63186" w:rsidRDefault="004B40A4" w:rsidP="008E39FD">
      <w:pPr>
        <w:tabs>
          <w:tab w:val="left" w:pos="4474"/>
        </w:tabs>
        <w:spacing w:after="0"/>
        <w:jc w:val="both"/>
        <w:rPr>
          <w:rFonts w:ascii="Arial" w:hAnsi="Arial" w:cs="Arial"/>
          <w:sz w:val="24"/>
          <w:szCs w:val="24"/>
        </w:rPr>
      </w:pPr>
    </w:p>
    <w:p w14:paraId="20E16CBD"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Red física: </w:t>
      </w:r>
      <w:r w:rsidRPr="00C63186">
        <w:rPr>
          <w:rFonts w:ascii="Arial" w:hAnsi="Arial" w:cs="Arial"/>
          <w:sz w:val="24"/>
          <w:szCs w:val="24"/>
        </w:rPr>
        <w:t>Conjunto de redes eléctricas, subestaciones y equipos complementarios, destinados a la prestación del servicio público de energía eléctrica</w:t>
      </w:r>
      <w:r w:rsidRPr="00C63186">
        <w:rPr>
          <w:rStyle w:val="Refdenotaalpie"/>
          <w:rFonts w:ascii="Arial" w:hAnsi="Arial" w:cs="Arial"/>
          <w:sz w:val="24"/>
          <w:szCs w:val="24"/>
        </w:rPr>
        <w:footnoteReference w:id="20"/>
      </w:r>
      <w:r w:rsidRPr="00C63186">
        <w:rPr>
          <w:rFonts w:ascii="Arial" w:hAnsi="Arial" w:cs="Arial"/>
          <w:sz w:val="24"/>
          <w:szCs w:val="24"/>
        </w:rPr>
        <w:t>.</w:t>
      </w:r>
    </w:p>
    <w:p w14:paraId="03154D3B" w14:textId="77777777" w:rsidR="004B40A4" w:rsidRPr="00C63186" w:rsidRDefault="004B40A4" w:rsidP="008E39FD">
      <w:pPr>
        <w:tabs>
          <w:tab w:val="left" w:pos="4474"/>
        </w:tabs>
        <w:spacing w:after="0"/>
        <w:jc w:val="both"/>
        <w:rPr>
          <w:rFonts w:ascii="Arial" w:hAnsi="Arial" w:cs="Arial"/>
          <w:b/>
          <w:bCs/>
          <w:sz w:val="24"/>
          <w:szCs w:val="24"/>
        </w:rPr>
      </w:pPr>
    </w:p>
    <w:p w14:paraId="6340773F"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lastRenderedPageBreak/>
        <w:t>Red interna:</w:t>
      </w:r>
      <w:r w:rsidRPr="00C63186">
        <w:rPr>
          <w:rFonts w:ascii="Arial" w:hAnsi="Arial" w:cs="Arial"/>
          <w:sz w:val="24"/>
          <w:szCs w:val="24"/>
        </w:rPr>
        <w:t xml:space="preserve"> </w:t>
      </w:r>
      <w:r>
        <w:rPr>
          <w:rFonts w:ascii="Arial" w:hAnsi="Arial" w:cs="Arial"/>
          <w:sz w:val="24"/>
          <w:szCs w:val="24"/>
        </w:rPr>
        <w:t>C</w:t>
      </w:r>
      <w:r w:rsidRPr="00DD6B0C">
        <w:rPr>
          <w:rFonts w:ascii="Arial" w:hAnsi="Arial" w:cs="Arial"/>
          <w:sz w:val="24"/>
          <w:szCs w:val="24"/>
        </w:rPr>
        <w:t>onjunto de conductores, canalizaciones y equipos (accesorios, dispositivos y artefactos) que llevan la energía eléctrica desde la frontera del operador de red hasta los puntos de uso final</w:t>
      </w:r>
      <w:r>
        <w:rPr>
          <w:rStyle w:val="Refdenotaalpie"/>
          <w:rFonts w:ascii="Arial" w:hAnsi="Arial" w:cs="Arial"/>
          <w:sz w:val="24"/>
          <w:szCs w:val="24"/>
        </w:rPr>
        <w:footnoteReference w:id="21"/>
      </w:r>
      <w:r w:rsidRPr="00DD6B0C">
        <w:rPr>
          <w:rFonts w:ascii="Arial" w:hAnsi="Arial" w:cs="Arial"/>
          <w:sz w:val="24"/>
          <w:szCs w:val="24"/>
        </w:rPr>
        <w:t>.</w:t>
      </w:r>
    </w:p>
    <w:p w14:paraId="3B2B892D"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sz w:val="24"/>
          <w:szCs w:val="24"/>
        </w:rPr>
        <w:t xml:space="preserve"> </w:t>
      </w:r>
    </w:p>
    <w:p w14:paraId="103A534D" w14:textId="14C5A94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Red logística o de servicio: </w:t>
      </w:r>
      <w:r w:rsidRPr="00C63186">
        <w:rPr>
          <w:rFonts w:ascii="Arial" w:hAnsi="Arial" w:cs="Arial"/>
          <w:sz w:val="24"/>
          <w:szCs w:val="24"/>
        </w:rPr>
        <w:t>Conjunto de activos, procesos y actividades logísticas, técnicas y económicas, destinadas a la prestación del servicio público de energía eléctrica a Usuarios Aislados. Esta definición no aplica para soluciones de autogeneración</w:t>
      </w:r>
      <w:r w:rsidR="00491F72">
        <w:rPr>
          <w:rFonts w:ascii="Arial" w:hAnsi="Arial" w:cs="Arial"/>
          <w:sz w:val="24"/>
          <w:szCs w:val="24"/>
        </w:rPr>
        <w:t>.</w:t>
      </w:r>
      <w:r w:rsidRPr="00C63186">
        <w:rPr>
          <w:rStyle w:val="Refdenotaalpie"/>
        </w:rPr>
        <w:footnoteReference w:id="22"/>
      </w:r>
      <w:r w:rsidRPr="00C63186">
        <w:t xml:space="preserve"> </w:t>
      </w:r>
    </w:p>
    <w:p w14:paraId="289A5D2F" w14:textId="77777777" w:rsidR="004B40A4" w:rsidRPr="00C63186" w:rsidRDefault="004B40A4" w:rsidP="008E39FD">
      <w:pPr>
        <w:tabs>
          <w:tab w:val="left" w:pos="4474"/>
        </w:tabs>
        <w:spacing w:after="0"/>
        <w:jc w:val="both"/>
        <w:rPr>
          <w:rFonts w:ascii="Arial" w:hAnsi="Arial" w:cs="Arial"/>
          <w:sz w:val="24"/>
          <w:szCs w:val="24"/>
        </w:rPr>
      </w:pPr>
    </w:p>
    <w:p w14:paraId="44F58DFE"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Rendición de Cuentas:</w:t>
      </w:r>
      <w:r w:rsidRPr="0025137C">
        <w:rPr>
          <w:rFonts w:ascii="Arial" w:hAnsi="Arial" w:cs="Arial"/>
          <w:sz w:val="24"/>
          <w:szCs w:val="24"/>
        </w:rPr>
        <w:t xml:space="preserve"> Informe anual o extraordinario, según lo solicité el Comité de Administración, que se presenta a este Órgano de Dirección por parte del Gerente Técnico, sobre el estado administrativo, operativo y financiero del FONENERGIA.</w:t>
      </w:r>
      <w:r w:rsidRPr="00C63186">
        <w:rPr>
          <w:rFonts w:ascii="Arial" w:hAnsi="Arial" w:cs="Arial"/>
          <w:sz w:val="24"/>
          <w:szCs w:val="24"/>
        </w:rPr>
        <w:t xml:space="preserve"> </w:t>
      </w:r>
    </w:p>
    <w:p w14:paraId="1B5532C6" w14:textId="77777777" w:rsidR="004B40A4" w:rsidRPr="00C63186" w:rsidRDefault="004B40A4" w:rsidP="008E39FD">
      <w:pPr>
        <w:tabs>
          <w:tab w:val="left" w:pos="4474"/>
        </w:tabs>
        <w:spacing w:after="0"/>
        <w:jc w:val="both"/>
        <w:rPr>
          <w:rFonts w:ascii="Arial" w:hAnsi="Arial" w:cs="Arial"/>
          <w:sz w:val="24"/>
          <w:szCs w:val="24"/>
        </w:rPr>
      </w:pPr>
    </w:p>
    <w:p w14:paraId="2E89A62E" w14:textId="6BD2A8D8" w:rsidR="004B40A4"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 xml:space="preserve">Replanteo: </w:t>
      </w:r>
      <w:r w:rsidR="00491F72" w:rsidRPr="00491F72">
        <w:rPr>
          <w:rFonts w:ascii="Arial" w:hAnsi="Arial" w:cs="Arial"/>
          <w:bCs/>
          <w:sz w:val="24"/>
          <w:szCs w:val="24"/>
        </w:rPr>
        <w:t>P</w:t>
      </w:r>
      <w:r w:rsidRPr="00491F72">
        <w:rPr>
          <w:rFonts w:ascii="Arial" w:hAnsi="Arial" w:cs="Arial"/>
          <w:bCs/>
          <w:sz w:val="24"/>
          <w:szCs w:val="24"/>
        </w:rPr>
        <w:t>roceso</w:t>
      </w:r>
      <w:r w:rsidRPr="0025137C">
        <w:rPr>
          <w:rFonts w:ascii="Arial" w:hAnsi="Arial" w:cs="Arial"/>
          <w:sz w:val="24"/>
          <w:szCs w:val="24"/>
        </w:rPr>
        <w:t xml:space="preserve"> de verificación y validación de los usuarios a beneficiar, así como de las condiciones sociales, ambientales y técnicas del proyecto, de acuerdo con la realidad del terreno y su entorno. Este proceso se realiza previamente al inicio de la construcción, con el fin de ajustar el alcance y las actividades</w:t>
      </w:r>
      <w:r w:rsidR="00491F72">
        <w:rPr>
          <w:rFonts w:ascii="Arial" w:hAnsi="Arial" w:cs="Arial"/>
          <w:sz w:val="24"/>
          <w:szCs w:val="24"/>
        </w:rPr>
        <w:t xml:space="preserve"> contractuales</w:t>
      </w:r>
      <w:r w:rsidRPr="0025137C">
        <w:rPr>
          <w:rFonts w:ascii="Arial" w:hAnsi="Arial" w:cs="Arial"/>
          <w:sz w:val="24"/>
          <w:szCs w:val="24"/>
        </w:rPr>
        <w:t xml:space="preserve"> del proyecto para asegurar su correcta y eficiente ejecución.</w:t>
      </w:r>
    </w:p>
    <w:p w14:paraId="71B8FACA" w14:textId="77777777" w:rsidR="004B40A4" w:rsidRDefault="004B40A4" w:rsidP="008E39FD">
      <w:pPr>
        <w:tabs>
          <w:tab w:val="left" w:pos="4474"/>
        </w:tabs>
        <w:spacing w:after="0"/>
        <w:jc w:val="both"/>
        <w:rPr>
          <w:rFonts w:ascii="Arial" w:hAnsi="Arial" w:cs="Arial"/>
          <w:b/>
          <w:bCs/>
          <w:sz w:val="24"/>
          <w:szCs w:val="24"/>
        </w:rPr>
      </w:pPr>
    </w:p>
    <w:p w14:paraId="607A0D8B" w14:textId="77777777"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Requisitos:</w:t>
      </w:r>
      <w:r w:rsidRPr="0025137C">
        <w:rPr>
          <w:rFonts w:ascii="Arial" w:hAnsi="Arial" w:cs="Arial"/>
          <w:sz w:val="24"/>
          <w:szCs w:val="24"/>
        </w:rPr>
        <w:t xml:space="preserve"> Condiciones previas, debidamente soportadas documentalmente, que deben cumplir obligatoriamente los Planes, Programas y/o Proyectos estructurados por FONENERGIA o que se le presentan para ser Financiados o Cofinanciados por éste.</w:t>
      </w:r>
    </w:p>
    <w:p w14:paraId="45667892" w14:textId="77777777" w:rsidR="004B40A4" w:rsidRPr="00C63186" w:rsidRDefault="004B40A4" w:rsidP="008E39FD">
      <w:pPr>
        <w:tabs>
          <w:tab w:val="left" w:pos="4474"/>
        </w:tabs>
        <w:spacing w:after="0"/>
        <w:jc w:val="both"/>
        <w:rPr>
          <w:rFonts w:ascii="Arial" w:hAnsi="Arial" w:cs="Arial"/>
          <w:sz w:val="24"/>
          <w:szCs w:val="24"/>
        </w:rPr>
      </w:pPr>
    </w:p>
    <w:p w14:paraId="072C422C" w14:textId="70CE1556"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Servicio de </w:t>
      </w:r>
      <w:r w:rsidR="00491F72">
        <w:rPr>
          <w:rFonts w:ascii="Arial" w:hAnsi="Arial" w:cs="Arial"/>
          <w:b/>
          <w:bCs/>
          <w:sz w:val="24"/>
          <w:szCs w:val="24"/>
        </w:rPr>
        <w:t>A</w:t>
      </w:r>
      <w:r w:rsidRPr="00C63186">
        <w:rPr>
          <w:rFonts w:ascii="Arial" w:hAnsi="Arial" w:cs="Arial"/>
          <w:b/>
          <w:bCs/>
          <w:sz w:val="24"/>
          <w:szCs w:val="24"/>
        </w:rPr>
        <w:t xml:space="preserve">lumbrado </w:t>
      </w:r>
      <w:r w:rsidR="00491F72">
        <w:rPr>
          <w:rFonts w:ascii="Arial" w:hAnsi="Arial" w:cs="Arial"/>
          <w:b/>
          <w:bCs/>
          <w:sz w:val="24"/>
          <w:szCs w:val="24"/>
        </w:rPr>
        <w:t>P</w:t>
      </w:r>
      <w:r w:rsidRPr="00C63186">
        <w:rPr>
          <w:rFonts w:ascii="Arial" w:hAnsi="Arial" w:cs="Arial"/>
          <w:b/>
          <w:bCs/>
          <w:sz w:val="24"/>
          <w:szCs w:val="24"/>
        </w:rPr>
        <w:t>úblico:</w:t>
      </w:r>
      <w:r w:rsidRPr="00C63186">
        <w:rPr>
          <w:rFonts w:ascii="Arial" w:hAnsi="Arial" w:cs="Arial"/>
          <w:sz w:val="24"/>
          <w:szCs w:val="24"/>
        </w:rPr>
        <w:t xml:space="preserve"> Es el servicio público no domiciliario consistente e</w:t>
      </w:r>
      <w:r>
        <w:rPr>
          <w:rFonts w:ascii="Arial" w:hAnsi="Arial" w:cs="Arial"/>
          <w:sz w:val="24"/>
          <w:szCs w:val="24"/>
        </w:rPr>
        <w:t>n</w:t>
      </w:r>
      <w:r w:rsidRPr="00C63186">
        <w:rPr>
          <w:rFonts w:ascii="Arial" w:hAnsi="Arial" w:cs="Arial"/>
          <w:sz w:val="24"/>
          <w:szCs w:val="24"/>
        </w:rPr>
        <w:t xml:space="preserve"> la iluminación de las vías públicas, parques públicos, y demás espacios de libre circulación que no se encuentren a cargo de ninguna persona natural o jurídica de derecho privado o público, diferente del municipio, con el objeto de proporcionar la visibilidad adecuada para el normal desarrollo de las actividades tanto vehiculares como peatonales. También se incluyen los sistemas de semaforización y relojes electrónicos instalados por el Municipio. Por vías públicas se entienden los senderos y caminos peatonales y vehiculares, calles y avenidas de tránsito comunitario o general</w:t>
      </w:r>
      <w:r>
        <w:rPr>
          <w:rStyle w:val="Refdenotaalpie"/>
          <w:rFonts w:ascii="Arial" w:hAnsi="Arial" w:cs="Arial"/>
          <w:sz w:val="24"/>
          <w:szCs w:val="24"/>
        </w:rPr>
        <w:footnoteReference w:id="23"/>
      </w:r>
      <w:r w:rsidRPr="00C63186">
        <w:rPr>
          <w:rFonts w:ascii="Arial" w:hAnsi="Arial" w:cs="Arial"/>
          <w:sz w:val="24"/>
          <w:szCs w:val="24"/>
        </w:rPr>
        <w:t>.</w:t>
      </w:r>
    </w:p>
    <w:p w14:paraId="47F35040" w14:textId="77777777" w:rsidR="004B40A4" w:rsidRPr="00C63186" w:rsidRDefault="004B40A4" w:rsidP="008E39FD">
      <w:pPr>
        <w:tabs>
          <w:tab w:val="left" w:pos="4474"/>
        </w:tabs>
        <w:spacing w:after="0"/>
        <w:jc w:val="both"/>
        <w:rPr>
          <w:rFonts w:ascii="Arial" w:hAnsi="Arial" w:cs="Arial"/>
          <w:sz w:val="24"/>
          <w:szCs w:val="24"/>
        </w:rPr>
      </w:pPr>
    </w:p>
    <w:p w14:paraId="5C5A7EEA" w14:textId="592C1BE3" w:rsidR="004B40A4" w:rsidRPr="00C63186" w:rsidRDefault="004B40A4" w:rsidP="008E39FD">
      <w:pPr>
        <w:tabs>
          <w:tab w:val="left" w:pos="4474"/>
        </w:tabs>
        <w:spacing w:after="0"/>
        <w:jc w:val="both"/>
        <w:rPr>
          <w:rFonts w:ascii="Arial" w:hAnsi="Arial" w:cs="Arial"/>
          <w:sz w:val="24"/>
          <w:szCs w:val="24"/>
        </w:rPr>
      </w:pPr>
      <w:r w:rsidRPr="0025137C">
        <w:rPr>
          <w:rFonts w:ascii="Arial" w:hAnsi="Arial" w:cs="Arial"/>
          <w:b/>
          <w:sz w:val="24"/>
          <w:szCs w:val="24"/>
        </w:rPr>
        <w:t>Servicios Públicos Domiciliarios:</w:t>
      </w:r>
      <w:r w:rsidRPr="0025137C">
        <w:rPr>
          <w:rFonts w:ascii="Arial" w:hAnsi="Arial" w:cs="Arial"/>
          <w:sz w:val="24"/>
          <w:szCs w:val="24"/>
        </w:rPr>
        <w:t xml:space="preserve"> Son los servicios de acueducto, alcantarillado, aseo, energía eléctrica y distribución de gas combustible, tal como se definen en la Ley 142 de 1994 y demás </w:t>
      </w:r>
      <w:r w:rsidR="003E6AF4" w:rsidRPr="0025137C">
        <w:rPr>
          <w:rFonts w:ascii="Arial" w:hAnsi="Arial" w:cs="Arial"/>
          <w:sz w:val="24"/>
          <w:szCs w:val="24"/>
        </w:rPr>
        <w:t>n</w:t>
      </w:r>
      <w:r w:rsidRPr="0025137C">
        <w:rPr>
          <w:rFonts w:ascii="Arial" w:hAnsi="Arial" w:cs="Arial"/>
          <w:sz w:val="24"/>
          <w:szCs w:val="24"/>
        </w:rPr>
        <w:t xml:space="preserve">ormativa </w:t>
      </w:r>
      <w:r w:rsidR="003E6AF4" w:rsidRPr="0025137C">
        <w:rPr>
          <w:rFonts w:ascii="Arial" w:hAnsi="Arial" w:cs="Arial"/>
          <w:sz w:val="24"/>
          <w:szCs w:val="24"/>
        </w:rPr>
        <w:t>a</w:t>
      </w:r>
      <w:r w:rsidRPr="0025137C">
        <w:rPr>
          <w:rFonts w:ascii="Arial" w:hAnsi="Arial" w:cs="Arial"/>
          <w:sz w:val="24"/>
          <w:szCs w:val="24"/>
        </w:rPr>
        <w:t>plicable.</w:t>
      </w:r>
    </w:p>
    <w:p w14:paraId="16C3C4C8" w14:textId="77777777" w:rsidR="004B40A4" w:rsidRPr="00C63186" w:rsidRDefault="004B40A4" w:rsidP="008E39FD">
      <w:pPr>
        <w:tabs>
          <w:tab w:val="left" w:pos="4474"/>
        </w:tabs>
        <w:spacing w:after="0"/>
        <w:jc w:val="both"/>
        <w:rPr>
          <w:rFonts w:ascii="Arial" w:hAnsi="Arial" w:cs="Arial"/>
          <w:sz w:val="24"/>
          <w:szCs w:val="24"/>
        </w:rPr>
      </w:pPr>
    </w:p>
    <w:p w14:paraId="6F60E41A"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Sistema Interconectado Nacional (SIN):</w:t>
      </w:r>
      <w:r w:rsidRPr="00C63186">
        <w:rPr>
          <w:rFonts w:ascii="Arial" w:hAnsi="Arial" w:cs="Arial"/>
          <w:sz w:val="24"/>
          <w:szCs w:val="24"/>
        </w:rPr>
        <w:t xml:space="preserve"> Sistema compuesto por los siguientes elementos conectados entre sí: las plantas y equipos de generación, la red de interconexión, las redes regionales e interregionales de transmisión, las redes de distribución y las cargas eléctricas de los usuarios, según lo previsto por el artículo 11 de la Ley 143 de 1994 </w:t>
      </w:r>
    </w:p>
    <w:p w14:paraId="731BA32B" w14:textId="77777777" w:rsidR="004B40A4" w:rsidRPr="00C63186" w:rsidRDefault="004B40A4" w:rsidP="008E39FD">
      <w:pPr>
        <w:tabs>
          <w:tab w:val="left" w:pos="4474"/>
        </w:tabs>
        <w:spacing w:after="0"/>
        <w:jc w:val="both"/>
        <w:rPr>
          <w:rFonts w:ascii="Arial" w:hAnsi="Arial" w:cs="Arial"/>
          <w:sz w:val="24"/>
          <w:szCs w:val="24"/>
        </w:rPr>
      </w:pPr>
    </w:p>
    <w:p w14:paraId="064F8DDA" w14:textId="77777777" w:rsidR="004B40A4"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lastRenderedPageBreak/>
        <w:t>Solución Centralizada:</w:t>
      </w:r>
      <w:r w:rsidRPr="00C63186">
        <w:rPr>
          <w:rFonts w:ascii="Arial" w:hAnsi="Arial" w:cs="Arial"/>
          <w:sz w:val="24"/>
          <w:szCs w:val="24"/>
        </w:rPr>
        <w:t xml:space="preserve"> Sistema de activos eléctricos para la prestación del servicio público de energía eléctrica que contiene una red física mediante la que se atiende a Usuarios Aislados</w:t>
      </w:r>
      <w:r w:rsidRPr="00C63186">
        <w:rPr>
          <w:rStyle w:val="Refdenotaalpie"/>
          <w:rFonts w:ascii="Arial" w:hAnsi="Arial" w:cs="Arial"/>
          <w:sz w:val="24"/>
          <w:szCs w:val="24"/>
        </w:rPr>
        <w:footnoteReference w:id="24"/>
      </w:r>
      <w:r w:rsidRPr="00C63186">
        <w:rPr>
          <w:rFonts w:ascii="Arial" w:hAnsi="Arial" w:cs="Arial"/>
          <w:sz w:val="24"/>
          <w:szCs w:val="24"/>
        </w:rPr>
        <w:t xml:space="preserve">. </w:t>
      </w:r>
    </w:p>
    <w:p w14:paraId="3501A6F5" w14:textId="77777777" w:rsidR="004B40A4" w:rsidRDefault="004B40A4" w:rsidP="008E39FD">
      <w:pPr>
        <w:tabs>
          <w:tab w:val="left" w:pos="4474"/>
        </w:tabs>
        <w:spacing w:after="0"/>
        <w:jc w:val="both"/>
        <w:rPr>
          <w:rFonts w:ascii="Arial" w:hAnsi="Arial" w:cs="Arial"/>
          <w:sz w:val="24"/>
          <w:szCs w:val="24"/>
        </w:rPr>
      </w:pPr>
    </w:p>
    <w:p w14:paraId="1B6ED8C7" w14:textId="77777777" w:rsidR="004B40A4" w:rsidRPr="00C63186" w:rsidRDefault="004B40A4" w:rsidP="008E39FD">
      <w:pPr>
        <w:tabs>
          <w:tab w:val="left" w:pos="4474"/>
        </w:tabs>
        <w:spacing w:after="0"/>
        <w:jc w:val="both"/>
        <w:rPr>
          <w:rFonts w:ascii="Arial" w:hAnsi="Arial" w:cs="Arial"/>
          <w:sz w:val="24"/>
          <w:szCs w:val="24"/>
        </w:rPr>
      </w:pPr>
      <w:r w:rsidRPr="009A24DA">
        <w:rPr>
          <w:rFonts w:ascii="Arial" w:hAnsi="Arial" w:cs="Arial"/>
          <w:b/>
          <w:bCs/>
          <w:sz w:val="24"/>
          <w:szCs w:val="24"/>
        </w:rPr>
        <w:t>Solución Energética</w:t>
      </w:r>
      <w:r>
        <w:rPr>
          <w:rFonts w:ascii="Arial" w:hAnsi="Arial" w:cs="Arial"/>
          <w:sz w:val="24"/>
          <w:szCs w:val="24"/>
        </w:rPr>
        <w:t>: P</w:t>
      </w:r>
      <w:r w:rsidRPr="0064708A">
        <w:rPr>
          <w:rFonts w:ascii="Arial" w:hAnsi="Arial" w:cs="Arial"/>
          <w:sz w:val="24"/>
          <w:szCs w:val="24"/>
        </w:rPr>
        <w:t xml:space="preserve">lanes, programas </w:t>
      </w:r>
      <w:r>
        <w:rPr>
          <w:rFonts w:ascii="Arial" w:hAnsi="Arial" w:cs="Arial"/>
          <w:sz w:val="24"/>
          <w:szCs w:val="24"/>
        </w:rPr>
        <w:t>o</w:t>
      </w:r>
      <w:r w:rsidRPr="0064708A">
        <w:rPr>
          <w:rFonts w:ascii="Arial" w:hAnsi="Arial" w:cs="Arial"/>
          <w:sz w:val="24"/>
          <w:szCs w:val="24"/>
        </w:rPr>
        <w:t xml:space="preserve"> proyectos </w:t>
      </w:r>
      <w:r>
        <w:rPr>
          <w:rFonts w:ascii="Arial" w:hAnsi="Arial" w:cs="Arial"/>
          <w:sz w:val="24"/>
          <w:szCs w:val="24"/>
        </w:rPr>
        <w:t>en los que se involucra</w:t>
      </w:r>
      <w:r w:rsidRPr="0064708A">
        <w:rPr>
          <w:rFonts w:ascii="Arial" w:hAnsi="Arial" w:cs="Arial"/>
          <w:sz w:val="24"/>
          <w:szCs w:val="24"/>
        </w:rPr>
        <w:t xml:space="preserve"> la construcción e instalación de nueva infraestructura </w:t>
      </w:r>
      <w:r>
        <w:rPr>
          <w:rFonts w:ascii="Arial" w:hAnsi="Arial" w:cs="Arial"/>
          <w:sz w:val="24"/>
          <w:szCs w:val="24"/>
        </w:rPr>
        <w:t>o</w:t>
      </w:r>
      <w:r w:rsidRPr="0064708A">
        <w:rPr>
          <w:rFonts w:ascii="Arial" w:hAnsi="Arial" w:cs="Arial"/>
          <w:sz w:val="24"/>
          <w:szCs w:val="24"/>
        </w:rPr>
        <w:t xml:space="preserve"> el mejoramiento, reposición, rehabilitación, repotenciación y disposición de la infraestructura eléctrica</w:t>
      </w:r>
      <w:r>
        <w:rPr>
          <w:rFonts w:ascii="Arial" w:hAnsi="Arial" w:cs="Arial"/>
          <w:sz w:val="24"/>
          <w:szCs w:val="24"/>
        </w:rPr>
        <w:t xml:space="preserve"> </w:t>
      </w:r>
      <w:r w:rsidRPr="0064708A">
        <w:rPr>
          <w:rFonts w:ascii="Arial" w:hAnsi="Arial" w:cs="Arial"/>
          <w:sz w:val="24"/>
          <w:szCs w:val="24"/>
        </w:rPr>
        <w:t>con el propósito de ampliar y mejorar el servicio de energía eléctrica.</w:t>
      </w:r>
    </w:p>
    <w:p w14:paraId="067F009F" w14:textId="77777777" w:rsidR="004B40A4" w:rsidRPr="00C63186" w:rsidRDefault="004B40A4" w:rsidP="008E39FD">
      <w:pPr>
        <w:tabs>
          <w:tab w:val="left" w:pos="4474"/>
        </w:tabs>
        <w:spacing w:after="0"/>
        <w:jc w:val="both"/>
        <w:rPr>
          <w:rFonts w:ascii="Arial" w:hAnsi="Arial" w:cs="Arial"/>
          <w:b/>
          <w:bCs/>
          <w:sz w:val="24"/>
          <w:szCs w:val="24"/>
        </w:rPr>
      </w:pPr>
    </w:p>
    <w:p w14:paraId="51477B53"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Solución Individual:</w:t>
      </w:r>
      <w:r w:rsidRPr="00C63186">
        <w:rPr>
          <w:rFonts w:ascii="Arial" w:hAnsi="Arial" w:cs="Arial"/>
          <w:sz w:val="24"/>
          <w:szCs w:val="24"/>
        </w:rPr>
        <w:t xml:space="preserve"> Sistema de activos eléctricos para la prestación del servicio público domiciliario de energía eléctrica mediante el cual se atiende a un usuario de manera individual</w:t>
      </w:r>
      <w:r w:rsidRPr="00C63186">
        <w:rPr>
          <w:rStyle w:val="Refdenotaalpie"/>
          <w:rFonts w:ascii="Arial" w:hAnsi="Arial" w:cs="Arial"/>
          <w:sz w:val="24"/>
          <w:szCs w:val="24"/>
        </w:rPr>
        <w:footnoteReference w:id="25"/>
      </w:r>
      <w:r w:rsidRPr="00C63186">
        <w:rPr>
          <w:rFonts w:ascii="Arial" w:hAnsi="Arial" w:cs="Arial"/>
          <w:sz w:val="24"/>
          <w:szCs w:val="24"/>
        </w:rPr>
        <w:t xml:space="preserve">. </w:t>
      </w:r>
    </w:p>
    <w:p w14:paraId="3E52F565" w14:textId="77777777" w:rsidR="004B40A4" w:rsidRPr="00C63186" w:rsidRDefault="004B40A4" w:rsidP="008E39FD">
      <w:pPr>
        <w:tabs>
          <w:tab w:val="left" w:pos="4474"/>
        </w:tabs>
        <w:spacing w:after="0"/>
        <w:jc w:val="both"/>
        <w:rPr>
          <w:rFonts w:ascii="Arial" w:hAnsi="Arial" w:cs="Arial"/>
          <w:sz w:val="24"/>
          <w:szCs w:val="24"/>
        </w:rPr>
      </w:pPr>
    </w:p>
    <w:p w14:paraId="0F9D0028" w14:textId="77777777" w:rsidR="004B40A4" w:rsidRPr="00AA2487" w:rsidRDefault="004B40A4" w:rsidP="00EF288E">
      <w:pPr>
        <w:pStyle w:val="paragraph"/>
        <w:spacing w:before="0" w:beforeAutospacing="0" w:after="0" w:afterAutospacing="0" w:line="276" w:lineRule="auto"/>
        <w:jc w:val="both"/>
        <w:textAlignment w:val="baseline"/>
        <w:rPr>
          <w:rFonts w:ascii="Arial" w:hAnsi="Arial" w:cs="Arial"/>
          <w:sz w:val="18"/>
          <w:szCs w:val="18"/>
        </w:rPr>
      </w:pPr>
      <w:r w:rsidRPr="00AA2487">
        <w:rPr>
          <w:rStyle w:val="normaltextrun"/>
          <w:rFonts w:ascii="Arial" w:hAnsi="Arial" w:cs="Arial"/>
          <w:b/>
          <w:bCs/>
        </w:rPr>
        <w:t xml:space="preserve">Suscriptor Comunitario: </w:t>
      </w:r>
      <w:r w:rsidRPr="00AA2487">
        <w:rPr>
          <w:rStyle w:val="normaltextrun"/>
          <w:rFonts w:ascii="Arial" w:hAnsi="Arial" w:cs="Arial"/>
        </w:rPr>
        <w:t>Es el grupo de usuarios ubicados en un Área Especial de Prestación del Servicio, representados por:</w:t>
      </w:r>
      <w:r w:rsidRPr="00AA2487">
        <w:rPr>
          <w:rStyle w:val="eop"/>
          <w:rFonts w:ascii="Arial" w:hAnsi="Arial" w:cs="Arial"/>
        </w:rPr>
        <w:t> </w:t>
      </w:r>
    </w:p>
    <w:p w14:paraId="151BB78E" w14:textId="77777777" w:rsidR="004B40A4" w:rsidRPr="00AA2487" w:rsidRDefault="004B40A4" w:rsidP="00EF288E">
      <w:pPr>
        <w:pStyle w:val="paragraph"/>
        <w:spacing w:before="0" w:beforeAutospacing="0" w:after="0" w:afterAutospacing="0" w:line="276" w:lineRule="auto"/>
        <w:jc w:val="both"/>
        <w:textAlignment w:val="baseline"/>
        <w:rPr>
          <w:rFonts w:ascii="Arial" w:hAnsi="Arial" w:cs="Arial"/>
          <w:sz w:val="18"/>
          <w:szCs w:val="18"/>
        </w:rPr>
      </w:pPr>
      <w:r w:rsidRPr="00AA2487">
        <w:rPr>
          <w:rStyle w:val="eop"/>
          <w:rFonts w:ascii="Arial" w:hAnsi="Arial" w:cs="Arial"/>
        </w:rPr>
        <w:t> </w:t>
      </w:r>
    </w:p>
    <w:p w14:paraId="635D7ED4" w14:textId="77777777" w:rsidR="004B40A4" w:rsidRPr="00AA2487" w:rsidRDefault="004B40A4" w:rsidP="00EF288E">
      <w:pPr>
        <w:pStyle w:val="paragraph"/>
        <w:spacing w:before="0" w:beforeAutospacing="0" w:after="0" w:afterAutospacing="0" w:line="276" w:lineRule="auto"/>
        <w:jc w:val="both"/>
        <w:textAlignment w:val="baseline"/>
        <w:rPr>
          <w:rFonts w:ascii="Arial" w:hAnsi="Arial" w:cs="Arial"/>
          <w:sz w:val="18"/>
          <w:szCs w:val="18"/>
        </w:rPr>
      </w:pPr>
      <w:r w:rsidRPr="00AA2487">
        <w:rPr>
          <w:rStyle w:val="normaltextrun"/>
          <w:rFonts w:ascii="Arial" w:hAnsi="Arial" w:cs="Arial"/>
        </w:rPr>
        <w:t>i) Un miembro de la comunidad o una persona jurídica que es elegida o designada por ella misma y ha obtenido el reconocimiento del Alcalde Municipal o Distrital, según sea el caso, pudiendo ser reemplazado sólo por aquel que lo eligió.</w:t>
      </w:r>
      <w:r w:rsidRPr="00AA2487">
        <w:rPr>
          <w:rStyle w:val="eop"/>
          <w:rFonts w:ascii="Arial" w:hAnsi="Arial" w:cs="Arial"/>
        </w:rPr>
        <w:t> </w:t>
      </w:r>
    </w:p>
    <w:p w14:paraId="14D7665B" w14:textId="77777777" w:rsidR="004B40A4" w:rsidRPr="00AA2487" w:rsidRDefault="004B40A4" w:rsidP="00EF288E">
      <w:pPr>
        <w:pStyle w:val="paragraph"/>
        <w:spacing w:before="0" w:beforeAutospacing="0" w:after="0" w:afterAutospacing="0" w:line="276" w:lineRule="auto"/>
        <w:jc w:val="both"/>
        <w:textAlignment w:val="baseline"/>
        <w:rPr>
          <w:rFonts w:ascii="Arial" w:hAnsi="Arial" w:cs="Arial"/>
          <w:sz w:val="18"/>
          <w:szCs w:val="18"/>
        </w:rPr>
      </w:pPr>
      <w:r w:rsidRPr="00AA2487">
        <w:rPr>
          <w:rStyle w:val="eop"/>
          <w:rFonts w:ascii="Arial" w:hAnsi="Arial" w:cs="Arial"/>
        </w:rPr>
        <w:t> </w:t>
      </w:r>
    </w:p>
    <w:p w14:paraId="267E74A5" w14:textId="6261DAFD" w:rsidR="004B40A4" w:rsidRPr="00AA2487" w:rsidRDefault="004B40A4" w:rsidP="00EF288E">
      <w:pPr>
        <w:pStyle w:val="paragraph"/>
        <w:spacing w:before="0" w:beforeAutospacing="0" w:after="0" w:afterAutospacing="0" w:line="276" w:lineRule="auto"/>
        <w:jc w:val="both"/>
        <w:textAlignment w:val="baseline"/>
        <w:rPr>
          <w:rFonts w:ascii="Arial" w:hAnsi="Arial" w:cs="Arial"/>
          <w:sz w:val="18"/>
          <w:szCs w:val="18"/>
        </w:rPr>
      </w:pPr>
      <w:r w:rsidRPr="00AA2487">
        <w:rPr>
          <w:rStyle w:val="normaltextrun"/>
          <w:rFonts w:ascii="Arial" w:hAnsi="Arial" w:cs="Arial"/>
        </w:rPr>
        <w:t xml:space="preserve">ii) </w:t>
      </w:r>
      <w:r w:rsidR="00B86088">
        <w:rPr>
          <w:rStyle w:val="normaltextrun"/>
          <w:rFonts w:ascii="Arial" w:hAnsi="Arial" w:cs="Arial"/>
        </w:rPr>
        <w:t>El o</w:t>
      </w:r>
      <w:r w:rsidR="00B86088" w:rsidRPr="00B86088">
        <w:rPr>
          <w:rStyle w:val="normaltextrun"/>
          <w:rFonts w:ascii="Arial" w:hAnsi="Arial" w:cs="Arial"/>
        </w:rPr>
        <w:t xml:space="preserve">rganismo de acción comunal </w:t>
      </w:r>
      <w:r w:rsidRPr="00AA2487">
        <w:rPr>
          <w:rStyle w:val="normaltextrun"/>
          <w:rFonts w:ascii="Arial" w:hAnsi="Arial" w:cs="Arial"/>
        </w:rPr>
        <w:t xml:space="preserve">de la respectiva Área Especial, en los términos de la Ley </w:t>
      </w:r>
      <w:r w:rsidR="00B86088">
        <w:rPr>
          <w:rStyle w:val="normaltextrun"/>
          <w:rFonts w:ascii="Arial" w:hAnsi="Arial" w:cs="Arial"/>
        </w:rPr>
        <w:t>2166</w:t>
      </w:r>
      <w:r w:rsidRPr="00AA2487">
        <w:rPr>
          <w:rStyle w:val="normaltextrun"/>
          <w:rFonts w:ascii="Arial" w:hAnsi="Arial" w:cs="Arial"/>
        </w:rPr>
        <w:t xml:space="preserve"> de 20</w:t>
      </w:r>
      <w:r w:rsidR="00B86088">
        <w:rPr>
          <w:rStyle w:val="normaltextrun"/>
          <w:rFonts w:ascii="Arial" w:hAnsi="Arial" w:cs="Arial"/>
        </w:rPr>
        <w:t>21</w:t>
      </w:r>
      <w:r w:rsidRPr="00AA2487">
        <w:rPr>
          <w:rStyle w:val="normaltextrun"/>
          <w:rFonts w:ascii="Arial" w:hAnsi="Arial" w:cs="Arial"/>
        </w:rPr>
        <w:t xml:space="preserve"> y que ha suscrito un acuerdo en las condiciones del </w:t>
      </w:r>
      <w:r w:rsidRPr="00143445">
        <w:rPr>
          <w:rStyle w:val="normaltextrun"/>
          <w:rFonts w:ascii="Arial" w:hAnsi="Arial" w:cs="Arial"/>
        </w:rPr>
        <w:t xml:space="preserve">artículo </w:t>
      </w:r>
      <w:r w:rsidR="00330F5E" w:rsidRPr="00330F5E">
        <w:rPr>
          <w:rStyle w:val="normaltextrun"/>
          <w:rFonts w:ascii="Arial" w:hAnsi="Arial" w:cs="Arial"/>
        </w:rPr>
        <w:t xml:space="preserve">2.2.3.3.4.4.2.1. </w:t>
      </w:r>
      <w:r w:rsidRPr="00143445">
        <w:rPr>
          <w:rStyle w:val="normaltextrun"/>
          <w:rFonts w:ascii="Arial" w:hAnsi="Arial" w:cs="Arial"/>
        </w:rPr>
        <w:t xml:space="preserve">del Decreto </w:t>
      </w:r>
      <w:r w:rsidR="00330F5E">
        <w:rPr>
          <w:rStyle w:val="normaltextrun"/>
          <w:rFonts w:ascii="Arial" w:hAnsi="Arial" w:cs="Arial"/>
        </w:rPr>
        <w:t>1073</w:t>
      </w:r>
      <w:r w:rsidRPr="00143445">
        <w:rPr>
          <w:rStyle w:val="normaltextrun"/>
          <w:rFonts w:ascii="Arial" w:hAnsi="Arial" w:cs="Arial"/>
        </w:rPr>
        <w:t xml:space="preserve"> de</w:t>
      </w:r>
      <w:r w:rsidR="00143445" w:rsidRPr="00143445">
        <w:rPr>
          <w:rStyle w:val="normaltextrun"/>
          <w:rFonts w:ascii="Arial" w:hAnsi="Arial" w:cs="Arial"/>
        </w:rPr>
        <w:t>l</w:t>
      </w:r>
      <w:r w:rsidRPr="00143445">
        <w:rPr>
          <w:rStyle w:val="normaltextrun"/>
          <w:rFonts w:ascii="Arial" w:hAnsi="Arial" w:cs="Arial"/>
        </w:rPr>
        <w:t xml:space="preserve"> 201</w:t>
      </w:r>
      <w:r w:rsidR="00330F5E">
        <w:rPr>
          <w:rStyle w:val="normaltextrun"/>
          <w:rFonts w:ascii="Arial" w:hAnsi="Arial" w:cs="Arial"/>
        </w:rPr>
        <w:t>5</w:t>
      </w:r>
      <w:r w:rsidRPr="00143445">
        <w:rPr>
          <w:rStyle w:val="normaltextrun"/>
          <w:rFonts w:ascii="Arial" w:hAnsi="Arial" w:cs="Arial"/>
        </w:rPr>
        <w:t>.</w:t>
      </w:r>
      <w:r w:rsidRPr="00AA2487">
        <w:rPr>
          <w:rStyle w:val="normaltextrun"/>
          <w:rFonts w:ascii="Arial" w:hAnsi="Arial" w:cs="Arial"/>
        </w:rPr>
        <w:t xml:space="preserve"> </w:t>
      </w:r>
    </w:p>
    <w:p w14:paraId="5C4DB1A3" w14:textId="77777777" w:rsidR="004B40A4" w:rsidRPr="00C63186" w:rsidRDefault="004B40A4" w:rsidP="008E39FD">
      <w:pPr>
        <w:tabs>
          <w:tab w:val="left" w:pos="4474"/>
        </w:tabs>
        <w:spacing w:after="0"/>
        <w:jc w:val="both"/>
        <w:rPr>
          <w:rFonts w:ascii="Arial" w:hAnsi="Arial" w:cs="Arial"/>
          <w:sz w:val="24"/>
          <w:szCs w:val="24"/>
        </w:rPr>
      </w:pPr>
    </w:p>
    <w:p w14:paraId="2BA48FEF" w14:textId="77777777" w:rsidR="004B40A4" w:rsidRPr="00C63186" w:rsidRDefault="004B40A4" w:rsidP="008E39FD">
      <w:pPr>
        <w:tabs>
          <w:tab w:val="left" w:pos="4474"/>
        </w:tabs>
        <w:spacing w:after="0"/>
        <w:jc w:val="both"/>
        <w:rPr>
          <w:rFonts w:ascii="Arial" w:hAnsi="Arial" w:cs="Arial"/>
          <w:sz w:val="24"/>
          <w:szCs w:val="24"/>
        </w:rPr>
      </w:pPr>
      <w:r w:rsidRPr="00EF288E">
        <w:rPr>
          <w:rFonts w:ascii="Arial" w:hAnsi="Arial" w:cs="Arial"/>
          <w:b/>
          <w:sz w:val="24"/>
          <w:szCs w:val="24"/>
        </w:rPr>
        <w:t>Supervisión:</w:t>
      </w:r>
      <w:r w:rsidRPr="00EF288E">
        <w:rPr>
          <w:rFonts w:ascii="Arial" w:hAnsi="Arial" w:cs="Arial"/>
          <w:sz w:val="24"/>
          <w:szCs w:val="24"/>
        </w:rPr>
        <w:t xml:space="preserve"> La supervisión consistirá en el seguimiento técnico, administrativo, financiero, contable, y jurídico que sobre el cumplimiento del objeto del contrato, es ejercida por la misma entidad estatal cuando no requieren conocimientos especializados. Para la supervisión, la Entidad estatal podrá contratar personal de apoyo, a través de los contratos de prestación de servicios que sean requeridos</w:t>
      </w:r>
      <w:r>
        <w:rPr>
          <w:rStyle w:val="Refdenotaalpie"/>
          <w:rFonts w:ascii="Arial" w:hAnsi="Arial" w:cs="Arial"/>
          <w:sz w:val="24"/>
          <w:szCs w:val="24"/>
        </w:rPr>
        <w:footnoteReference w:id="26"/>
      </w:r>
      <w:r w:rsidRPr="00215420">
        <w:rPr>
          <w:rFonts w:ascii="Arial" w:hAnsi="Arial" w:cs="Arial"/>
          <w:sz w:val="24"/>
          <w:szCs w:val="24"/>
        </w:rPr>
        <w:t>.</w:t>
      </w:r>
    </w:p>
    <w:p w14:paraId="633295DE" w14:textId="77777777" w:rsidR="004B40A4" w:rsidRPr="00C63186" w:rsidRDefault="004B40A4" w:rsidP="008E39FD">
      <w:pPr>
        <w:tabs>
          <w:tab w:val="left" w:pos="4474"/>
        </w:tabs>
        <w:spacing w:after="0"/>
        <w:jc w:val="both"/>
        <w:rPr>
          <w:rFonts w:ascii="Arial" w:hAnsi="Arial" w:cs="Arial"/>
          <w:sz w:val="24"/>
          <w:szCs w:val="24"/>
        </w:rPr>
      </w:pPr>
    </w:p>
    <w:p w14:paraId="26AC61E2"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Universalización del Servicio:</w:t>
      </w:r>
      <w:r w:rsidRPr="00C63186">
        <w:rPr>
          <w:rFonts w:ascii="Arial" w:hAnsi="Arial" w:cs="Arial"/>
          <w:sz w:val="24"/>
          <w:szCs w:val="24"/>
        </w:rPr>
        <w:t xml:space="preserve"> Política pública que tiene como objetivo el suministro del servicio público de electricidad para todos los usuarios del territorio nacional. </w:t>
      </w:r>
    </w:p>
    <w:p w14:paraId="3E33D4B9" w14:textId="77777777" w:rsidR="004B40A4" w:rsidRPr="00C63186" w:rsidRDefault="004B40A4" w:rsidP="008E39FD">
      <w:pPr>
        <w:tabs>
          <w:tab w:val="left" w:pos="4474"/>
        </w:tabs>
        <w:spacing w:after="0"/>
        <w:jc w:val="both"/>
        <w:rPr>
          <w:rFonts w:ascii="Arial" w:hAnsi="Arial" w:cs="Arial"/>
          <w:sz w:val="24"/>
          <w:szCs w:val="24"/>
        </w:rPr>
      </w:pPr>
    </w:p>
    <w:p w14:paraId="65748AD5" w14:textId="77777777" w:rsidR="004B40A4" w:rsidRPr="00C63186" w:rsidRDefault="004B40A4" w:rsidP="008E39FD">
      <w:pPr>
        <w:tabs>
          <w:tab w:val="left" w:pos="4474"/>
        </w:tabs>
        <w:spacing w:after="0"/>
        <w:jc w:val="both"/>
        <w:rPr>
          <w:rFonts w:ascii="Arial" w:hAnsi="Arial" w:cs="Arial"/>
          <w:sz w:val="24"/>
          <w:szCs w:val="24"/>
        </w:rPr>
      </w:pPr>
      <w:r w:rsidRPr="00EF288E">
        <w:rPr>
          <w:rFonts w:ascii="Arial" w:hAnsi="Arial" w:cs="Arial"/>
          <w:b/>
          <w:sz w:val="24"/>
          <w:szCs w:val="24"/>
        </w:rPr>
        <w:t>Usuario:</w:t>
      </w:r>
      <w:r w:rsidRPr="00EF288E">
        <w:rPr>
          <w:rFonts w:ascii="Arial" w:hAnsi="Arial" w:cs="Arial"/>
          <w:sz w:val="24"/>
          <w:szCs w:val="24"/>
        </w:rPr>
        <w:t xml:space="preserve"> Persona natural o jurídica que se beneficia con la prestación de un servicio público, bien como propietario del inmueble en donde éste se presta, o como receptor directo del servicio. A este último usuario se denomina también consumidor</w:t>
      </w:r>
      <w:r>
        <w:rPr>
          <w:rStyle w:val="Refdenotaalpie"/>
          <w:rFonts w:ascii="Arial" w:hAnsi="Arial" w:cs="Arial"/>
          <w:sz w:val="24"/>
          <w:szCs w:val="24"/>
        </w:rPr>
        <w:footnoteReference w:id="27"/>
      </w:r>
      <w:r w:rsidRPr="00C63186">
        <w:rPr>
          <w:rFonts w:ascii="Arial" w:hAnsi="Arial" w:cs="Arial"/>
          <w:sz w:val="24"/>
          <w:szCs w:val="24"/>
        </w:rPr>
        <w:t xml:space="preserve">. </w:t>
      </w:r>
    </w:p>
    <w:p w14:paraId="42FEEE1D" w14:textId="77777777" w:rsidR="004B40A4" w:rsidRPr="00C63186" w:rsidRDefault="004B40A4" w:rsidP="008E39FD">
      <w:pPr>
        <w:tabs>
          <w:tab w:val="left" w:pos="4474"/>
        </w:tabs>
        <w:spacing w:after="0"/>
        <w:jc w:val="both"/>
        <w:rPr>
          <w:rFonts w:ascii="Arial" w:hAnsi="Arial" w:cs="Arial"/>
          <w:sz w:val="24"/>
          <w:szCs w:val="24"/>
        </w:rPr>
      </w:pPr>
    </w:p>
    <w:p w14:paraId="4901951E"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Usuario Aislado:</w:t>
      </w:r>
      <w:r w:rsidRPr="00C63186">
        <w:rPr>
          <w:rFonts w:ascii="Arial" w:hAnsi="Arial" w:cs="Arial"/>
          <w:sz w:val="24"/>
          <w:szCs w:val="24"/>
        </w:rPr>
        <w:t xml:space="preserve"> Usuario al que, con base en las herramientas regulatorias vigentes, no es eficiente conectar mediante Red Física al SIN o a un sistema de distribución de las ZNI, que podrá ser atendido mediante una Solución Centralizada o una Solución Individual y que podrá ser conectado mediante una red logística y de servicio</w:t>
      </w:r>
      <w:r w:rsidRPr="00C63186">
        <w:rPr>
          <w:rStyle w:val="Refdenotaalpie"/>
          <w:rFonts w:ascii="Arial" w:hAnsi="Arial" w:cs="Arial"/>
          <w:sz w:val="24"/>
          <w:szCs w:val="24"/>
        </w:rPr>
        <w:footnoteReference w:id="28"/>
      </w:r>
      <w:r w:rsidRPr="00C63186">
        <w:rPr>
          <w:rFonts w:ascii="Arial" w:hAnsi="Arial" w:cs="Arial"/>
          <w:sz w:val="24"/>
          <w:szCs w:val="24"/>
        </w:rPr>
        <w:t xml:space="preserve">. </w:t>
      </w:r>
    </w:p>
    <w:p w14:paraId="5CC27DC8" w14:textId="77777777" w:rsidR="004B40A4" w:rsidRPr="00C63186" w:rsidRDefault="004B40A4" w:rsidP="008E39FD">
      <w:pPr>
        <w:tabs>
          <w:tab w:val="left" w:pos="4474"/>
        </w:tabs>
        <w:spacing w:after="0"/>
        <w:jc w:val="both"/>
        <w:rPr>
          <w:rFonts w:ascii="Arial" w:hAnsi="Arial" w:cs="Arial"/>
          <w:sz w:val="24"/>
          <w:szCs w:val="24"/>
        </w:rPr>
      </w:pPr>
    </w:p>
    <w:p w14:paraId="2C60525A"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Usuario de menores ingresos:</w:t>
      </w:r>
      <w:r w:rsidRPr="00C63186">
        <w:rPr>
          <w:rFonts w:ascii="Arial" w:hAnsi="Arial" w:cs="Arial"/>
          <w:sz w:val="24"/>
          <w:szCs w:val="24"/>
        </w:rPr>
        <w:t xml:space="preserve"> Personas naturales que se benefician de un Servicio Público Domiciliario y que pertenecen a los estratos 1 y 2.</w:t>
      </w:r>
    </w:p>
    <w:p w14:paraId="0644015E" w14:textId="77777777" w:rsidR="004B40A4" w:rsidRDefault="004B40A4" w:rsidP="00B03685">
      <w:pPr>
        <w:spacing w:after="0"/>
        <w:jc w:val="both"/>
        <w:rPr>
          <w:rFonts w:ascii="Arial" w:hAnsi="Arial" w:cs="Arial"/>
          <w:bCs/>
          <w:iCs/>
          <w:sz w:val="24"/>
          <w:szCs w:val="24"/>
        </w:rPr>
      </w:pPr>
    </w:p>
    <w:p w14:paraId="79F52F3D" w14:textId="2477291B" w:rsidR="004B40A4" w:rsidRPr="00344B1A" w:rsidRDefault="00344B1A" w:rsidP="003E028A">
      <w:pPr>
        <w:pStyle w:val="Ttulo5"/>
        <w:ind w:left="1008" w:hanging="1008"/>
      </w:pPr>
      <w:bookmarkStart w:id="10" w:name="_Toc219397234"/>
      <w:bookmarkStart w:id="11" w:name="_Toc224844281"/>
      <w:r w:rsidRPr="00344B1A">
        <w:rPr>
          <w:bCs/>
        </w:rPr>
        <w:t>I-</w:t>
      </w:r>
      <w:r w:rsidR="00D6606F" w:rsidRPr="00344B1A">
        <w:t>1.</w:t>
      </w:r>
      <w:bookmarkEnd w:id="10"/>
      <w:r w:rsidR="00BF08F0" w:rsidRPr="00344B1A">
        <w:t>2 Abreviaturas</w:t>
      </w:r>
      <w:bookmarkEnd w:id="11"/>
    </w:p>
    <w:p w14:paraId="4E222AED" w14:textId="77777777" w:rsidR="004B40A4" w:rsidRPr="00C63186" w:rsidRDefault="004B40A4" w:rsidP="008E39FD">
      <w:pPr>
        <w:pStyle w:val="Ttulo2"/>
      </w:pPr>
    </w:p>
    <w:p w14:paraId="0FD59201" w14:textId="77777777" w:rsidR="004B40A4" w:rsidRPr="00C63186" w:rsidRDefault="004B40A4" w:rsidP="008E39FD">
      <w:pPr>
        <w:tabs>
          <w:tab w:val="left" w:pos="4474"/>
        </w:tabs>
        <w:spacing w:after="0"/>
        <w:jc w:val="both"/>
        <w:rPr>
          <w:rFonts w:ascii="Arial" w:hAnsi="Arial" w:cs="Arial"/>
          <w:b/>
          <w:bCs/>
          <w:sz w:val="24"/>
          <w:szCs w:val="24"/>
        </w:rPr>
      </w:pPr>
      <w:r w:rsidRPr="00C63186">
        <w:rPr>
          <w:rFonts w:ascii="Arial" w:hAnsi="Arial" w:cs="Arial"/>
          <w:b/>
          <w:bCs/>
          <w:sz w:val="24"/>
          <w:szCs w:val="24"/>
        </w:rPr>
        <w:t xml:space="preserve">AOM: </w:t>
      </w:r>
      <w:r w:rsidRPr="00C63186">
        <w:rPr>
          <w:rFonts w:ascii="Arial" w:hAnsi="Arial" w:cs="Arial"/>
          <w:sz w:val="24"/>
          <w:szCs w:val="24"/>
        </w:rPr>
        <w:t>Actividades de Administración, Operación y Mantenimiento</w:t>
      </w:r>
    </w:p>
    <w:p w14:paraId="0F4EE3EB" w14:textId="77777777" w:rsidR="004B40A4" w:rsidRPr="00C63186" w:rsidRDefault="004B40A4" w:rsidP="008E39FD">
      <w:pPr>
        <w:tabs>
          <w:tab w:val="left" w:pos="4474"/>
        </w:tabs>
        <w:spacing w:after="0"/>
        <w:jc w:val="both"/>
        <w:rPr>
          <w:rFonts w:ascii="Arial" w:hAnsi="Arial" w:cs="Arial"/>
          <w:b/>
          <w:bCs/>
          <w:sz w:val="24"/>
          <w:szCs w:val="24"/>
        </w:rPr>
      </w:pPr>
    </w:p>
    <w:p w14:paraId="608A60A5" w14:textId="77777777" w:rsidR="004B40A4"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ASE: </w:t>
      </w:r>
      <w:r w:rsidRPr="00C63186">
        <w:rPr>
          <w:rFonts w:ascii="Arial" w:hAnsi="Arial" w:cs="Arial"/>
          <w:sz w:val="24"/>
          <w:szCs w:val="24"/>
        </w:rPr>
        <w:t>Área de Servicio Exclusivo</w:t>
      </w:r>
    </w:p>
    <w:p w14:paraId="37AA9593" w14:textId="77777777" w:rsidR="004B40A4" w:rsidRPr="00C63186" w:rsidRDefault="004B40A4" w:rsidP="008E39FD">
      <w:pPr>
        <w:tabs>
          <w:tab w:val="left" w:pos="4474"/>
        </w:tabs>
        <w:spacing w:after="0"/>
        <w:jc w:val="both"/>
        <w:rPr>
          <w:rFonts w:ascii="Arial" w:hAnsi="Arial" w:cs="Arial"/>
          <w:sz w:val="24"/>
          <w:szCs w:val="24"/>
        </w:rPr>
      </w:pPr>
    </w:p>
    <w:p w14:paraId="2638F701"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ASIC:</w:t>
      </w:r>
      <w:r w:rsidRPr="00C63186">
        <w:rPr>
          <w:rFonts w:ascii="Arial" w:hAnsi="Arial" w:cs="Arial"/>
          <w:sz w:val="24"/>
          <w:szCs w:val="24"/>
        </w:rPr>
        <w:t xml:space="preserve"> Administrador del Sistema de Intercambios Comerciales </w:t>
      </w:r>
    </w:p>
    <w:p w14:paraId="7268A997" w14:textId="77777777" w:rsidR="004B40A4" w:rsidRPr="00C63186" w:rsidRDefault="004B40A4" w:rsidP="008E39FD">
      <w:pPr>
        <w:tabs>
          <w:tab w:val="left" w:pos="4474"/>
        </w:tabs>
        <w:spacing w:after="0"/>
        <w:jc w:val="both"/>
        <w:rPr>
          <w:rFonts w:ascii="Arial" w:hAnsi="Arial" w:cs="Arial"/>
          <w:sz w:val="24"/>
          <w:szCs w:val="24"/>
        </w:rPr>
      </w:pPr>
    </w:p>
    <w:p w14:paraId="343F09F5" w14:textId="77777777" w:rsidR="004B40A4" w:rsidRPr="00C63186" w:rsidRDefault="004B40A4" w:rsidP="008E39FD">
      <w:pPr>
        <w:tabs>
          <w:tab w:val="left" w:pos="4474"/>
        </w:tabs>
        <w:spacing w:after="0"/>
        <w:jc w:val="both"/>
        <w:rPr>
          <w:rFonts w:ascii="Arial" w:hAnsi="Arial" w:cs="Arial"/>
          <w:sz w:val="24"/>
          <w:szCs w:val="24"/>
        </w:rPr>
      </w:pPr>
      <w:r w:rsidRPr="4622A9B7">
        <w:rPr>
          <w:rFonts w:ascii="Arial" w:hAnsi="Arial" w:cs="Arial"/>
          <w:b/>
          <w:bCs/>
          <w:sz w:val="24"/>
          <w:szCs w:val="24"/>
        </w:rPr>
        <w:t>CREG:</w:t>
      </w:r>
      <w:r w:rsidRPr="4622A9B7">
        <w:rPr>
          <w:rFonts w:ascii="Arial" w:hAnsi="Arial" w:cs="Arial"/>
          <w:sz w:val="24"/>
          <w:szCs w:val="24"/>
        </w:rPr>
        <w:t xml:space="preserve"> Comisión de Regulación de Energía y Gas </w:t>
      </w:r>
    </w:p>
    <w:p w14:paraId="716DB878" w14:textId="77777777" w:rsidR="004B40A4" w:rsidRDefault="004B40A4" w:rsidP="008E39FD">
      <w:pPr>
        <w:tabs>
          <w:tab w:val="left" w:pos="4474"/>
        </w:tabs>
        <w:spacing w:after="0"/>
        <w:jc w:val="both"/>
        <w:rPr>
          <w:rFonts w:ascii="Arial" w:hAnsi="Arial" w:cs="Arial"/>
          <w:sz w:val="24"/>
          <w:szCs w:val="24"/>
        </w:rPr>
      </w:pPr>
    </w:p>
    <w:p w14:paraId="194AC3D7" w14:textId="77777777" w:rsidR="004B40A4" w:rsidRPr="009A24DA" w:rsidRDefault="004B40A4" w:rsidP="008E39FD">
      <w:pPr>
        <w:tabs>
          <w:tab w:val="left" w:pos="4474"/>
        </w:tabs>
        <w:spacing w:after="0"/>
        <w:jc w:val="both"/>
        <w:rPr>
          <w:rFonts w:ascii="Arial" w:hAnsi="Arial" w:cs="Arial"/>
          <w:sz w:val="24"/>
          <w:szCs w:val="24"/>
        </w:rPr>
      </w:pPr>
      <w:r w:rsidRPr="009A24DA">
        <w:rPr>
          <w:rFonts w:ascii="Arial" w:hAnsi="Arial" w:cs="Arial"/>
          <w:b/>
          <w:bCs/>
          <w:sz w:val="24"/>
          <w:szCs w:val="24"/>
        </w:rPr>
        <w:t>DGCPTN:</w:t>
      </w:r>
      <w:r w:rsidRPr="009A24DA">
        <w:rPr>
          <w:rFonts w:ascii="Arial" w:hAnsi="Arial" w:cs="Arial"/>
          <w:sz w:val="24"/>
          <w:szCs w:val="24"/>
        </w:rPr>
        <w:t xml:space="preserve"> Dirección General de Crédito Público y Tesoro Nacional  </w:t>
      </w:r>
    </w:p>
    <w:p w14:paraId="6447C67A" w14:textId="77777777" w:rsidR="004B40A4" w:rsidRPr="00C63186" w:rsidRDefault="004B40A4" w:rsidP="008E39FD">
      <w:pPr>
        <w:tabs>
          <w:tab w:val="left" w:pos="4474"/>
        </w:tabs>
        <w:spacing w:after="0"/>
        <w:jc w:val="both"/>
        <w:rPr>
          <w:rFonts w:ascii="Arial" w:hAnsi="Arial" w:cs="Arial"/>
          <w:b/>
          <w:bCs/>
          <w:sz w:val="24"/>
          <w:szCs w:val="24"/>
        </w:rPr>
      </w:pPr>
    </w:p>
    <w:p w14:paraId="30961914"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DNP:</w:t>
      </w:r>
      <w:r w:rsidRPr="00C63186">
        <w:rPr>
          <w:rFonts w:ascii="Arial" w:hAnsi="Arial" w:cs="Arial"/>
          <w:sz w:val="24"/>
          <w:szCs w:val="24"/>
        </w:rPr>
        <w:t xml:space="preserve"> Departamento de Planeación Nacional. </w:t>
      </w:r>
    </w:p>
    <w:p w14:paraId="094CD72E" w14:textId="77777777" w:rsidR="004B40A4" w:rsidRPr="00C63186" w:rsidRDefault="004B40A4" w:rsidP="008E39FD">
      <w:pPr>
        <w:tabs>
          <w:tab w:val="left" w:pos="4474"/>
        </w:tabs>
        <w:spacing w:after="0"/>
        <w:jc w:val="both"/>
        <w:rPr>
          <w:rFonts w:ascii="Arial" w:hAnsi="Arial" w:cs="Arial"/>
          <w:b/>
          <w:bCs/>
          <w:sz w:val="24"/>
          <w:szCs w:val="24"/>
        </w:rPr>
      </w:pPr>
    </w:p>
    <w:p w14:paraId="63E7BB0D"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DWG: </w:t>
      </w:r>
      <w:r w:rsidRPr="00C63186">
        <w:rPr>
          <w:rFonts w:ascii="Arial" w:hAnsi="Arial" w:cs="Arial"/>
          <w:sz w:val="24"/>
          <w:szCs w:val="24"/>
        </w:rPr>
        <w:t xml:space="preserve">Abreviatura de </w:t>
      </w:r>
      <w:r w:rsidRPr="00C63186">
        <w:rPr>
          <w:rFonts w:ascii="Arial" w:hAnsi="Arial" w:cs="Arial"/>
          <w:sz w:val="24"/>
          <w:szCs w:val="24"/>
          <w:shd w:val="clear" w:color="auto" w:fill="FFFFFF"/>
        </w:rPr>
        <w:t>DraWinG. Formato de archivo informático de dibujo computarizado.</w:t>
      </w:r>
    </w:p>
    <w:p w14:paraId="4BFFDC88" w14:textId="77777777" w:rsidR="004B40A4" w:rsidRPr="00C63186" w:rsidRDefault="004B40A4" w:rsidP="008E39FD">
      <w:pPr>
        <w:tabs>
          <w:tab w:val="left" w:pos="4474"/>
        </w:tabs>
        <w:spacing w:after="0"/>
        <w:jc w:val="both"/>
      </w:pPr>
    </w:p>
    <w:p w14:paraId="31BC1C15"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FAER:</w:t>
      </w:r>
      <w:r w:rsidRPr="00C63186">
        <w:rPr>
          <w:rFonts w:ascii="Arial" w:hAnsi="Arial" w:cs="Arial"/>
          <w:sz w:val="24"/>
          <w:szCs w:val="24"/>
        </w:rPr>
        <w:t xml:space="preserve"> Fondo de apoyo Financiero para la Energización de las Zonas Rurales Interconectadas. </w:t>
      </w:r>
    </w:p>
    <w:p w14:paraId="188E20D5" w14:textId="77777777" w:rsidR="004B40A4" w:rsidRPr="00C63186" w:rsidRDefault="004B40A4" w:rsidP="008E39FD">
      <w:pPr>
        <w:tabs>
          <w:tab w:val="left" w:pos="4474"/>
        </w:tabs>
        <w:spacing w:after="0"/>
        <w:jc w:val="both"/>
        <w:rPr>
          <w:rFonts w:ascii="Arial" w:hAnsi="Arial" w:cs="Arial"/>
          <w:sz w:val="24"/>
          <w:szCs w:val="24"/>
        </w:rPr>
      </w:pPr>
    </w:p>
    <w:p w14:paraId="1F8E3EA2"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FAZNI:</w:t>
      </w:r>
      <w:r w:rsidRPr="00C63186">
        <w:rPr>
          <w:rFonts w:ascii="Arial" w:hAnsi="Arial" w:cs="Arial"/>
          <w:sz w:val="24"/>
          <w:szCs w:val="24"/>
        </w:rPr>
        <w:t xml:space="preserve"> Fondo de Apoyo Financiero para la Energización de Zonas No Interconectadas. </w:t>
      </w:r>
    </w:p>
    <w:p w14:paraId="2F05899F" w14:textId="77777777" w:rsidR="004B40A4" w:rsidRPr="00C63186" w:rsidRDefault="004B40A4" w:rsidP="008E39FD">
      <w:pPr>
        <w:tabs>
          <w:tab w:val="left" w:pos="4474"/>
        </w:tabs>
        <w:spacing w:after="0"/>
        <w:jc w:val="both"/>
        <w:rPr>
          <w:rFonts w:ascii="Arial" w:hAnsi="Arial" w:cs="Arial"/>
          <w:b/>
          <w:bCs/>
          <w:sz w:val="24"/>
          <w:szCs w:val="24"/>
        </w:rPr>
      </w:pPr>
    </w:p>
    <w:p w14:paraId="027D5828" w14:textId="5259DAB6" w:rsidR="004B40A4" w:rsidRPr="00BF08F0" w:rsidRDefault="004B40A4" w:rsidP="008E39FD">
      <w:pPr>
        <w:tabs>
          <w:tab w:val="left" w:pos="4474"/>
        </w:tabs>
        <w:spacing w:after="0"/>
        <w:jc w:val="both"/>
        <w:rPr>
          <w:rFonts w:ascii="Arial" w:hAnsi="Arial" w:cs="Arial"/>
          <w:sz w:val="24"/>
          <w:szCs w:val="24"/>
        </w:rPr>
      </w:pPr>
      <w:r w:rsidRPr="00BF08F0">
        <w:rPr>
          <w:rFonts w:ascii="Arial" w:hAnsi="Arial" w:cs="Arial"/>
          <w:b/>
          <w:sz w:val="24"/>
          <w:szCs w:val="24"/>
        </w:rPr>
        <w:t>FONENERGIA:</w:t>
      </w:r>
      <w:r w:rsidRPr="00BF08F0">
        <w:rPr>
          <w:rFonts w:ascii="Arial" w:hAnsi="Arial" w:cs="Arial"/>
          <w:sz w:val="24"/>
          <w:szCs w:val="24"/>
        </w:rPr>
        <w:t xml:space="preserve"> Fondo de </w:t>
      </w:r>
      <w:r w:rsidR="00BB61BF" w:rsidRPr="00BF08F0">
        <w:rPr>
          <w:rFonts w:ascii="Arial" w:hAnsi="Arial" w:cs="Arial"/>
          <w:sz w:val="24"/>
          <w:szCs w:val="24"/>
        </w:rPr>
        <w:t>Ú</w:t>
      </w:r>
      <w:r w:rsidRPr="00BF08F0">
        <w:rPr>
          <w:rFonts w:ascii="Arial" w:hAnsi="Arial" w:cs="Arial"/>
          <w:sz w:val="24"/>
          <w:szCs w:val="24"/>
        </w:rPr>
        <w:t xml:space="preserve">nico de </w:t>
      </w:r>
      <w:r w:rsidR="00BB61BF" w:rsidRPr="00BF08F0">
        <w:rPr>
          <w:rFonts w:ascii="Arial" w:hAnsi="Arial" w:cs="Arial"/>
          <w:sz w:val="24"/>
          <w:szCs w:val="24"/>
        </w:rPr>
        <w:t>S</w:t>
      </w:r>
      <w:r w:rsidRPr="00BF08F0">
        <w:rPr>
          <w:rFonts w:ascii="Arial" w:hAnsi="Arial" w:cs="Arial"/>
          <w:sz w:val="24"/>
          <w:szCs w:val="24"/>
        </w:rPr>
        <w:t xml:space="preserve">oluciones </w:t>
      </w:r>
      <w:r w:rsidR="00BB61BF" w:rsidRPr="00BF08F0">
        <w:rPr>
          <w:rFonts w:ascii="Arial" w:hAnsi="Arial" w:cs="Arial"/>
          <w:sz w:val="24"/>
          <w:szCs w:val="24"/>
        </w:rPr>
        <w:t>E</w:t>
      </w:r>
      <w:r w:rsidRPr="00BF08F0">
        <w:rPr>
          <w:rFonts w:ascii="Arial" w:hAnsi="Arial" w:cs="Arial"/>
          <w:sz w:val="24"/>
          <w:szCs w:val="24"/>
        </w:rPr>
        <w:t xml:space="preserve">nergéticas </w:t>
      </w:r>
    </w:p>
    <w:p w14:paraId="1DAB9D46" w14:textId="77777777" w:rsidR="004B40A4" w:rsidRPr="00BF08F0" w:rsidRDefault="004B40A4" w:rsidP="008E39FD">
      <w:pPr>
        <w:tabs>
          <w:tab w:val="left" w:pos="4474"/>
        </w:tabs>
        <w:spacing w:after="0"/>
        <w:jc w:val="both"/>
        <w:rPr>
          <w:rFonts w:ascii="Arial" w:hAnsi="Arial" w:cs="Arial"/>
          <w:sz w:val="24"/>
          <w:szCs w:val="24"/>
        </w:rPr>
      </w:pPr>
    </w:p>
    <w:p w14:paraId="5BBD3663"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FECFGN:</w:t>
      </w:r>
      <w:r w:rsidRPr="00C63186">
        <w:rPr>
          <w:rFonts w:ascii="Arial" w:hAnsi="Arial" w:cs="Arial"/>
          <w:sz w:val="24"/>
          <w:szCs w:val="24"/>
        </w:rPr>
        <w:t xml:space="preserve"> Fondo Especial Cuota de Fomento Gas Natural </w:t>
      </w:r>
    </w:p>
    <w:p w14:paraId="04DC480A" w14:textId="77777777" w:rsidR="004B40A4" w:rsidRPr="00C63186" w:rsidRDefault="004B40A4" w:rsidP="008E39FD">
      <w:pPr>
        <w:tabs>
          <w:tab w:val="left" w:pos="4474"/>
        </w:tabs>
        <w:spacing w:after="0"/>
        <w:jc w:val="both"/>
        <w:rPr>
          <w:rFonts w:ascii="Arial" w:hAnsi="Arial" w:cs="Arial"/>
          <w:sz w:val="24"/>
          <w:szCs w:val="24"/>
        </w:rPr>
      </w:pPr>
    </w:p>
    <w:p w14:paraId="11C45378" w14:textId="5C285135"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FNCE:</w:t>
      </w:r>
      <w:r w:rsidRPr="00C63186">
        <w:rPr>
          <w:rFonts w:ascii="Arial" w:hAnsi="Arial" w:cs="Arial"/>
          <w:sz w:val="24"/>
          <w:szCs w:val="24"/>
        </w:rPr>
        <w:t xml:space="preserve"> Fuentes No </w:t>
      </w:r>
      <w:r w:rsidR="00BB61BF">
        <w:rPr>
          <w:rFonts w:ascii="Arial" w:hAnsi="Arial" w:cs="Arial"/>
          <w:sz w:val="24"/>
          <w:szCs w:val="24"/>
        </w:rPr>
        <w:t>C</w:t>
      </w:r>
      <w:r w:rsidRPr="00C63186">
        <w:rPr>
          <w:rFonts w:ascii="Arial" w:hAnsi="Arial" w:cs="Arial"/>
          <w:sz w:val="24"/>
          <w:szCs w:val="24"/>
        </w:rPr>
        <w:t xml:space="preserve">onvencionales de Energía </w:t>
      </w:r>
    </w:p>
    <w:p w14:paraId="33C2E009" w14:textId="77777777" w:rsidR="004B40A4" w:rsidRPr="00C63186" w:rsidRDefault="004B40A4" w:rsidP="008E39FD">
      <w:pPr>
        <w:tabs>
          <w:tab w:val="left" w:pos="4474"/>
        </w:tabs>
        <w:spacing w:after="0"/>
        <w:jc w:val="both"/>
        <w:rPr>
          <w:rFonts w:ascii="Arial" w:hAnsi="Arial" w:cs="Arial"/>
          <w:sz w:val="24"/>
          <w:szCs w:val="24"/>
        </w:rPr>
      </w:pPr>
    </w:p>
    <w:p w14:paraId="56199102" w14:textId="11C036F9"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FNCER:</w:t>
      </w:r>
      <w:r w:rsidRPr="00C63186">
        <w:rPr>
          <w:rFonts w:ascii="Arial" w:hAnsi="Arial" w:cs="Arial"/>
          <w:sz w:val="24"/>
          <w:szCs w:val="24"/>
        </w:rPr>
        <w:t xml:space="preserve"> Fuentes No </w:t>
      </w:r>
      <w:r w:rsidR="00BB61BF">
        <w:rPr>
          <w:rFonts w:ascii="Arial" w:hAnsi="Arial" w:cs="Arial"/>
          <w:sz w:val="24"/>
          <w:szCs w:val="24"/>
        </w:rPr>
        <w:t>C</w:t>
      </w:r>
      <w:r w:rsidRPr="00C63186">
        <w:rPr>
          <w:rFonts w:ascii="Arial" w:hAnsi="Arial" w:cs="Arial"/>
          <w:sz w:val="24"/>
          <w:szCs w:val="24"/>
        </w:rPr>
        <w:t xml:space="preserve">onvencionales de Energía Renovables </w:t>
      </w:r>
    </w:p>
    <w:p w14:paraId="2DDCEE77" w14:textId="77777777" w:rsidR="004B40A4" w:rsidRPr="00C63186" w:rsidRDefault="004B40A4" w:rsidP="008E39FD">
      <w:pPr>
        <w:tabs>
          <w:tab w:val="left" w:pos="4474"/>
        </w:tabs>
        <w:spacing w:after="0"/>
        <w:jc w:val="both"/>
        <w:rPr>
          <w:rFonts w:ascii="Arial" w:hAnsi="Arial" w:cs="Arial"/>
          <w:sz w:val="24"/>
          <w:szCs w:val="24"/>
        </w:rPr>
      </w:pPr>
    </w:p>
    <w:p w14:paraId="0FB524EC"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FOES: </w:t>
      </w:r>
      <w:r w:rsidRPr="00C63186">
        <w:rPr>
          <w:rFonts w:ascii="Arial" w:hAnsi="Arial" w:cs="Arial"/>
          <w:sz w:val="24"/>
          <w:szCs w:val="24"/>
        </w:rPr>
        <w:t>Fondo de Energía Social</w:t>
      </w:r>
    </w:p>
    <w:p w14:paraId="33563578" w14:textId="77777777" w:rsidR="004B40A4" w:rsidRPr="00C63186" w:rsidRDefault="004B40A4" w:rsidP="008E39FD">
      <w:pPr>
        <w:tabs>
          <w:tab w:val="left" w:pos="4474"/>
        </w:tabs>
        <w:spacing w:after="0"/>
        <w:jc w:val="both"/>
        <w:rPr>
          <w:rFonts w:ascii="Arial" w:hAnsi="Arial" w:cs="Arial"/>
          <w:b/>
          <w:bCs/>
          <w:sz w:val="24"/>
          <w:szCs w:val="24"/>
        </w:rPr>
      </w:pPr>
    </w:p>
    <w:p w14:paraId="497E1CDF" w14:textId="77777777" w:rsidR="006D7A67" w:rsidRDefault="006D7A67" w:rsidP="006D7A67">
      <w:pPr>
        <w:tabs>
          <w:tab w:val="left" w:pos="4474"/>
        </w:tabs>
        <w:spacing w:after="0"/>
        <w:jc w:val="both"/>
        <w:rPr>
          <w:rFonts w:ascii="Arial" w:hAnsi="Arial" w:cs="Arial"/>
          <w:sz w:val="24"/>
          <w:szCs w:val="24"/>
        </w:rPr>
      </w:pPr>
      <w:r w:rsidRPr="004959EC">
        <w:rPr>
          <w:rFonts w:ascii="Arial" w:hAnsi="Arial" w:cs="Arial"/>
          <w:b/>
          <w:bCs/>
          <w:sz w:val="24"/>
          <w:szCs w:val="24"/>
        </w:rPr>
        <w:t>GLP:</w:t>
      </w:r>
      <w:r>
        <w:rPr>
          <w:rFonts w:ascii="Arial" w:hAnsi="Arial" w:cs="Arial"/>
          <w:sz w:val="24"/>
          <w:szCs w:val="24"/>
        </w:rPr>
        <w:t xml:space="preserve">  Gas Licuado de Petróleo</w:t>
      </w:r>
    </w:p>
    <w:p w14:paraId="06267367" w14:textId="77777777" w:rsidR="006D7A67" w:rsidRDefault="006D7A67" w:rsidP="006D7A67">
      <w:pPr>
        <w:tabs>
          <w:tab w:val="left" w:pos="4474"/>
        </w:tabs>
        <w:spacing w:after="0"/>
        <w:jc w:val="both"/>
        <w:rPr>
          <w:rFonts w:ascii="Arial" w:hAnsi="Arial" w:cs="Arial"/>
          <w:sz w:val="24"/>
          <w:szCs w:val="24"/>
        </w:rPr>
      </w:pPr>
    </w:p>
    <w:p w14:paraId="0C25E879" w14:textId="77777777" w:rsidR="006D7A67" w:rsidRDefault="006D7A67" w:rsidP="006D7A67">
      <w:pPr>
        <w:tabs>
          <w:tab w:val="left" w:pos="4474"/>
        </w:tabs>
        <w:spacing w:after="0"/>
        <w:jc w:val="both"/>
        <w:rPr>
          <w:rFonts w:ascii="Arial" w:hAnsi="Arial" w:cs="Arial"/>
          <w:sz w:val="24"/>
          <w:szCs w:val="24"/>
        </w:rPr>
      </w:pPr>
      <w:r w:rsidRPr="004959EC">
        <w:rPr>
          <w:rFonts w:ascii="Arial" w:hAnsi="Arial" w:cs="Arial"/>
          <w:b/>
          <w:bCs/>
          <w:sz w:val="24"/>
          <w:szCs w:val="24"/>
        </w:rPr>
        <w:t>GN:</w:t>
      </w:r>
      <w:r>
        <w:rPr>
          <w:rFonts w:ascii="Arial" w:hAnsi="Arial" w:cs="Arial"/>
          <w:sz w:val="24"/>
          <w:szCs w:val="24"/>
        </w:rPr>
        <w:t xml:space="preserve">  Gas Natural</w:t>
      </w:r>
    </w:p>
    <w:p w14:paraId="25542A53" w14:textId="77777777" w:rsidR="006D7A67" w:rsidRDefault="006D7A67" w:rsidP="006D7A67">
      <w:pPr>
        <w:tabs>
          <w:tab w:val="left" w:pos="4474"/>
        </w:tabs>
        <w:spacing w:after="0"/>
        <w:jc w:val="both"/>
        <w:rPr>
          <w:rFonts w:ascii="Arial" w:hAnsi="Arial" w:cs="Arial"/>
          <w:sz w:val="24"/>
          <w:szCs w:val="24"/>
        </w:rPr>
      </w:pPr>
    </w:p>
    <w:p w14:paraId="28E866C1" w14:textId="77777777" w:rsidR="006D7A67" w:rsidRPr="00C63186" w:rsidRDefault="006D7A67" w:rsidP="006D7A67">
      <w:pPr>
        <w:tabs>
          <w:tab w:val="left" w:pos="4474"/>
        </w:tabs>
        <w:spacing w:after="0"/>
        <w:jc w:val="both"/>
        <w:rPr>
          <w:rFonts w:ascii="Arial" w:hAnsi="Arial" w:cs="Arial"/>
          <w:sz w:val="24"/>
          <w:szCs w:val="24"/>
        </w:rPr>
      </w:pPr>
      <w:r w:rsidRPr="004959EC">
        <w:rPr>
          <w:rFonts w:ascii="Arial" w:hAnsi="Arial" w:cs="Arial"/>
          <w:b/>
          <w:bCs/>
          <w:sz w:val="24"/>
          <w:szCs w:val="24"/>
        </w:rPr>
        <w:t>GNL:</w:t>
      </w:r>
      <w:r>
        <w:rPr>
          <w:rFonts w:ascii="Arial" w:hAnsi="Arial" w:cs="Arial"/>
          <w:sz w:val="24"/>
          <w:szCs w:val="24"/>
        </w:rPr>
        <w:t xml:space="preserve">  Gas Natural Licuado</w:t>
      </w:r>
    </w:p>
    <w:p w14:paraId="0E0CE6D3" w14:textId="77777777" w:rsidR="006D7A67" w:rsidRDefault="006D7A67" w:rsidP="008E39FD">
      <w:pPr>
        <w:tabs>
          <w:tab w:val="left" w:pos="4474"/>
        </w:tabs>
        <w:spacing w:after="0"/>
        <w:jc w:val="both"/>
        <w:rPr>
          <w:rFonts w:ascii="Arial" w:hAnsi="Arial" w:cs="Arial"/>
          <w:b/>
          <w:bCs/>
          <w:sz w:val="24"/>
          <w:szCs w:val="24"/>
        </w:rPr>
      </w:pPr>
    </w:p>
    <w:p w14:paraId="0D4E1E3B" w14:textId="52AE9166"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IPSE:</w:t>
      </w:r>
      <w:r w:rsidRPr="00C63186">
        <w:rPr>
          <w:rFonts w:ascii="Arial" w:hAnsi="Arial" w:cs="Arial"/>
          <w:sz w:val="24"/>
          <w:szCs w:val="24"/>
        </w:rPr>
        <w:t xml:space="preserve"> Instituto de Planificación y Promoción de Soluciones Energéticas para las Zonas No Interconectadas. </w:t>
      </w:r>
    </w:p>
    <w:p w14:paraId="08EA648D" w14:textId="77777777" w:rsidR="004B40A4" w:rsidRPr="00C63186" w:rsidRDefault="004B40A4" w:rsidP="008E39FD">
      <w:pPr>
        <w:tabs>
          <w:tab w:val="left" w:pos="4474"/>
        </w:tabs>
        <w:spacing w:after="0"/>
        <w:jc w:val="both"/>
        <w:rPr>
          <w:rFonts w:ascii="Arial" w:hAnsi="Arial" w:cs="Arial"/>
          <w:sz w:val="24"/>
          <w:szCs w:val="24"/>
        </w:rPr>
      </w:pPr>
    </w:p>
    <w:p w14:paraId="232021A8"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LCOE: </w:t>
      </w:r>
      <w:r w:rsidRPr="00C63186">
        <w:rPr>
          <w:rFonts w:ascii="Arial" w:hAnsi="Arial" w:cs="Arial"/>
          <w:sz w:val="24"/>
          <w:szCs w:val="24"/>
        </w:rPr>
        <w:t xml:space="preserve">Levelized Cost Of Electricity (Costo nivelado de electricidad) </w:t>
      </w:r>
    </w:p>
    <w:p w14:paraId="22B7F8DC" w14:textId="77777777" w:rsidR="004B40A4" w:rsidRPr="00C63186" w:rsidRDefault="004B40A4" w:rsidP="008E39FD">
      <w:pPr>
        <w:tabs>
          <w:tab w:val="left" w:pos="4474"/>
        </w:tabs>
        <w:spacing w:after="0"/>
        <w:jc w:val="both"/>
        <w:rPr>
          <w:rFonts w:ascii="Arial" w:hAnsi="Arial" w:cs="Arial"/>
          <w:b/>
          <w:bCs/>
          <w:sz w:val="24"/>
          <w:szCs w:val="24"/>
        </w:rPr>
      </w:pPr>
    </w:p>
    <w:p w14:paraId="06D2C6B3" w14:textId="77777777" w:rsidR="004B40A4" w:rsidRPr="00C63186" w:rsidRDefault="004B40A4" w:rsidP="008E39FD">
      <w:pPr>
        <w:tabs>
          <w:tab w:val="left" w:pos="4474"/>
        </w:tabs>
        <w:spacing w:after="0"/>
        <w:jc w:val="both"/>
        <w:rPr>
          <w:rFonts w:ascii="Arial" w:hAnsi="Arial" w:cs="Arial"/>
          <w:sz w:val="24"/>
          <w:szCs w:val="24"/>
        </w:rPr>
      </w:pPr>
      <w:r w:rsidRPr="4622A9B7">
        <w:rPr>
          <w:rFonts w:ascii="Arial" w:hAnsi="Arial" w:cs="Arial"/>
          <w:b/>
          <w:bCs/>
          <w:sz w:val="24"/>
          <w:szCs w:val="24"/>
        </w:rPr>
        <w:t>MME:</w:t>
      </w:r>
      <w:r w:rsidRPr="4622A9B7">
        <w:rPr>
          <w:rFonts w:ascii="Arial" w:hAnsi="Arial" w:cs="Arial"/>
          <w:sz w:val="24"/>
          <w:szCs w:val="24"/>
        </w:rPr>
        <w:t xml:space="preserve"> Ministerio de Minas y Energía </w:t>
      </w:r>
    </w:p>
    <w:p w14:paraId="5F1D6C09" w14:textId="77777777" w:rsidR="004B40A4" w:rsidRDefault="004B40A4" w:rsidP="008E39FD">
      <w:pPr>
        <w:tabs>
          <w:tab w:val="left" w:pos="4474"/>
        </w:tabs>
        <w:spacing w:after="0"/>
        <w:jc w:val="both"/>
        <w:rPr>
          <w:rFonts w:ascii="Arial" w:hAnsi="Arial" w:cs="Arial"/>
          <w:sz w:val="24"/>
          <w:szCs w:val="24"/>
        </w:rPr>
      </w:pPr>
    </w:p>
    <w:p w14:paraId="06C67927" w14:textId="77777777" w:rsidR="004B40A4" w:rsidRPr="009A24DA" w:rsidRDefault="004B40A4" w:rsidP="008E39FD">
      <w:pPr>
        <w:tabs>
          <w:tab w:val="left" w:pos="4474"/>
        </w:tabs>
        <w:spacing w:after="0"/>
        <w:jc w:val="both"/>
        <w:rPr>
          <w:rFonts w:ascii="Arial" w:hAnsi="Arial" w:cs="Arial"/>
          <w:b/>
          <w:bCs/>
          <w:sz w:val="24"/>
          <w:szCs w:val="24"/>
        </w:rPr>
      </w:pPr>
      <w:r w:rsidRPr="009A24DA">
        <w:rPr>
          <w:rFonts w:ascii="Arial" w:hAnsi="Arial" w:cs="Arial"/>
          <w:b/>
          <w:bCs/>
          <w:sz w:val="24"/>
          <w:szCs w:val="24"/>
        </w:rPr>
        <w:lastRenderedPageBreak/>
        <w:t xml:space="preserve">PAC: </w:t>
      </w:r>
      <w:r w:rsidRPr="009A24DA">
        <w:rPr>
          <w:rFonts w:ascii="Arial" w:hAnsi="Arial" w:cs="Arial"/>
          <w:sz w:val="24"/>
          <w:szCs w:val="24"/>
        </w:rPr>
        <w:t>Plan Anual Mensualizado de Caja</w:t>
      </w:r>
    </w:p>
    <w:p w14:paraId="07228585" w14:textId="77777777" w:rsidR="004B40A4" w:rsidRPr="00C63186" w:rsidRDefault="004B40A4" w:rsidP="008E39FD">
      <w:pPr>
        <w:tabs>
          <w:tab w:val="left" w:pos="4474"/>
        </w:tabs>
        <w:spacing w:after="0"/>
        <w:jc w:val="both"/>
        <w:rPr>
          <w:rFonts w:ascii="Arial" w:hAnsi="Arial" w:cs="Arial"/>
          <w:b/>
          <w:bCs/>
          <w:sz w:val="24"/>
          <w:szCs w:val="24"/>
        </w:rPr>
      </w:pPr>
    </w:p>
    <w:p w14:paraId="5268E335" w14:textId="77777777" w:rsidR="004B40A4" w:rsidRPr="00C63186" w:rsidRDefault="004B40A4" w:rsidP="008E39FD">
      <w:pPr>
        <w:tabs>
          <w:tab w:val="left" w:pos="4474"/>
        </w:tabs>
        <w:spacing w:after="0"/>
        <w:jc w:val="both"/>
        <w:rPr>
          <w:rFonts w:ascii="Arial" w:hAnsi="Arial" w:cs="Arial"/>
          <w:b/>
          <w:bCs/>
          <w:sz w:val="24"/>
          <w:szCs w:val="24"/>
        </w:rPr>
      </w:pPr>
      <w:r w:rsidRPr="00C63186">
        <w:rPr>
          <w:rFonts w:ascii="Arial" w:hAnsi="Arial" w:cs="Arial"/>
          <w:b/>
          <w:bCs/>
          <w:sz w:val="24"/>
          <w:szCs w:val="24"/>
        </w:rPr>
        <w:t xml:space="preserve">PDF: </w:t>
      </w:r>
      <w:r w:rsidRPr="00C63186">
        <w:rPr>
          <w:rStyle w:val="nfasis"/>
          <w:rFonts w:ascii="Arial" w:hAnsi="Arial" w:cs="Arial"/>
          <w:i w:val="0"/>
          <w:iCs w:val="0"/>
          <w:sz w:val="24"/>
          <w:szCs w:val="24"/>
          <w:shd w:val="clear" w:color="auto" w:fill="FFFFFF"/>
        </w:rPr>
        <w:t>Portable Document Format</w:t>
      </w:r>
      <w:r w:rsidRPr="00C63186">
        <w:rPr>
          <w:rStyle w:val="nfasis"/>
          <w:rFonts w:ascii="Arial" w:hAnsi="Arial" w:cs="Arial"/>
          <w:b/>
          <w:bCs/>
          <w:i w:val="0"/>
          <w:iCs w:val="0"/>
          <w:sz w:val="24"/>
          <w:szCs w:val="24"/>
          <w:shd w:val="clear" w:color="auto" w:fill="FFFFFF"/>
        </w:rPr>
        <w:t xml:space="preserve"> </w:t>
      </w:r>
      <w:r w:rsidRPr="00C63186">
        <w:rPr>
          <w:rStyle w:val="nfasis"/>
          <w:rFonts w:ascii="Arial" w:hAnsi="Arial" w:cs="Arial"/>
          <w:i w:val="0"/>
          <w:iCs w:val="0"/>
          <w:sz w:val="24"/>
          <w:szCs w:val="24"/>
          <w:shd w:val="clear" w:color="auto" w:fill="FFFFFF"/>
        </w:rPr>
        <w:t>(F</w:t>
      </w:r>
      <w:r w:rsidRPr="00C63186">
        <w:rPr>
          <w:rFonts w:ascii="Arial" w:hAnsi="Arial" w:cs="Arial"/>
          <w:sz w:val="24"/>
          <w:szCs w:val="24"/>
          <w:shd w:val="clear" w:color="auto" w:fill="FFFFFF"/>
        </w:rPr>
        <w:t>ormato de documento portátil)</w:t>
      </w:r>
    </w:p>
    <w:p w14:paraId="1CE14252" w14:textId="77777777" w:rsidR="004B40A4" w:rsidRPr="00C63186" w:rsidRDefault="004B40A4" w:rsidP="008E39FD">
      <w:pPr>
        <w:tabs>
          <w:tab w:val="left" w:pos="4474"/>
        </w:tabs>
        <w:spacing w:after="0"/>
        <w:jc w:val="both"/>
        <w:rPr>
          <w:rFonts w:ascii="Arial" w:hAnsi="Arial" w:cs="Arial"/>
          <w:b/>
          <w:bCs/>
          <w:sz w:val="24"/>
          <w:szCs w:val="24"/>
        </w:rPr>
      </w:pPr>
    </w:p>
    <w:p w14:paraId="08BA0402"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PDET: </w:t>
      </w:r>
      <w:r w:rsidRPr="00C63186">
        <w:rPr>
          <w:rFonts w:ascii="Arial" w:hAnsi="Arial" w:cs="Arial"/>
          <w:sz w:val="24"/>
          <w:szCs w:val="24"/>
        </w:rPr>
        <w:t>Programas de Desarrollo con Enfoque Territorial</w:t>
      </w:r>
    </w:p>
    <w:p w14:paraId="63386763" w14:textId="77777777" w:rsidR="004B40A4" w:rsidRPr="00C63186" w:rsidRDefault="004B40A4" w:rsidP="008E39FD">
      <w:pPr>
        <w:tabs>
          <w:tab w:val="left" w:pos="4474"/>
        </w:tabs>
        <w:spacing w:after="0"/>
        <w:jc w:val="both"/>
        <w:rPr>
          <w:rFonts w:ascii="Arial" w:hAnsi="Arial" w:cs="Arial"/>
          <w:b/>
          <w:bCs/>
          <w:sz w:val="24"/>
          <w:szCs w:val="24"/>
        </w:rPr>
      </w:pPr>
    </w:p>
    <w:p w14:paraId="05E336AE" w14:textId="77777777" w:rsidR="004B40A4" w:rsidRPr="00C63186" w:rsidRDefault="004B40A4" w:rsidP="008E39FD">
      <w:pPr>
        <w:tabs>
          <w:tab w:val="left" w:pos="4474"/>
        </w:tabs>
        <w:spacing w:after="0"/>
        <w:jc w:val="both"/>
        <w:rPr>
          <w:rFonts w:ascii="Arial" w:hAnsi="Arial" w:cs="Arial"/>
          <w:sz w:val="24"/>
          <w:szCs w:val="24"/>
        </w:rPr>
      </w:pPr>
      <w:r w:rsidRPr="4622A9B7">
        <w:rPr>
          <w:rFonts w:ascii="Arial" w:hAnsi="Arial" w:cs="Arial"/>
          <w:b/>
          <w:bCs/>
          <w:sz w:val="24"/>
          <w:szCs w:val="24"/>
        </w:rPr>
        <w:t>PERS:</w:t>
      </w:r>
      <w:r w:rsidRPr="4622A9B7">
        <w:rPr>
          <w:rFonts w:ascii="Arial" w:hAnsi="Arial" w:cs="Arial"/>
          <w:sz w:val="24"/>
          <w:szCs w:val="24"/>
        </w:rPr>
        <w:t xml:space="preserve"> Planes de Energización Rural Sostenible </w:t>
      </w:r>
    </w:p>
    <w:p w14:paraId="78B57265" w14:textId="77777777" w:rsidR="004B40A4" w:rsidRDefault="004B40A4" w:rsidP="008E39FD">
      <w:pPr>
        <w:tabs>
          <w:tab w:val="left" w:pos="4474"/>
        </w:tabs>
        <w:spacing w:after="0"/>
        <w:jc w:val="both"/>
        <w:rPr>
          <w:rFonts w:ascii="Arial" w:hAnsi="Arial" w:cs="Arial"/>
          <w:sz w:val="24"/>
          <w:szCs w:val="24"/>
        </w:rPr>
      </w:pPr>
    </w:p>
    <w:p w14:paraId="63F28DF1" w14:textId="77777777" w:rsidR="004B40A4" w:rsidRDefault="004B40A4" w:rsidP="008E39FD">
      <w:pPr>
        <w:tabs>
          <w:tab w:val="left" w:pos="4474"/>
        </w:tabs>
        <w:spacing w:after="0"/>
        <w:jc w:val="both"/>
        <w:rPr>
          <w:rFonts w:ascii="Arial" w:hAnsi="Arial" w:cs="Arial"/>
          <w:sz w:val="24"/>
          <w:szCs w:val="24"/>
        </w:rPr>
      </w:pPr>
      <w:r w:rsidRPr="009A24DA">
        <w:rPr>
          <w:rFonts w:ascii="Arial" w:hAnsi="Arial" w:cs="Arial"/>
          <w:b/>
          <w:bCs/>
          <w:sz w:val="24"/>
          <w:szCs w:val="24"/>
        </w:rPr>
        <w:t>PGN:</w:t>
      </w:r>
      <w:r w:rsidRPr="4622A9B7">
        <w:rPr>
          <w:rFonts w:ascii="Arial" w:hAnsi="Arial" w:cs="Arial"/>
          <w:sz w:val="24"/>
          <w:szCs w:val="24"/>
        </w:rPr>
        <w:t xml:space="preserve"> Presupuesto General de la Nación</w:t>
      </w:r>
    </w:p>
    <w:p w14:paraId="6B3C3D20" w14:textId="77777777" w:rsidR="004B40A4" w:rsidRPr="00C63186" w:rsidRDefault="004B40A4" w:rsidP="008E39FD">
      <w:pPr>
        <w:tabs>
          <w:tab w:val="left" w:pos="4474"/>
        </w:tabs>
        <w:spacing w:after="0"/>
        <w:jc w:val="both"/>
        <w:rPr>
          <w:rFonts w:ascii="Arial" w:hAnsi="Arial" w:cs="Arial"/>
          <w:sz w:val="24"/>
          <w:szCs w:val="24"/>
        </w:rPr>
      </w:pPr>
    </w:p>
    <w:p w14:paraId="0101E805"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PIEC:</w:t>
      </w:r>
      <w:r w:rsidRPr="00C63186">
        <w:rPr>
          <w:rFonts w:ascii="Arial" w:hAnsi="Arial" w:cs="Arial"/>
          <w:sz w:val="24"/>
          <w:szCs w:val="24"/>
        </w:rPr>
        <w:t xml:space="preserve"> Plan Indicativo de Expansión de Cobertura de Energía Eléctrica </w:t>
      </w:r>
    </w:p>
    <w:p w14:paraId="412EB0CD" w14:textId="77777777" w:rsidR="004B40A4" w:rsidRPr="00C63186" w:rsidRDefault="004B40A4" w:rsidP="008E39FD">
      <w:pPr>
        <w:tabs>
          <w:tab w:val="left" w:pos="4474"/>
        </w:tabs>
        <w:spacing w:after="0"/>
        <w:jc w:val="both"/>
        <w:rPr>
          <w:rFonts w:ascii="Arial" w:hAnsi="Arial" w:cs="Arial"/>
          <w:sz w:val="24"/>
          <w:szCs w:val="24"/>
        </w:rPr>
      </w:pPr>
    </w:p>
    <w:p w14:paraId="37419007"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PIECGN:</w:t>
      </w:r>
      <w:r w:rsidRPr="00C63186">
        <w:rPr>
          <w:rFonts w:ascii="Arial" w:hAnsi="Arial" w:cs="Arial"/>
          <w:sz w:val="24"/>
          <w:szCs w:val="24"/>
        </w:rPr>
        <w:t xml:space="preserve"> Plan Indicativo de Cobertura de Gas Combustible </w:t>
      </w:r>
    </w:p>
    <w:p w14:paraId="693F1C88" w14:textId="77777777" w:rsidR="004B40A4" w:rsidRPr="00C63186" w:rsidRDefault="004B40A4" w:rsidP="008E39FD">
      <w:pPr>
        <w:tabs>
          <w:tab w:val="left" w:pos="4474"/>
        </w:tabs>
        <w:spacing w:after="0"/>
        <w:jc w:val="both"/>
        <w:rPr>
          <w:rFonts w:ascii="Arial" w:hAnsi="Arial" w:cs="Arial"/>
          <w:sz w:val="24"/>
          <w:szCs w:val="24"/>
        </w:rPr>
      </w:pPr>
    </w:p>
    <w:p w14:paraId="35366BE4"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PNER:</w:t>
      </w:r>
      <w:r w:rsidRPr="00C63186">
        <w:rPr>
          <w:rFonts w:ascii="Arial" w:hAnsi="Arial" w:cs="Arial"/>
          <w:sz w:val="24"/>
          <w:szCs w:val="24"/>
        </w:rPr>
        <w:t xml:space="preserve"> Plan Nacional de Electrificación Rural</w:t>
      </w:r>
    </w:p>
    <w:p w14:paraId="03D5E58B" w14:textId="77777777" w:rsidR="004B40A4" w:rsidRPr="00C63186" w:rsidRDefault="004B40A4" w:rsidP="008E39FD">
      <w:pPr>
        <w:tabs>
          <w:tab w:val="left" w:pos="4474"/>
        </w:tabs>
        <w:spacing w:after="0"/>
        <w:jc w:val="both"/>
        <w:rPr>
          <w:rFonts w:ascii="Arial" w:hAnsi="Arial" w:cs="Arial"/>
          <w:sz w:val="24"/>
          <w:szCs w:val="24"/>
        </w:rPr>
      </w:pPr>
    </w:p>
    <w:p w14:paraId="3FD3C58F" w14:textId="77777777" w:rsidR="004B40A4" w:rsidRPr="00C63186" w:rsidRDefault="004B40A4" w:rsidP="008E39FD">
      <w:pPr>
        <w:tabs>
          <w:tab w:val="left" w:pos="4474"/>
        </w:tabs>
        <w:spacing w:after="0"/>
        <w:jc w:val="both"/>
        <w:rPr>
          <w:rFonts w:ascii="Arial" w:hAnsi="Arial" w:cs="Arial"/>
          <w:sz w:val="24"/>
          <w:szCs w:val="24"/>
        </w:rPr>
      </w:pPr>
      <w:r w:rsidRPr="1A65CE1C">
        <w:rPr>
          <w:rFonts w:ascii="Arial" w:hAnsi="Arial" w:cs="Arial"/>
          <w:b/>
          <w:bCs/>
          <w:sz w:val="24"/>
          <w:szCs w:val="24"/>
        </w:rPr>
        <w:t>PRONE:</w:t>
      </w:r>
      <w:r w:rsidRPr="1A65CE1C">
        <w:rPr>
          <w:rFonts w:ascii="Arial" w:hAnsi="Arial" w:cs="Arial"/>
          <w:sz w:val="24"/>
          <w:szCs w:val="24"/>
        </w:rPr>
        <w:t xml:space="preserve"> Programa de Normalización de Redes Eléctricas </w:t>
      </w:r>
    </w:p>
    <w:p w14:paraId="3A4EE467" w14:textId="77777777" w:rsidR="004B40A4" w:rsidRDefault="004B40A4" w:rsidP="008E39FD">
      <w:pPr>
        <w:tabs>
          <w:tab w:val="left" w:pos="4474"/>
        </w:tabs>
        <w:spacing w:after="0"/>
        <w:jc w:val="both"/>
        <w:rPr>
          <w:rFonts w:ascii="Arial" w:hAnsi="Arial" w:cs="Arial"/>
          <w:sz w:val="24"/>
          <w:szCs w:val="24"/>
        </w:rPr>
      </w:pPr>
    </w:p>
    <w:p w14:paraId="7F9D1B01" w14:textId="77777777" w:rsidR="004B40A4" w:rsidRDefault="004B40A4" w:rsidP="008E39FD">
      <w:pPr>
        <w:tabs>
          <w:tab w:val="left" w:pos="4474"/>
        </w:tabs>
        <w:spacing w:after="0"/>
        <w:jc w:val="both"/>
        <w:rPr>
          <w:rFonts w:ascii="Arial" w:hAnsi="Arial" w:cs="Arial"/>
          <w:sz w:val="24"/>
          <w:szCs w:val="24"/>
        </w:rPr>
      </w:pPr>
      <w:r w:rsidRPr="009A24DA">
        <w:rPr>
          <w:rFonts w:ascii="Arial" w:hAnsi="Arial" w:cs="Arial"/>
          <w:b/>
          <w:bCs/>
          <w:sz w:val="24"/>
          <w:szCs w:val="24"/>
        </w:rPr>
        <w:t>RTB</w:t>
      </w:r>
      <w:r w:rsidRPr="1A65CE1C">
        <w:rPr>
          <w:rFonts w:ascii="Arial" w:hAnsi="Arial" w:cs="Arial"/>
          <w:sz w:val="24"/>
          <w:szCs w:val="24"/>
        </w:rPr>
        <w:t>: Ready To Build</w:t>
      </w:r>
    </w:p>
    <w:p w14:paraId="49220287" w14:textId="77777777" w:rsidR="004B40A4" w:rsidRPr="00C63186" w:rsidRDefault="004B40A4" w:rsidP="008E39FD">
      <w:pPr>
        <w:tabs>
          <w:tab w:val="left" w:pos="4474"/>
        </w:tabs>
        <w:spacing w:after="0"/>
        <w:jc w:val="both"/>
        <w:rPr>
          <w:rFonts w:ascii="Arial" w:hAnsi="Arial" w:cs="Arial"/>
          <w:sz w:val="24"/>
          <w:szCs w:val="24"/>
        </w:rPr>
      </w:pPr>
    </w:p>
    <w:p w14:paraId="38C7D6FA"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 xml:space="preserve">SISFV: </w:t>
      </w:r>
      <w:r w:rsidRPr="00C63186">
        <w:rPr>
          <w:rFonts w:ascii="Arial" w:hAnsi="Arial" w:cs="Arial"/>
          <w:sz w:val="24"/>
          <w:szCs w:val="24"/>
        </w:rPr>
        <w:t>Solución Individual Solar Fotovoltáica</w:t>
      </w:r>
    </w:p>
    <w:p w14:paraId="658EF7CE" w14:textId="77777777" w:rsidR="004B40A4" w:rsidRPr="00C63186" w:rsidRDefault="004B40A4" w:rsidP="008E39FD">
      <w:pPr>
        <w:tabs>
          <w:tab w:val="left" w:pos="4474"/>
        </w:tabs>
        <w:spacing w:after="0"/>
        <w:jc w:val="both"/>
        <w:rPr>
          <w:rFonts w:ascii="Arial" w:hAnsi="Arial" w:cs="Arial"/>
          <w:b/>
          <w:bCs/>
          <w:sz w:val="24"/>
          <w:szCs w:val="24"/>
        </w:rPr>
      </w:pPr>
    </w:p>
    <w:p w14:paraId="38C58283"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SMMLV:</w:t>
      </w:r>
      <w:r w:rsidRPr="00C63186">
        <w:rPr>
          <w:rFonts w:ascii="Arial" w:hAnsi="Arial" w:cs="Arial"/>
          <w:sz w:val="24"/>
          <w:szCs w:val="24"/>
        </w:rPr>
        <w:t xml:space="preserve"> Salario Mínimo Mensual Legal Vigente </w:t>
      </w:r>
    </w:p>
    <w:p w14:paraId="0C2CABEB" w14:textId="77777777" w:rsidR="004B40A4" w:rsidRPr="00C63186" w:rsidRDefault="004B40A4" w:rsidP="008E39FD">
      <w:pPr>
        <w:tabs>
          <w:tab w:val="left" w:pos="4474"/>
        </w:tabs>
        <w:spacing w:after="0"/>
        <w:jc w:val="both"/>
        <w:rPr>
          <w:rFonts w:ascii="Arial" w:hAnsi="Arial" w:cs="Arial"/>
          <w:sz w:val="24"/>
          <w:szCs w:val="24"/>
        </w:rPr>
      </w:pPr>
    </w:p>
    <w:p w14:paraId="28CBFF0F"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UPME:</w:t>
      </w:r>
      <w:r w:rsidRPr="00C63186">
        <w:rPr>
          <w:rFonts w:ascii="Arial" w:hAnsi="Arial" w:cs="Arial"/>
          <w:sz w:val="24"/>
          <w:szCs w:val="24"/>
        </w:rPr>
        <w:t xml:space="preserve"> Unidad de Planeación Minero - Energética. </w:t>
      </w:r>
    </w:p>
    <w:p w14:paraId="3504AE21" w14:textId="77777777" w:rsidR="004B40A4" w:rsidRPr="00C63186" w:rsidRDefault="004B40A4" w:rsidP="008E39FD">
      <w:pPr>
        <w:tabs>
          <w:tab w:val="left" w:pos="4474"/>
        </w:tabs>
        <w:spacing w:after="0"/>
        <w:jc w:val="both"/>
        <w:rPr>
          <w:rFonts w:ascii="Arial" w:hAnsi="Arial" w:cs="Arial"/>
          <w:sz w:val="24"/>
          <w:szCs w:val="24"/>
        </w:rPr>
      </w:pPr>
    </w:p>
    <w:p w14:paraId="0F98ED00"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b/>
          <w:bCs/>
          <w:sz w:val="24"/>
          <w:szCs w:val="24"/>
        </w:rPr>
        <w:t>ZNI:</w:t>
      </w:r>
      <w:r w:rsidRPr="00C63186">
        <w:rPr>
          <w:rFonts w:ascii="Arial" w:hAnsi="Arial" w:cs="Arial"/>
          <w:sz w:val="24"/>
          <w:szCs w:val="24"/>
        </w:rPr>
        <w:t xml:space="preserve"> Zonas No Interconectadas</w:t>
      </w:r>
    </w:p>
    <w:p w14:paraId="78C8D7A3" w14:textId="77777777" w:rsidR="004B40A4" w:rsidRPr="00C63186" w:rsidRDefault="004B40A4" w:rsidP="008E39FD">
      <w:pPr>
        <w:spacing w:after="0"/>
        <w:rPr>
          <w:rFonts w:ascii="Arial" w:hAnsi="Arial" w:cs="Arial"/>
          <w:b/>
          <w:bCs/>
          <w:sz w:val="24"/>
          <w:szCs w:val="24"/>
        </w:rPr>
      </w:pPr>
    </w:p>
    <w:p w14:paraId="4C0582B9" w14:textId="77777777" w:rsidR="004B40A4" w:rsidRDefault="004B40A4" w:rsidP="008E39FD">
      <w:pPr>
        <w:spacing w:after="0"/>
        <w:rPr>
          <w:rFonts w:ascii="Arial" w:hAnsi="Arial" w:cs="Arial"/>
          <w:sz w:val="24"/>
          <w:szCs w:val="24"/>
        </w:rPr>
      </w:pPr>
      <w:r w:rsidRPr="00C63186">
        <w:rPr>
          <w:rFonts w:ascii="Arial" w:hAnsi="Arial" w:cs="Arial"/>
          <w:b/>
          <w:bCs/>
          <w:sz w:val="24"/>
          <w:szCs w:val="24"/>
        </w:rPr>
        <w:t xml:space="preserve">ZOMAC: </w:t>
      </w:r>
      <w:r w:rsidRPr="00C63186">
        <w:rPr>
          <w:rFonts w:ascii="Arial" w:hAnsi="Arial" w:cs="Arial"/>
          <w:sz w:val="24"/>
          <w:szCs w:val="24"/>
        </w:rPr>
        <w:t>Zonas Más Afectadas por el Conflicto Armado</w:t>
      </w:r>
    </w:p>
    <w:p w14:paraId="3E0C6EA5" w14:textId="77777777" w:rsidR="004B40A4" w:rsidRPr="00C63186" w:rsidRDefault="004B40A4" w:rsidP="008E39FD">
      <w:pPr>
        <w:spacing w:after="0"/>
        <w:rPr>
          <w:rFonts w:ascii="Arial" w:hAnsi="Arial" w:cs="Arial"/>
          <w:sz w:val="24"/>
          <w:szCs w:val="24"/>
        </w:rPr>
      </w:pPr>
    </w:p>
    <w:p w14:paraId="49BC56AF" w14:textId="6919E9BF" w:rsidR="00BB61BF" w:rsidRPr="00B03685" w:rsidRDefault="004B40A4" w:rsidP="003E028A">
      <w:pPr>
        <w:pStyle w:val="Ttulo3"/>
        <w:ind w:left="720" w:hanging="720"/>
        <w:jc w:val="center"/>
      </w:pPr>
      <w:bookmarkStart w:id="12" w:name="_Toc205496123"/>
      <w:bookmarkStart w:id="13" w:name="_Toc224844282"/>
      <w:bookmarkStart w:id="14" w:name="_Toc219397235"/>
      <w:r w:rsidRPr="00B03685">
        <w:t>CAPÍTULO II</w:t>
      </w:r>
      <w:bookmarkEnd w:id="12"/>
      <w:bookmarkEnd w:id="13"/>
    </w:p>
    <w:p w14:paraId="3DD41811" w14:textId="228C6730" w:rsidR="004B40A4" w:rsidRPr="00A75167" w:rsidRDefault="004B40A4" w:rsidP="003E028A">
      <w:pPr>
        <w:pStyle w:val="Ttulo4"/>
        <w:ind w:left="864" w:hanging="864"/>
        <w:jc w:val="center"/>
      </w:pPr>
      <w:bookmarkStart w:id="15" w:name="_Toc224844283"/>
      <w:r w:rsidRPr="00B03685">
        <w:t>OBJETIVOS DEL FONDO</w:t>
      </w:r>
      <w:bookmarkEnd w:id="14"/>
      <w:bookmarkEnd w:id="15"/>
    </w:p>
    <w:p w14:paraId="0CAC182D" w14:textId="77777777" w:rsidR="004B40A4" w:rsidRPr="00C63186" w:rsidRDefault="004B40A4" w:rsidP="008E39FD">
      <w:pPr>
        <w:tabs>
          <w:tab w:val="left" w:pos="4474"/>
        </w:tabs>
        <w:spacing w:after="0"/>
        <w:jc w:val="both"/>
      </w:pPr>
    </w:p>
    <w:p w14:paraId="41281B36" w14:textId="6EB6604B" w:rsidR="004B40A4" w:rsidRDefault="00EC5862" w:rsidP="003E028A">
      <w:pPr>
        <w:pStyle w:val="Ttulo5"/>
        <w:ind w:left="1008" w:hanging="1008"/>
      </w:pPr>
      <w:bookmarkStart w:id="16" w:name="_Toc205496124"/>
      <w:bookmarkStart w:id="17" w:name="_Toc219397236"/>
      <w:bookmarkStart w:id="18" w:name="_Toc224844284"/>
      <w:r>
        <w:rPr>
          <w:bCs/>
        </w:rPr>
        <w:t>I-</w:t>
      </w:r>
      <w:r w:rsidR="006E5838" w:rsidRPr="00B03685">
        <w:t xml:space="preserve">2.1 </w:t>
      </w:r>
      <w:r w:rsidR="004B40A4" w:rsidRPr="00B03685">
        <w:t>Objetivo General</w:t>
      </w:r>
      <w:bookmarkEnd w:id="16"/>
      <w:bookmarkEnd w:id="17"/>
      <w:bookmarkEnd w:id="18"/>
      <w:r w:rsidR="004B40A4" w:rsidRPr="00B03685">
        <w:t xml:space="preserve"> </w:t>
      </w:r>
    </w:p>
    <w:p w14:paraId="6C547B29" w14:textId="77777777" w:rsidR="00FB576E" w:rsidRPr="00FB576E" w:rsidRDefault="00FB576E" w:rsidP="00FB576E"/>
    <w:p w14:paraId="790881DC" w14:textId="67C29C61" w:rsidR="004B40A4" w:rsidRDefault="004B40A4" w:rsidP="008E39FD">
      <w:pPr>
        <w:tabs>
          <w:tab w:val="left" w:pos="4474"/>
        </w:tabs>
        <w:spacing w:after="0"/>
        <w:jc w:val="both"/>
        <w:rPr>
          <w:rFonts w:ascii="Arial" w:hAnsi="Arial" w:cs="Arial"/>
          <w:sz w:val="24"/>
          <w:szCs w:val="24"/>
        </w:rPr>
      </w:pPr>
      <w:r w:rsidRPr="000510DE">
        <w:rPr>
          <w:rFonts w:ascii="Arial" w:hAnsi="Arial" w:cs="Arial"/>
          <w:sz w:val="24"/>
          <w:szCs w:val="24"/>
        </w:rPr>
        <w:t>El objetivo general del FONENERGÍA se enmarca en lo dispuesto en el artículo 41 de la Ley 2099 de 2021, modificado por el artículo 247 de la Ley 2294 de 2023, o en las normas que las modifiquen, adicionen o sustituyan</w:t>
      </w:r>
      <w:r w:rsidR="00BB261D">
        <w:rPr>
          <w:rFonts w:ascii="Arial" w:hAnsi="Arial" w:cs="Arial"/>
          <w:sz w:val="24"/>
          <w:szCs w:val="24"/>
        </w:rPr>
        <w:t>, e</w:t>
      </w:r>
      <w:r>
        <w:rPr>
          <w:rFonts w:ascii="Arial" w:hAnsi="Arial" w:cs="Arial"/>
          <w:sz w:val="24"/>
          <w:szCs w:val="24"/>
        </w:rPr>
        <w:t xml:space="preserve">l cual </w:t>
      </w:r>
      <w:r w:rsidRPr="000510DE">
        <w:rPr>
          <w:rFonts w:ascii="Arial" w:hAnsi="Arial" w:cs="Arial"/>
          <w:sz w:val="24"/>
          <w:szCs w:val="24"/>
        </w:rPr>
        <w:t>consiste en coordinar, articular y focalizar las diferentes fuentes de recursos conforme a l</w:t>
      </w:r>
      <w:r w:rsidR="00BB261D">
        <w:rPr>
          <w:rFonts w:ascii="Arial" w:hAnsi="Arial" w:cs="Arial"/>
          <w:sz w:val="24"/>
          <w:szCs w:val="24"/>
        </w:rPr>
        <w:t xml:space="preserve">a destinación </w:t>
      </w:r>
      <w:r w:rsidRPr="000510DE">
        <w:rPr>
          <w:rFonts w:ascii="Arial" w:hAnsi="Arial" w:cs="Arial"/>
          <w:sz w:val="24"/>
          <w:szCs w:val="24"/>
        </w:rPr>
        <w:t>establecid</w:t>
      </w:r>
      <w:r w:rsidR="00BB261D">
        <w:rPr>
          <w:rFonts w:ascii="Arial" w:hAnsi="Arial" w:cs="Arial"/>
          <w:sz w:val="24"/>
          <w:szCs w:val="24"/>
        </w:rPr>
        <w:t>a</w:t>
      </w:r>
      <w:r w:rsidRPr="000510DE">
        <w:rPr>
          <w:rFonts w:ascii="Arial" w:hAnsi="Arial" w:cs="Arial"/>
          <w:sz w:val="24"/>
          <w:szCs w:val="24"/>
        </w:rPr>
        <w:t xml:space="preserve"> en la normativa citada. Para tal fin, y a través de sus Órganos de Gobierno, el FONENERGÍA</w:t>
      </w:r>
      <w:r w:rsidR="00BB261D">
        <w:rPr>
          <w:rFonts w:ascii="Arial" w:hAnsi="Arial" w:cs="Arial"/>
          <w:sz w:val="24"/>
          <w:szCs w:val="24"/>
        </w:rPr>
        <w:t xml:space="preserve"> podrá</w:t>
      </w:r>
      <w:r w:rsidRPr="000510DE">
        <w:rPr>
          <w:rFonts w:ascii="Arial" w:hAnsi="Arial" w:cs="Arial"/>
          <w:sz w:val="24"/>
          <w:szCs w:val="24"/>
        </w:rPr>
        <w:t xml:space="preserve"> adelantar las actividades de</w:t>
      </w:r>
      <w:r w:rsidR="00BB261D" w:rsidRPr="00BB261D">
        <w:rPr>
          <w:rFonts w:ascii="Arial" w:hAnsi="Arial" w:cs="Arial"/>
          <w:sz w:val="24"/>
          <w:szCs w:val="24"/>
        </w:rPr>
        <w:t xml:space="preserve"> diseño y estructuración</w:t>
      </w:r>
      <w:r w:rsidR="008C2A21">
        <w:rPr>
          <w:rFonts w:ascii="Arial" w:hAnsi="Arial" w:cs="Arial"/>
          <w:sz w:val="24"/>
          <w:szCs w:val="24"/>
        </w:rPr>
        <w:t>;</w:t>
      </w:r>
      <w:r w:rsidRPr="000510DE">
        <w:rPr>
          <w:rFonts w:ascii="Arial" w:hAnsi="Arial" w:cs="Arial"/>
          <w:sz w:val="24"/>
          <w:szCs w:val="24"/>
        </w:rPr>
        <w:t xml:space="preserve"> viabilización técnica</w:t>
      </w:r>
      <w:r>
        <w:rPr>
          <w:rFonts w:ascii="Arial" w:hAnsi="Arial" w:cs="Arial"/>
          <w:sz w:val="24"/>
          <w:szCs w:val="24"/>
        </w:rPr>
        <w:t>,</w:t>
      </w:r>
      <w:r w:rsidRPr="000510DE">
        <w:rPr>
          <w:rFonts w:ascii="Arial" w:hAnsi="Arial" w:cs="Arial"/>
          <w:sz w:val="24"/>
          <w:szCs w:val="24"/>
        </w:rPr>
        <w:t xml:space="preserve"> financiera</w:t>
      </w:r>
      <w:r>
        <w:rPr>
          <w:rFonts w:ascii="Arial" w:hAnsi="Arial" w:cs="Arial"/>
          <w:sz w:val="24"/>
          <w:szCs w:val="24"/>
        </w:rPr>
        <w:t>, jurídica y administrativa</w:t>
      </w:r>
      <w:r w:rsidRPr="000510DE">
        <w:rPr>
          <w:rFonts w:ascii="Arial" w:hAnsi="Arial" w:cs="Arial"/>
          <w:sz w:val="24"/>
          <w:szCs w:val="24"/>
        </w:rPr>
        <w:t xml:space="preserve"> de los proyectos que se presenten; aprobación y asignación de recursos; ejecución, seguimiento y control de los mismos; así como la verificación de la infraestructura resultante para su entrega al Ministerio de Minas y Energía, y las demás funciones que le sean asignadas en el Decreto </w:t>
      </w:r>
      <w:r w:rsidRPr="000510DE">
        <w:rPr>
          <w:rFonts w:ascii="Arial" w:hAnsi="Arial" w:cs="Arial"/>
          <w:sz w:val="24"/>
          <w:szCs w:val="24"/>
          <w:highlight w:val="cyan"/>
        </w:rPr>
        <w:t>XXX</w:t>
      </w:r>
      <w:r w:rsidRPr="000510DE">
        <w:rPr>
          <w:rFonts w:ascii="Arial" w:hAnsi="Arial" w:cs="Arial"/>
          <w:sz w:val="24"/>
          <w:szCs w:val="24"/>
        </w:rPr>
        <w:t xml:space="preserve"> y demás disposiciones aplicables.</w:t>
      </w:r>
    </w:p>
    <w:p w14:paraId="123ED74C" w14:textId="77777777" w:rsidR="00041818" w:rsidRDefault="00041818" w:rsidP="008E39FD">
      <w:pPr>
        <w:tabs>
          <w:tab w:val="left" w:pos="4474"/>
        </w:tabs>
        <w:spacing w:after="0"/>
        <w:jc w:val="both"/>
        <w:rPr>
          <w:rFonts w:ascii="Arial" w:hAnsi="Arial" w:cs="Arial"/>
          <w:sz w:val="24"/>
          <w:szCs w:val="24"/>
        </w:rPr>
      </w:pPr>
    </w:p>
    <w:p w14:paraId="2899C42A" w14:textId="17BC870F" w:rsidR="00041818" w:rsidRDefault="00041818" w:rsidP="008E39FD">
      <w:pPr>
        <w:tabs>
          <w:tab w:val="left" w:pos="4474"/>
        </w:tabs>
        <w:spacing w:after="0"/>
        <w:jc w:val="both"/>
        <w:rPr>
          <w:rFonts w:ascii="Arial" w:hAnsi="Arial" w:cs="Arial"/>
          <w:sz w:val="24"/>
          <w:szCs w:val="24"/>
        </w:rPr>
      </w:pPr>
      <w:r>
        <w:rPr>
          <w:rFonts w:ascii="Arial" w:hAnsi="Arial" w:cs="Arial"/>
          <w:sz w:val="24"/>
          <w:szCs w:val="24"/>
        </w:rPr>
        <w:lastRenderedPageBreak/>
        <w:t>Las anteriores funciones podrán estar acompañadas de la elaboración de los respectivos contratos por parte del Equipo Técnico de FONENERGÍA.</w:t>
      </w:r>
    </w:p>
    <w:p w14:paraId="566ACD2E" w14:textId="77777777" w:rsidR="004B40A4" w:rsidRDefault="004B40A4" w:rsidP="008E39FD">
      <w:pPr>
        <w:tabs>
          <w:tab w:val="left" w:pos="4474"/>
        </w:tabs>
        <w:spacing w:after="0"/>
        <w:jc w:val="both"/>
        <w:rPr>
          <w:rFonts w:ascii="Arial" w:hAnsi="Arial" w:cs="Arial"/>
          <w:sz w:val="24"/>
          <w:szCs w:val="24"/>
        </w:rPr>
      </w:pPr>
    </w:p>
    <w:p w14:paraId="5A4E4C14" w14:textId="44385403" w:rsidR="004B40A4" w:rsidRPr="00A75167" w:rsidRDefault="00C303F8" w:rsidP="003E028A">
      <w:pPr>
        <w:pStyle w:val="Ttulo5"/>
        <w:ind w:left="1008" w:hanging="1008"/>
      </w:pPr>
      <w:bookmarkStart w:id="19" w:name="_Toc205496125"/>
      <w:bookmarkStart w:id="20" w:name="_Toc219397237"/>
      <w:bookmarkStart w:id="21" w:name="_Toc224844285"/>
      <w:r>
        <w:rPr>
          <w:bCs/>
        </w:rPr>
        <w:t>I-</w:t>
      </w:r>
      <w:r w:rsidR="009D72F6" w:rsidRPr="00B03685">
        <w:t xml:space="preserve">2.2 </w:t>
      </w:r>
      <w:r w:rsidR="004B40A4" w:rsidRPr="00B03685">
        <w:t>Objetivos Específicos</w:t>
      </w:r>
      <w:bookmarkEnd w:id="19"/>
      <w:bookmarkEnd w:id="20"/>
      <w:bookmarkEnd w:id="21"/>
      <w:r w:rsidR="004B40A4" w:rsidRPr="00B03685">
        <w:t xml:space="preserve"> </w:t>
      </w:r>
    </w:p>
    <w:p w14:paraId="08C98A77" w14:textId="77777777" w:rsidR="004B40A4" w:rsidRPr="00C63186" w:rsidRDefault="004B40A4" w:rsidP="008E39FD">
      <w:pPr>
        <w:tabs>
          <w:tab w:val="left" w:pos="4474"/>
        </w:tabs>
        <w:spacing w:after="0"/>
        <w:rPr>
          <w:rFonts w:ascii="Arial" w:hAnsi="Arial" w:cs="Arial"/>
          <w:sz w:val="24"/>
          <w:szCs w:val="24"/>
        </w:rPr>
      </w:pPr>
    </w:p>
    <w:p w14:paraId="36D199A0"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Financiar sus propios costos de administración con la finalidad de desarrollar el objeto del mismo, de conformidad con el inciso 5 del artículo 41 de la Ley 2099 de 2021, modificado por el artículo 247 de la Ley 2294 de 2023.</w:t>
      </w:r>
    </w:p>
    <w:p w14:paraId="21FF50EA" w14:textId="77777777" w:rsidR="004B40A4" w:rsidRPr="00C63186" w:rsidRDefault="004B40A4" w:rsidP="008E39FD">
      <w:pPr>
        <w:tabs>
          <w:tab w:val="left" w:pos="4474"/>
        </w:tabs>
        <w:spacing w:after="0"/>
        <w:ind w:left="426"/>
        <w:jc w:val="both"/>
        <w:rPr>
          <w:rFonts w:ascii="Arial" w:hAnsi="Arial" w:cs="Arial"/>
          <w:sz w:val="24"/>
          <w:szCs w:val="24"/>
        </w:rPr>
      </w:pPr>
    </w:p>
    <w:p w14:paraId="5ACFE6EA"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Financiar</w:t>
      </w:r>
      <w:r>
        <w:rPr>
          <w:rFonts w:ascii="Arial" w:hAnsi="Arial" w:cs="Arial"/>
          <w:sz w:val="24"/>
          <w:szCs w:val="24"/>
        </w:rPr>
        <w:t>, cofinanciar</w:t>
      </w:r>
      <w:r w:rsidRPr="00C63186">
        <w:rPr>
          <w:rFonts w:ascii="Arial" w:hAnsi="Arial" w:cs="Arial"/>
          <w:sz w:val="24"/>
          <w:szCs w:val="24"/>
        </w:rPr>
        <w:t xml:space="preserve"> y/o apoyar la ampliación de cobertura a través de redes físicas o redes logísticas y de servicio; así como la universalización y el mejoramiento de la calidad en la prestación de los servicios públicos de energía y gas combustible para el desarrollo de las comunidades, con una visión energética integral de los recursos disponibles y la sostenibilidad en el mediano y largo plazo.</w:t>
      </w:r>
    </w:p>
    <w:p w14:paraId="74DA8AE7" w14:textId="77777777" w:rsidR="004B40A4" w:rsidRPr="00C63186" w:rsidRDefault="004B40A4" w:rsidP="008E39FD">
      <w:pPr>
        <w:tabs>
          <w:tab w:val="left" w:pos="4474"/>
        </w:tabs>
        <w:spacing w:after="0"/>
        <w:ind w:left="426"/>
        <w:jc w:val="both"/>
        <w:rPr>
          <w:rFonts w:ascii="Arial" w:hAnsi="Arial" w:cs="Arial"/>
          <w:sz w:val="24"/>
          <w:szCs w:val="24"/>
        </w:rPr>
      </w:pPr>
    </w:p>
    <w:p w14:paraId="7F0FAF55"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Promover el desarrollo de nuevos mecanismos para la ampliación de cobertura, incluyendo la promoción de las FNCE, buscando motivar e incorporar la participación pública, privada y mixta en la prestación del servicio público domiciliario de energía eléctrica y gas combustible por redes, promoviendo la disminución de gases de efecto invernadero - GEI.</w:t>
      </w:r>
    </w:p>
    <w:p w14:paraId="17C653FB" w14:textId="77777777" w:rsidR="004B40A4" w:rsidRPr="00C63186" w:rsidRDefault="004B40A4" w:rsidP="008E39FD">
      <w:pPr>
        <w:pStyle w:val="Prrafodelista"/>
        <w:ind w:left="426"/>
        <w:rPr>
          <w:rFonts w:ascii="Arial" w:hAnsi="Arial" w:cs="Arial"/>
          <w:sz w:val="24"/>
          <w:szCs w:val="24"/>
        </w:rPr>
      </w:pPr>
    </w:p>
    <w:p w14:paraId="2E9080A7"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Mejorar la calidad y confiabilidad del servicio de energía eléctrica mediante la normalización de redes eléctricas en el territorio nacional.</w:t>
      </w:r>
    </w:p>
    <w:p w14:paraId="78A4508B" w14:textId="77777777" w:rsidR="004B40A4" w:rsidRPr="00C63186" w:rsidRDefault="004B40A4" w:rsidP="008E39FD">
      <w:pPr>
        <w:pStyle w:val="Prrafodelista"/>
        <w:ind w:left="426"/>
        <w:rPr>
          <w:rFonts w:ascii="Arial" w:hAnsi="Arial" w:cs="Arial"/>
          <w:sz w:val="24"/>
          <w:szCs w:val="24"/>
        </w:rPr>
      </w:pPr>
    </w:p>
    <w:p w14:paraId="52B2E872"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Promover soluciones tecnológicas apropiadas de generación de energía eléctrica, de acuerdo con las particularidades del medio rural</w:t>
      </w:r>
      <w:r>
        <w:rPr>
          <w:rFonts w:ascii="Arial" w:hAnsi="Arial" w:cs="Arial"/>
          <w:sz w:val="24"/>
          <w:szCs w:val="24"/>
        </w:rPr>
        <w:t xml:space="preserve"> o urbano</w:t>
      </w:r>
      <w:r w:rsidRPr="00C63186">
        <w:rPr>
          <w:rFonts w:ascii="Arial" w:hAnsi="Arial" w:cs="Arial"/>
          <w:sz w:val="24"/>
          <w:szCs w:val="24"/>
        </w:rPr>
        <w:t xml:space="preserve"> y de las comunidades, para lo cual se utilizarán de manera preferente, pero sin limitarse a ellas, las FNCE</w:t>
      </w:r>
      <w:r>
        <w:rPr>
          <w:rFonts w:ascii="Arial" w:hAnsi="Arial" w:cs="Arial"/>
          <w:sz w:val="24"/>
          <w:szCs w:val="24"/>
        </w:rPr>
        <w:t>, que permitan sustituir o complementar las fuentes convencionales existentes</w:t>
      </w:r>
    </w:p>
    <w:p w14:paraId="348C324F" w14:textId="77777777" w:rsidR="004B40A4" w:rsidRPr="00C63186" w:rsidRDefault="004B40A4" w:rsidP="008E39FD">
      <w:pPr>
        <w:pStyle w:val="Prrafodelista"/>
        <w:ind w:left="426"/>
        <w:rPr>
          <w:rFonts w:ascii="Arial" w:hAnsi="Arial" w:cs="Arial"/>
          <w:sz w:val="24"/>
          <w:szCs w:val="24"/>
        </w:rPr>
      </w:pPr>
    </w:p>
    <w:p w14:paraId="0172D2D3"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Aportar recursos con destino a la asunción de costos asociados al uso, transporte, disponibilidad o disposición de los activos de generación de energía eléctrica que sean propiedad del Estado, y que se ubiquen en localidades de las ZNI que se hayan interconectado o que se pretendan interconectar al SIN.</w:t>
      </w:r>
    </w:p>
    <w:p w14:paraId="2D0E9F20" w14:textId="77777777" w:rsidR="004B40A4" w:rsidRPr="00C63186" w:rsidRDefault="004B40A4" w:rsidP="008E39FD">
      <w:pPr>
        <w:tabs>
          <w:tab w:val="left" w:pos="4474"/>
        </w:tabs>
        <w:spacing w:after="0"/>
        <w:ind w:left="426"/>
        <w:jc w:val="both"/>
        <w:rPr>
          <w:rFonts w:ascii="Arial" w:hAnsi="Arial" w:cs="Arial"/>
          <w:sz w:val="24"/>
          <w:szCs w:val="24"/>
        </w:rPr>
      </w:pPr>
    </w:p>
    <w:p w14:paraId="24FB6A7D" w14:textId="7FC6B25A"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Atender emergencias en las ZNI de manera directa o mediante el aporte de recursos</w:t>
      </w:r>
      <w:r>
        <w:rPr>
          <w:rFonts w:ascii="Arial" w:hAnsi="Arial" w:cs="Arial"/>
          <w:sz w:val="24"/>
          <w:szCs w:val="24"/>
        </w:rPr>
        <w:t>, sin perjuicio de la atención de situaciones que coloquen en riesgo o limiten la prestación del servicio en el SIN</w:t>
      </w:r>
      <w:r w:rsidR="00C21C7D">
        <w:rPr>
          <w:rFonts w:ascii="Arial" w:hAnsi="Arial" w:cs="Arial"/>
          <w:sz w:val="24"/>
          <w:szCs w:val="24"/>
        </w:rPr>
        <w:t>.</w:t>
      </w:r>
    </w:p>
    <w:p w14:paraId="5C3116E9" w14:textId="77777777" w:rsidR="004B40A4" w:rsidRPr="00C63186" w:rsidRDefault="004B40A4" w:rsidP="008E39FD">
      <w:pPr>
        <w:pStyle w:val="Prrafodelista"/>
        <w:ind w:left="426"/>
        <w:rPr>
          <w:rFonts w:ascii="Arial" w:hAnsi="Arial" w:cs="Arial"/>
          <w:sz w:val="24"/>
          <w:szCs w:val="24"/>
        </w:rPr>
      </w:pPr>
    </w:p>
    <w:p w14:paraId="6248D481" w14:textId="77777777" w:rsidR="004B40A4" w:rsidRPr="002E2CD7" w:rsidRDefault="004B40A4" w:rsidP="00B320D0">
      <w:pPr>
        <w:pStyle w:val="Prrafodelista"/>
        <w:numPr>
          <w:ilvl w:val="0"/>
          <w:numId w:val="8"/>
        </w:numPr>
        <w:tabs>
          <w:tab w:val="left" w:pos="4474"/>
        </w:tabs>
        <w:spacing w:after="0"/>
        <w:ind w:left="426"/>
        <w:jc w:val="both"/>
        <w:rPr>
          <w:rFonts w:ascii="Arial" w:hAnsi="Arial" w:cs="Arial"/>
          <w:sz w:val="24"/>
          <w:szCs w:val="24"/>
        </w:rPr>
      </w:pPr>
      <w:r w:rsidRPr="1A65CE1C">
        <w:rPr>
          <w:rFonts w:ascii="Arial" w:hAnsi="Arial" w:cs="Arial"/>
          <w:sz w:val="24"/>
          <w:szCs w:val="24"/>
        </w:rPr>
        <w:t>Invertir o aportar recursos para la construcción y mantenimiento de acometidas y redes internas.</w:t>
      </w:r>
    </w:p>
    <w:p w14:paraId="1F0D3195" w14:textId="77777777" w:rsidR="004B40A4" w:rsidRPr="002E2CD7" w:rsidRDefault="004B40A4" w:rsidP="008E39FD">
      <w:pPr>
        <w:pStyle w:val="Prrafodelista"/>
        <w:rPr>
          <w:rFonts w:ascii="Arial" w:hAnsi="Arial" w:cs="Arial"/>
          <w:sz w:val="24"/>
          <w:szCs w:val="24"/>
        </w:rPr>
      </w:pPr>
    </w:p>
    <w:p w14:paraId="5833D700" w14:textId="77777777" w:rsidR="004B40A4" w:rsidRPr="002E2CD7"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2E2CD7">
        <w:rPr>
          <w:rFonts w:ascii="Arial" w:hAnsi="Arial" w:cs="Arial"/>
          <w:sz w:val="24"/>
          <w:szCs w:val="24"/>
        </w:rPr>
        <w:t xml:space="preserve"> Ampliar la cobertura en la prestación del servicio público de gas combustible por redes, especialmente a la población más vulnerable del país.</w:t>
      </w:r>
    </w:p>
    <w:p w14:paraId="57CC0BD7" w14:textId="77777777" w:rsidR="004B40A4" w:rsidRPr="00C63186" w:rsidRDefault="004B40A4" w:rsidP="008E39FD">
      <w:pPr>
        <w:pStyle w:val="Prrafodelista"/>
        <w:ind w:left="426"/>
        <w:rPr>
          <w:rFonts w:ascii="Arial" w:hAnsi="Arial" w:cs="Arial"/>
          <w:sz w:val="24"/>
          <w:szCs w:val="24"/>
        </w:rPr>
      </w:pPr>
    </w:p>
    <w:p w14:paraId="49EF2613"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t xml:space="preserve">Propiciar el uso de combustibles más limpios y seguros en las cocinas de los hogares del país, sustituyendo progresivamente </w:t>
      </w:r>
      <w:r>
        <w:rPr>
          <w:rFonts w:ascii="Arial" w:hAnsi="Arial" w:cs="Arial"/>
          <w:sz w:val="24"/>
          <w:szCs w:val="24"/>
        </w:rPr>
        <w:t>la utilización</w:t>
      </w:r>
      <w:r w:rsidRPr="00C63186">
        <w:rPr>
          <w:rFonts w:ascii="Arial" w:hAnsi="Arial" w:cs="Arial"/>
          <w:sz w:val="24"/>
          <w:szCs w:val="24"/>
        </w:rPr>
        <w:t xml:space="preserve"> de leña a través del uso del GLP u otros energéticos no contaminantes.</w:t>
      </w:r>
    </w:p>
    <w:p w14:paraId="7694811D" w14:textId="77777777" w:rsidR="004B40A4" w:rsidRPr="00C63186" w:rsidRDefault="004B40A4" w:rsidP="008E39FD">
      <w:pPr>
        <w:pStyle w:val="Prrafodelista"/>
        <w:ind w:left="426"/>
        <w:rPr>
          <w:rFonts w:ascii="Arial" w:hAnsi="Arial" w:cs="Arial"/>
          <w:sz w:val="24"/>
          <w:szCs w:val="24"/>
        </w:rPr>
      </w:pPr>
    </w:p>
    <w:p w14:paraId="3A2A2A0D" w14:textId="77777777" w:rsidR="004B40A4" w:rsidRPr="00C63186" w:rsidRDefault="004B40A4" w:rsidP="00B320D0">
      <w:pPr>
        <w:pStyle w:val="Prrafodelista"/>
        <w:numPr>
          <w:ilvl w:val="0"/>
          <w:numId w:val="8"/>
        </w:numPr>
        <w:tabs>
          <w:tab w:val="left" w:pos="4474"/>
        </w:tabs>
        <w:spacing w:after="0"/>
        <w:ind w:left="426"/>
        <w:jc w:val="both"/>
        <w:rPr>
          <w:rFonts w:ascii="Arial" w:hAnsi="Arial" w:cs="Arial"/>
          <w:sz w:val="24"/>
          <w:szCs w:val="24"/>
        </w:rPr>
      </w:pPr>
      <w:r w:rsidRPr="00C63186">
        <w:rPr>
          <w:rFonts w:ascii="Arial" w:hAnsi="Arial" w:cs="Arial"/>
          <w:sz w:val="24"/>
          <w:szCs w:val="24"/>
        </w:rPr>
        <w:lastRenderedPageBreak/>
        <w:t>Financiar y/o cofinanciar gasoductos ramales y/o Sistemas Regionales de Transporte de gas natural, sistemas de distribución de gas combustible por redes, conexiones y/o redes internas de usuarios de menores ingresos, almacenamiento estratégico y sistemas de distribución de Gas Natural Licuado - GNL a pequeña escala.</w:t>
      </w:r>
    </w:p>
    <w:p w14:paraId="7E9BF994" w14:textId="77777777" w:rsidR="004B40A4" w:rsidRPr="00C63186" w:rsidRDefault="004B40A4" w:rsidP="008E39FD">
      <w:pPr>
        <w:pStyle w:val="Prrafodelista"/>
        <w:ind w:left="426"/>
        <w:rPr>
          <w:rFonts w:ascii="Arial" w:hAnsi="Arial" w:cs="Arial"/>
          <w:sz w:val="24"/>
          <w:szCs w:val="24"/>
        </w:rPr>
      </w:pPr>
    </w:p>
    <w:p w14:paraId="40C2A032" w14:textId="77777777" w:rsidR="004B40A4" w:rsidRDefault="004B40A4" w:rsidP="00B320D0">
      <w:pPr>
        <w:pStyle w:val="Prrafodelista"/>
        <w:numPr>
          <w:ilvl w:val="0"/>
          <w:numId w:val="8"/>
        </w:numPr>
        <w:tabs>
          <w:tab w:val="left" w:pos="4474"/>
        </w:tabs>
        <w:spacing w:after="0"/>
        <w:ind w:left="426"/>
        <w:jc w:val="both"/>
        <w:rPr>
          <w:rFonts w:ascii="Arial" w:hAnsi="Arial" w:cs="Arial"/>
          <w:sz w:val="24"/>
          <w:szCs w:val="24"/>
        </w:rPr>
      </w:pPr>
      <w:r w:rsidRPr="1A65CE1C">
        <w:rPr>
          <w:rFonts w:ascii="Arial" w:hAnsi="Arial" w:cs="Arial"/>
          <w:sz w:val="24"/>
          <w:szCs w:val="24"/>
        </w:rPr>
        <w:t>Los demás que tengan relación directa con el cumplimiento del objetivo general del Fondo, en concordancia con los lineamientos y directrices que adopte el Consejo Directivo.</w:t>
      </w:r>
    </w:p>
    <w:p w14:paraId="0FA94814" w14:textId="77777777" w:rsidR="004B40A4" w:rsidRPr="004B40A4" w:rsidRDefault="004B40A4" w:rsidP="008E39FD">
      <w:pPr>
        <w:tabs>
          <w:tab w:val="left" w:pos="4474"/>
        </w:tabs>
        <w:spacing w:after="0"/>
        <w:jc w:val="both"/>
        <w:rPr>
          <w:rFonts w:ascii="Arial" w:hAnsi="Arial" w:cs="Arial"/>
          <w:sz w:val="24"/>
          <w:szCs w:val="24"/>
        </w:rPr>
      </w:pPr>
    </w:p>
    <w:p w14:paraId="176A0E09" w14:textId="77276A74" w:rsidR="00855D43" w:rsidRPr="00B03685" w:rsidRDefault="004B40A4" w:rsidP="003E028A">
      <w:pPr>
        <w:pStyle w:val="Ttulo3"/>
        <w:ind w:left="720" w:hanging="720"/>
        <w:jc w:val="center"/>
      </w:pPr>
      <w:bookmarkStart w:id="22" w:name="_Toc224844286"/>
      <w:bookmarkStart w:id="23" w:name="_Toc219397238"/>
      <w:r w:rsidRPr="00B03685">
        <w:t>CAPÍTULO III</w:t>
      </w:r>
      <w:bookmarkEnd w:id="22"/>
    </w:p>
    <w:p w14:paraId="7E3966B8" w14:textId="69E8B8F2" w:rsidR="004B40A4" w:rsidRDefault="004B40A4" w:rsidP="003E028A">
      <w:pPr>
        <w:pStyle w:val="Ttulo4"/>
        <w:ind w:left="864" w:hanging="864"/>
        <w:jc w:val="center"/>
      </w:pPr>
      <w:bookmarkStart w:id="24" w:name="_Toc224844287"/>
      <w:r w:rsidRPr="00B03685">
        <w:t>ESTRUCTURA ORGANIZACIONAL</w:t>
      </w:r>
      <w:bookmarkEnd w:id="23"/>
      <w:bookmarkEnd w:id="24"/>
    </w:p>
    <w:p w14:paraId="30B7E6B2" w14:textId="77777777" w:rsidR="003E5741" w:rsidRPr="003E5741" w:rsidRDefault="003E5741" w:rsidP="003E5741"/>
    <w:p w14:paraId="7B26A2EA" w14:textId="7B853E62"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sz w:val="24"/>
          <w:szCs w:val="24"/>
        </w:rPr>
        <w:t xml:space="preserve">De conformidad con lo dispuesto en </w:t>
      </w:r>
      <w:r w:rsidR="00041818">
        <w:rPr>
          <w:rFonts w:ascii="Arial" w:hAnsi="Arial" w:cs="Arial"/>
          <w:sz w:val="24"/>
          <w:szCs w:val="24"/>
        </w:rPr>
        <w:t>los</w:t>
      </w:r>
      <w:r w:rsidRPr="00C63186">
        <w:rPr>
          <w:rFonts w:ascii="Arial" w:hAnsi="Arial" w:cs="Arial"/>
          <w:sz w:val="24"/>
          <w:szCs w:val="24"/>
        </w:rPr>
        <w:t xml:space="preserve"> artículo</w:t>
      </w:r>
      <w:r w:rsidR="00041818">
        <w:rPr>
          <w:rFonts w:ascii="Arial" w:hAnsi="Arial" w:cs="Arial"/>
          <w:sz w:val="24"/>
          <w:szCs w:val="24"/>
        </w:rPr>
        <w:t>s 2.2.8.1.7. y</w:t>
      </w:r>
      <w:r w:rsidRPr="00C63186">
        <w:rPr>
          <w:rFonts w:ascii="Arial" w:hAnsi="Arial" w:cs="Arial"/>
          <w:sz w:val="24"/>
          <w:szCs w:val="24"/>
        </w:rPr>
        <w:t xml:space="preserve"> 2.2.8.3.3.1.1. del Decreto 1073 de 2015, en la forma en que fue modificado por el Decreto </w:t>
      </w:r>
      <w:r w:rsidRPr="00085A54">
        <w:rPr>
          <w:rFonts w:ascii="Arial" w:hAnsi="Arial" w:cs="Arial"/>
          <w:sz w:val="24"/>
          <w:szCs w:val="24"/>
          <w:highlight w:val="yellow"/>
        </w:rPr>
        <w:t>XXX de 2026,</w:t>
      </w:r>
      <w:r w:rsidRPr="00C63186">
        <w:rPr>
          <w:rFonts w:ascii="Arial" w:hAnsi="Arial" w:cs="Arial"/>
          <w:sz w:val="24"/>
          <w:szCs w:val="24"/>
        </w:rPr>
        <w:t xml:space="preserve"> FONENERGÍA cuenta con: </w:t>
      </w:r>
    </w:p>
    <w:p w14:paraId="1444F7CD" w14:textId="77777777" w:rsidR="004B40A4" w:rsidRPr="00C63186" w:rsidRDefault="004B40A4" w:rsidP="008E39FD">
      <w:pPr>
        <w:tabs>
          <w:tab w:val="left" w:pos="4474"/>
        </w:tabs>
        <w:spacing w:after="0"/>
        <w:jc w:val="both"/>
        <w:rPr>
          <w:rFonts w:ascii="Arial" w:hAnsi="Arial" w:cs="Arial"/>
          <w:b/>
          <w:bCs/>
          <w:sz w:val="24"/>
          <w:szCs w:val="24"/>
        </w:rPr>
      </w:pPr>
    </w:p>
    <w:p w14:paraId="0B1A75C7" w14:textId="3B9C1FD9" w:rsidR="004B40A4" w:rsidRPr="00C63186" w:rsidRDefault="00C303F8" w:rsidP="003E028A">
      <w:pPr>
        <w:pStyle w:val="Ttulo5"/>
        <w:ind w:left="1008" w:hanging="1008"/>
      </w:pPr>
      <w:bookmarkStart w:id="25" w:name="_Toc219397239"/>
      <w:bookmarkStart w:id="26" w:name="_Toc224844288"/>
      <w:r>
        <w:rPr>
          <w:bCs/>
        </w:rPr>
        <w:t>I-</w:t>
      </w:r>
      <w:r w:rsidR="006658C1" w:rsidRPr="00B03685">
        <w:t xml:space="preserve">3.1 </w:t>
      </w:r>
      <w:r w:rsidR="004B40A4" w:rsidRPr="00B03685">
        <w:t>Gobierno Corporativo del FONENERGÍA.</w:t>
      </w:r>
      <w:bookmarkEnd w:id="25"/>
      <w:bookmarkEnd w:id="26"/>
      <w:r w:rsidR="004B40A4" w:rsidRPr="00B03685">
        <w:t xml:space="preserve"> </w:t>
      </w:r>
    </w:p>
    <w:p w14:paraId="1082D3FA" w14:textId="77777777" w:rsidR="00F23247" w:rsidRDefault="00F23247" w:rsidP="008E39FD">
      <w:pPr>
        <w:tabs>
          <w:tab w:val="left" w:pos="4474"/>
        </w:tabs>
        <w:spacing w:after="0"/>
        <w:jc w:val="both"/>
        <w:rPr>
          <w:rFonts w:ascii="Arial" w:hAnsi="Arial" w:cs="Arial"/>
          <w:sz w:val="24"/>
          <w:szCs w:val="24"/>
        </w:rPr>
      </w:pPr>
    </w:p>
    <w:p w14:paraId="11250F9D" w14:textId="47AE9B26"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sz w:val="24"/>
          <w:szCs w:val="24"/>
        </w:rPr>
        <w:t xml:space="preserve">El Fondo estará compuesto por los siguientes órganos de decisión y administración: </w:t>
      </w:r>
    </w:p>
    <w:p w14:paraId="55D4B5FA" w14:textId="77777777" w:rsidR="004B40A4" w:rsidRPr="00C63186" w:rsidRDefault="004B40A4" w:rsidP="008E39FD">
      <w:pPr>
        <w:tabs>
          <w:tab w:val="left" w:pos="4474"/>
        </w:tabs>
        <w:spacing w:after="0"/>
        <w:jc w:val="both"/>
        <w:rPr>
          <w:rFonts w:ascii="Arial" w:hAnsi="Arial" w:cs="Arial"/>
          <w:sz w:val="24"/>
          <w:szCs w:val="24"/>
        </w:rPr>
      </w:pPr>
    </w:p>
    <w:p w14:paraId="5C561DA5" w14:textId="66CE0382" w:rsidR="004B40A4" w:rsidRDefault="00C303F8" w:rsidP="003E028A">
      <w:pPr>
        <w:pStyle w:val="Ttulo6"/>
        <w:ind w:left="1152" w:hanging="1152"/>
      </w:pPr>
      <w:bookmarkStart w:id="27" w:name="_Toc219397240"/>
      <w:r>
        <w:rPr>
          <w:bCs/>
        </w:rPr>
        <w:t>I-</w:t>
      </w:r>
      <w:r w:rsidR="002273DE" w:rsidRPr="00B03685">
        <w:t xml:space="preserve">3.1.1 </w:t>
      </w:r>
      <w:r w:rsidR="004B40A4" w:rsidRPr="00B03685">
        <w:t>Comité de Administración.</w:t>
      </w:r>
      <w:bookmarkEnd w:id="27"/>
      <w:r w:rsidR="004B40A4" w:rsidRPr="00B03685">
        <w:t xml:space="preserve"> </w:t>
      </w:r>
    </w:p>
    <w:p w14:paraId="2C5014E4" w14:textId="77777777" w:rsidR="00041818" w:rsidRPr="00041818" w:rsidRDefault="00041818" w:rsidP="00041818">
      <w:pPr>
        <w:spacing w:after="0"/>
      </w:pPr>
    </w:p>
    <w:p w14:paraId="468B5E12" w14:textId="77777777" w:rsidR="004B40A4" w:rsidRPr="009F7447" w:rsidRDefault="004B40A4" w:rsidP="00B320D0">
      <w:pPr>
        <w:pStyle w:val="Prrafodelista"/>
        <w:numPr>
          <w:ilvl w:val="0"/>
          <w:numId w:val="29"/>
        </w:numPr>
        <w:spacing w:after="0"/>
        <w:jc w:val="both"/>
        <w:rPr>
          <w:rFonts w:ascii="Arial" w:hAnsi="Arial" w:cs="Arial"/>
          <w:b/>
          <w:bCs/>
          <w:sz w:val="24"/>
          <w:szCs w:val="24"/>
        </w:rPr>
      </w:pPr>
      <w:r w:rsidRPr="009F7447">
        <w:rPr>
          <w:rFonts w:ascii="Arial" w:hAnsi="Arial" w:cs="Arial"/>
          <w:b/>
          <w:bCs/>
          <w:sz w:val="24"/>
          <w:szCs w:val="24"/>
        </w:rPr>
        <w:t>Conformación.</w:t>
      </w:r>
    </w:p>
    <w:p w14:paraId="6BA4BC6B"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sz w:val="24"/>
          <w:szCs w:val="24"/>
        </w:rPr>
        <w:t xml:space="preserve"> </w:t>
      </w:r>
    </w:p>
    <w:p w14:paraId="29DD3395" w14:textId="57DD2784" w:rsidR="004B40A4" w:rsidRDefault="004B40A4" w:rsidP="008E39FD">
      <w:pPr>
        <w:tabs>
          <w:tab w:val="left" w:pos="4474"/>
        </w:tabs>
        <w:spacing w:after="0"/>
        <w:jc w:val="both"/>
        <w:rPr>
          <w:rFonts w:ascii="Arial" w:hAnsi="Arial" w:cs="Arial"/>
          <w:sz w:val="24"/>
          <w:szCs w:val="24"/>
        </w:rPr>
      </w:pPr>
      <w:r w:rsidRPr="7A51DBEF">
        <w:rPr>
          <w:rFonts w:ascii="Arial" w:hAnsi="Arial" w:cs="Arial"/>
          <w:sz w:val="24"/>
          <w:szCs w:val="24"/>
        </w:rPr>
        <w:t xml:space="preserve">El Comité de Administración estará integrado en la forma establecida en el artículo 2.2.8.3.3.1.1. del Decreto </w:t>
      </w:r>
      <w:r w:rsidR="00F414A8" w:rsidRPr="002A2FBF">
        <w:rPr>
          <w:rFonts w:ascii="Arial" w:hAnsi="Arial" w:cs="Arial"/>
          <w:sz w:val="24"/>
          <w:szCs w:val="24"/>
          <w:highlight w:val="yellow"/>
        </w:rPr>
        <w:t>XXXX</w:t>
      </w:r>
      <w:r w:rsidRPr="7A51DBEF">
        <w:rPr>
          <w:rFonts w:ascii="Arial" w:hAnsi="Arial" w:cs="Arial"/>
          <w:sz w:val="24"/>
          <w:szCs w:val="24"/>
        </w:rPr>
        <w:t xml:space="preserve"> de 20</w:t>
      </w:r>
      <w:r w:rsidR="00F414A8">
        <w:rPr>
          <w:rFonts w:ascii="Arial" w:hAnsi="Arial" w:cs="Arial"/>
          <w:sz w:val="24"/>
          <w:szCs w:val="24"/>
        </w:rPr>
        <w:t>26 en el cual se indica:</w:t>
      </w:r>
    </w:p>
    <w:p w14:paraId="2C0C3A62" w14:textId="77777777" w:rsidR="00F414A8" w:rsidRDefault="00F414A8" w:rsidP="008E39FD">
      <w:pPr>
        <w:tabs>
          <w:tab w:val="left" w:pos="4474"/>
        </w:tabs>
        <w:spacing w:after="0"/>
        <w:jc w:val="both"/>
        <w:rPr>
          <w:rFonts w:ascii="Arial" w:hAnsi="Arial" w:cs="Arial"/>
          <w:sz w:val="24"/>
          <w:szCs w:val="24"/>
        </w:rPr>
      </w:pPr>
    </w:p>
    <w:p w14:paraId="21D5C01B" w14:textId="73EC544C" w:rsidR="00F414A8" w:rsidRPr="00F414A8" w:rsidRDefault="00F414A8" w:rsidP="008E39FD">
      <w:pPr>
        <w:tabs>
          <w:tab w:val="left" w:pos="4474"/>
        </w:tabs>
        <w:spacing w:after="0"/>
        <w:ind w:left="426"/>
        <w:jc w:val="both"/>
        <w:rPr>
          <w:rFonts w:ascii="Arial" w:hAnsi="Arial" w:cs="Arial"/>
          <w:i/>
          <w:iCs/>
        </w:rPr>
      </w:pPr>
      <w:r w:rsidRPr="00F414A8">
        <w:rPr>
          <w:rFonts w:ascii="Arial" w:hAnsi="Arial" w:cs="Arial"/>
          <w:i/>
          <w:iCs/>
        </w:rPr>
        <w:t>El FONENERGIA contará con un Comité de Administración encargado de dirigir la administración y asignación de los recursos, integrado por cinco (5) miembros, funcionarios del Ministerio de Minas y Energía, quienes contarán con voz y voto, el cual podrá sesionar, deliberar y decidir con un quorum mínimo de tres (3) de ellos, conformado asi:</w:t>
      </w:r>
    </w:p>
    <w:p w14:paraId="7973B8F8" w14:textId="77777777" w:rsidR="00F414A8" w:rsidRPr="00F414A8" w:rsidRDefault="00F414A8" w:rsidP="008E39FD">
      <w:pPr>
        <w:tabs>
          <w:tab w:val="left" w:pos="4474"/>
        </w:tabs>
        <w:spacing w:after="0"/>
        <w:ind w:left="426"/>
        <w:jc w:val="both"/>
        <w:rPr>
          <w:rFonts w:ascii="Arial" w:hAnsi="Arial" w:cs="Arial"/>
          <w:i/>
          <w:iCs/>
        </w:rPr>
      </w:pPr>
    </w:p>
    <w:p w14:paraId="4D8B8FF3" w14:textId="77777777" w:rsidR="00F414A8" w:rsidRPr="00F414A8" w:rsidRDefault="00F414A8" w:rsidP="00B320D0">
      <w:pPr>
        <w:pStyle w:val="Prrafodelista"/>
        <w:numPr>
          <w:ilvl w:val="0"/>
          <w:numId w:val="31"/>
        </w:numPr>
        <w:tabs>
          <w:tab w:val="left" w:pos="4474"/>
        </w:tabs>
        <w:spacing w:after="0"/>
        <w:ind w:left="1418"/>
        <w:jc w:val="both"/>
        <w:rPr>
          <w:rFonts w:ascii="Arial" w:hAnsi="Arial" w:cs="Arial"/>
          <w:i/>
          <w:iCs/>
        </w:rPr>
      </w:pPr>
      <w:r w:rsidRPr="00F414A8">
        <w:rPr>
          <w:rFonts w:ascii="Arial" w:hAnsi="Arial" w:cs="Arial"/>
          <w:i/>
          <w:iCs/>
        </w:rPr>
        <w:t>El (la) Ministro (a) de Minas y Energía o su delegado, quien lo presidirá.</w:t>
      </w:r>
    </w:p>
    <w:p w14:paraId="56AB5AC5" w14:textId="2648AFC3" w:rsidR="00F414A8" w:rsidRPr="00F414A8" w:rsidRDefault="00F414A8" w:rsidP="00B320D0">
      <w:pPr>
        <w:pStyle w:val="Prrafodelista"/>
        <w:numPr>
          <w:ilvl w:val="0"/>
          <w:numId w:val="31"/>
        </w:numPr>
        <w:tabs>
          <w:tab w:val="left" w:pos="4474"/>
        </w:tabs>
        <w:spacing w:after="0"/>
        <w:ind w:left="1418"/>
        <w:jc w:val="both"/>
        <w:rPr>
          <w:rFonts w:ascii="Arial" w:hAnsi="Arial" w:cs="Arial"/>
          <w:i/>
          <w:iCs/>
        </w:rPr>
      </w:pPr>
      <w:r w:rsidRPr="00F414A8">
        <w:rPr>
          <w:rFonts w:ascii="Arial" w:hAnsi="Arial" w:cs="Arial"/>
          <w:i/>
          <w:iCs/>
        </w:rPr>
        <w:t>El (la) Viceministro (a) de Energía o su delegado.</w:t>
      </w:r>
    </w:p>
    <w:p w14:paraId="06C62EDB" w14:textId="6D4E8D45" w:rsidR="00F414A8" w:rsidRPr="00F414A8" w:rsidRDefault="00F414A8" w:rsidP="00B320D0">
      <w:pPr>
        <w:pStyle w:val="Prrafodelista"/>
        <w:numPr>
          <w:ilvl w:val="0"/>
          <w:numId w:val="31"/>
        </w:numPr>
        <w:tabs>
          <w:tab w:val="left" w:pos="4474"/>
        </w:tabs>
        <w:spacing w:after="0"/>
        <w:ind w:left="1418"/>
        <w:jc w:val="both"/>
        <w:rPr>
          <w:rFonts w:ascii="Arial" w:hAnsi="Arial" w:cs="Arial"/>
          <w:i/>
          <w:iCs/>
        </w:rPr>
      </w:pPr>
      <w:r w:rsidRPr="00F414A8">
        <w:rPr>
          <w:rFonts w:ascii="Arial" w:hAnsi="Arial" w:cs="Arial"/>
          <w:i/>
          <w:iCs/>
        </w:rPr>
        <w:t>El (la) Director (a) de Energía Eléctrica del Ministerio de Minas y Energía o su</w:t>
      </w:r>
    </w:p>
    <w:p w14:paraId="7C0041A0" w14:textId="77777777" w:rsidR="00F414A8" w:rsidRPr="00F414A8" w:rsidRDefault="00F414A8" w:rsidP="008E39FD">
      <w:pPr>
        <w:tabs>
          <w:tab w:val="left" w:pos="4474"/>
        </w:tabs>
        <w:spacing w:after="0"/>
        <w:ind w:left="1418"/>
        <w:jc w:val="both"/>
        <w:rPr>
          <w:rFonts w:ascii="Arial" w:hAnsi="Arial" w:cs="Arial"/>
          <w:i/>
          <w:iCs/>
        </w:rPr>
      </w:pPr>
      <w:r w:rsidRPr="00F414A8">
        <w:rPr>
          <w:rFonts w:ascii="Arial" w:hAnsi="Arial" w:cs="Arial"/>
          <w:i/>
          <w:iCs/>
        </w:rPr>
        <w:t>delegado.</w:t>
      </w:r>
    </w:p>
    <w:p w14:paraId="30E28E90" w14:textId="3E3C1DBA" w:rsidR="00F414A8" w:rsidRPr="00F414A8" w:rsidRDefault="00F414A8" w:rsidP="00B320D0">
      <w:pPr>
        <w:pStyle w:val="Prrafodelista"/>
        <w:numPr>
          <w:ilvl w:val="0"/>
          <w:numId w:val="31"/>
        </w:numPr>
        <w:tabs>
          <w:tab w:val="left" w:pos="4474"/>
        </w:tabs>
        <w:spacing w:after="0"/>
        <w:ind w:left="1418"/>
        <w:jc w:val="both"/>
        <w:rPr>
          <w:rFonts w:ascii="Arial" w:hAnsi="Arial" w:cs="Arial"/>
          <w:i/>
          <w:iCs/>
        </w:rPr>
      </w:pPr>
      <w:r w:rsidRPr="00F414A8">
        <w:rPr>
          <w:rFonts w:ascii="Arial" w:hAnsi="Arial" w:cs="Arial"/>
          <w:i/>
          <w:iCs/>
        </w:rPr>
        <w:t>El (la) Director (a) de Hidrocarburos del Ministerio de Minas y Energía o su</w:t>
      </w:r>
    </w:p>
    <w:p w14:paraId="7E83F277" w14:textId="77777777" w:rsidR="00F414A8" w:rsidRPr="00F414A8" w:rsidRDefault="00F414A8" w:rsidP="008E39FD">
      <w:pPr>
        <w:tabs>
          <w:tab w:val="left" w:pos="4474"/>
        </w:tabs>
        <w:spacing w:after="0"/>
        <w:ind w:left="1418"/>
        <w:jc w:val="both"/>
        <w:rPr>
          <w:rFonts w:ascii="Arial" w:hAnsi="Arial" w:cs="Arial"/>
          <w:i/>
          <w:iCs/>
        </w:rPr>
      </w:pPr>
      <w:r w:rsidRPr="00F414A8">
        <w:rPr>
          <w:rFonts w:ascii="Arial" w:hAnsi="Arial" w:cs="Arial"/>
          <w:i/>
          <w:iCs/>
        </w:rPr>
        <w:t>delegado.</w:t>
      </w:r>
    </w:p>
    <w:p w14:paraId="26F9BC5D" w14:textId="0FCC6297" w:rsidR="00F414A8" w:rsidRPr="00F414A8" w:rsidRDefault="00F414A8" w:rsidP="00B320D0">
      <w:pPr>
        <w:pStyle w:val="Prrafodelista"/>
        <w:numPr>
          <w:ilvl w:val="0"/>
          <w:numId w:val="31"/>
        </w:numPr>
        <w:tabs>
          <w:tab w:val="left" w:pos="4474"/>
        </w:tabs>
        <w:spacing w:after="0"/>
        <w:ind w:left="1418"/>
        <w:jc w:val="both"/>
        <w:rPr>
          <w:rFonts w:ascii="Arial" w:hAnsi="Arial" w:cs="Arial"/>
          <w:i/>
          <w:iCs/>
        </w:rPr>
      </w:pPr>
      <w:r w:rsidRPr="00F414A8">
        <w:rPr>
          <w:rFonts w:ascii="Arial" w:hAnsi="Arial" w:cs="Arial"/>
          <w:i/>
          <w:iCs/>
        </w:rPr>
        <w:t>El (la) Secretario (a) General del Ministerio de Minas y Energía o su delegado.</w:t>
      </w:r>
    </w:p>
    <w:p w14:paraId="015A2E4A" w14:textId="77777777" w:rsidR="00F414A8" w:rsidRPr="00F414A8" w:rsidRDefault="00F414A8" w:rsidP="008E39FD">
      <w:pPr>
        <w:tabs>
          <w:tab w:val="left" w:pos="4474"/>
        </w:tabs>
        <w:spacing w:after="0"/>
        <w:ind w:left="426"/>
        <w:jc w:val="both"/>
        <w:rPr>
          <w:rFonts w:ascii="Arial" w:hAnsi="Arial" w:cs="Arial"/>
          <w:i/>
          <w:iCs/>
        </w:rPr>
      </w:pPr>
    </w:p>
    <w:p w14:paraId="72756398" w14:textId="572F5BE1" w:rsidR="00F414A8" w:rsidRPr="00F414A8" w:rsidRDefault="00F414A8" w:rsidP="008E39FD">
      <w:pPr>
        <w:tabs>
          <w:tab w:val="left" w:pos="4474"/>
        </w:tabs>
        <w:spacing w:after="0"/>
        <w:ind w:left="426"/>
        <w:jc w:val="both"/>
        <w:rPr>
          <w:rFonts w:ascii="Arial" w:hAnsi="Arial" w:cs="Arial"/>
          <w:i/>
          <w:iCs/>
        </w:rPr>
      </w:pPr>
      <w:r w:rsidRPr="00F414A8">
        <w:rPr>
          <w:rFonts w:ascii="Arial" w:hAnsi="Arial" w:cs="Arial"/>
          <w:i/>
          <w:iCs/>
        </w:rPr>
        <w:t xml:space="preserve">Parágrafo 1.- El (la) Ministro (a) de Minas y Energía solo podrá delegar su participación en el (la) Viceministro (a) de Energía, en cuyo caso éste último presidirá el Comité, pero no podrá, </w:t>
      </w:r>
      <w:r w:rsidR="00041818" w:rsidRPr="00F414A8">
        <w:rPr>
          <w:rFonts w:ascii="Arial" w:hAnsi="Arial" w:cs="Arial"/>
          <w:i/>
          <w:iCs/>
        </w:rPr>
        <w:t>así</w:t>
      </w:r>
      <w:r w:rsidRPr="00F414A8">
        <w:rPr>
          <w:rFonts w:ascii="Arial" w:hAnsi="Arial" w:cs="Arial"/>
          <w:i/>
          <w:iCs/>
        </w:rPr>
        <w:t xml:space="preserve"> como ninguno de los integrantes, representar simultáneamente a dos de sus integrantes.</w:t>
      </w:r>
    </w:p>
    <w:p w14:paraId="4D75674D" w14:textId="77777777" w:rsidR="00F414A8" w:rsidRPr="00F414A8" w:rsidRDefault="00F414A8" w:rsidP="008E39FD">
      <w:pPr>
        <w:tabs>
          <w:tab w:val="left" w:pos="4474"/>
        </w:tabs>
        <w:spacing w:after="0"/>
        <w:ind w:left="426"/>
        <w:jc w:val="both"/>
        <w:rPr>
          <w:rFonts w:ascii="Arial" w:hAnsi="Arial" w:cs="Arial"/>
          <w:i/>
          <w:iCs/>
        </w:rPr>
      </w:pPr>
    </w:p>
    <w:p w14:paraId="28E5A9A4" w14:textId="6A7CA184" w:rsidR="00F414A8" w:rsidRPr="00F414A8" w:rsidRDefault="00F414A8" w:rsidP="008E39FD">
      <w:pPr>
        <w:tabs>
          <w:tab w:val="left" w:pos="4474"/>
        </w:tabs>
        <w:spacing w:after="0"/>
        <w:ind w:left="426"/>
        <w:jc w:val="both"/>
        <w:rPr>
          <w:rFonts w:ascii="Arial" w:hAnsi="Arial" w:cs="Arial"/>
          <w:i/>
          <w:iCs/>
        </w:rPr>
      </w:pPr>
      <w:r w:rsidRPr="00F414A8">
        <w:rPr>
          <w:rFonts w:ascii="Arial" w:hAnsi="Arial" w:cs="Arial"/>
          <w:i/>
          <w:iCs/>
        </w:rPr>
        <w:t>Parágrafo 2.- El Gerente Técnico o quien haga sus veces, asistirá a las sesiones del Comité de Administración con voz pero sin voto.</w:t>
      </w:r>
    </w:p>
    <w:p w14:paraId="0D32B172" w14:textId="77777777" w:rsidR="00F414A8" w:rsidRPr="00F414A8" w:rsidRDefault="00F414A8" w:rsidP="008E39FD">
      <w:pPr>
        <w:tabs>
          <w:tab w:val="left" w:pos="4474"/>
        </w:tabs>
        <w:spacing w:after="0"/>
        <w:ind w:left="426"/>
        <w:jc w:val="both"/>
        <w:rPr>
          <w:rFonts w:ascii="Arial" w:hAnsi="Arial" w:cs="Arial"/>
          <w:i/>
          <w:iCs/>
        </w:rPr>
      </w:pPr>
    </w:p>
    <w:p w14:paraId="6851043A" w14:textId="4C6ACD5D" w:rsidR="00F414A8" w:rsidRPr="00F414A8" w:rsidRDefault="00F414A8" w:rsidP="008E39FD">
      <w:pPr>
        <w:tabs>
          <w:tab w:val="left" w:pos="4474"/>
        </w:tabs>
        <w:spacing w:after="0"/>
        <w:ind w:left="426"/>
        <w:jc w:val="both"/>
        <w:rPr>
          <w:rFonts w:ascii="Arial" w:hAnsi="Arial" w:cs="Arial"/>
          <w:i/>
          <w:iCs/>
        </w:rPr>
      </w:pPr>
      <w:r w:rsidRPr="00F414A8">
        <w:rPr>
          <w:rFonts w:ascii="Arial" w:hAnsi="Arial" w:cs="Arial"/>
          <w:i/>
          <w:iCs/>
        </w:rPr>
        <w:t>Parágrafo 3.- La Secretaria Técnica será realizada por un miembro del Equipo Técnico asignado por el Gerente Técnico.</w:t>
      </w:r>
    </w:p>
    <w:p w14:paraId="5B845A7C" w14:textId="77777777" w:rsidR="00F414A8" w:rsidRDefault="00F414A8" w:rsidP="008E39FD">
      <w:pPr>
        <w:tabs>
          <w:tab w:val="left" w:pos="4474"/>
        </w:tabs>
        <w:spacing w:after="0"/>
        <w:jc w:val="both"/>
        <w:rPr>
          <w:rFonts w:ascii="Arial" w:hAnsi="Arial" w:cs="Arial"/>
          <w:sz w:val="24"/>
          <w:szCs w:val="24"/>
        </w:rPr>
      </w:pPr>
    </w:p>
    <w:p w14:paraId="67A57AAA" w14:textId="77777777"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sz w:val="24"/>
          <w:szCs w:val="24"/>
        </w:rPr>
        <w:t>En caso de modificación del Decreto 1073 de 2015, en lo relacionado con el Comité de Administración del FONENERGÍA, los cambios respectivos se entenderán incluidos en este Manual, sin perjuicio de que estos se adopten formalmente a través de la modificación a este documento.</w:t>
      </w:r>
    </w:p>
    <w:p w14:paraId="525FB255" w14:textId="77777777" w:rsidR="004B40A4" w:rsidRPr="00C63186" w:rsidRDefault="004B40A4" w:rsidP="008E39FD">
      <w:pPr>
        <w:tabs>
          <w:tab w:val="left" w:pos="4474"/>
        </w:tabs>
        <w:spacing w:after="0"/>
        <w:jc w:val="both"/>
        <w:rPr>
          <w:rFonts w:ascii="Arial" w:hAnsi="Arial" w:cs="Arial"/>
          <w:sz w:val="24"/>
          <w:szCs w:val="24"/>
        </w:rPr>
      </w:pPr>
    </w:p>
    <w:p w14:paraId="3C495A45" w14:textId="781341A5" w:rsidR="004B40A4" w:rsidRPr="00C63186" w:rsidRDefault="004B40A4" w:rsidP="008E39FD">
      <w:pPr>
        <w:tabs>
          <w:tab w:val="left" w:pos="4474"/>
        </w:tabs>
        <w:spacing w:after="0"/>
        <w:jc w:val="both"/>
        <w:rPr>
          <w:rFonts w:ascii="Arial" w:hAnsi="Arial" w:cs="Arial"/>
          <w:sz w:val="24"/>
          <w:szCs w:val="24"/>
        </w:rPr>
      </w:pPr>
      <w:r w:rsidRPr="54B2E939">
        <w:rPr>
          <w:rFonts w:ascii="Arial" w:hAnsi="Arial" w:cs="Arial"/>
          <w:sz w:val="24"/>
          <w:szCs w:val="24"/>
        </w:rPr>
        <w:t xml:space="preserve">El Comité de Administración contará con </w:t>
      </w:r>
      <w:r w:rsidRPr="00041818">
        <w:rPr>
          <w:rFonts w:ascii="Arial" w:hAnsi="Arial" w:cs="Arial"/>
          <w:sz w:val="24"/>
          <w:szCs w:val="24"/>
        </w:rPr>
        <w:t xml:space="preserve">una Secretaría Técnica escogida por el Gerente Técnico </w:t>
      </w:r>
      <w:r w:rsidR="0013227B" w:rsidRPr="00041818">
        <w:rPr>
          <w:rFonts w:ascii="Arial" w:hAnsi="Arial" w:cs="Arial"/>
          <w:sz w:val="24"/>
          <w:szCs w:val="24"/>
        </w:rPr>
        <w:t xml:space="preserve">o quien </w:t>
      </w:r>
      <w:r w:rsidR="00E96CEB" w:rsidRPr="00041818">
        <w:rPr>
          <w:rFonts w:ascii="Arial" w:hAnsi="Arial" w:cs="Arial"/>
          <w:sz w:val="24"/>
          <w:szCs w:val="24"/>
        </w:rPr>
        <w:t>haga sus veces</w:t>
      </w:r>
      <w:r w:rsidRPr="00041818">
        <w:rPr>
          <w:rFonts w:ascii="Arial" w:hAnsi="Arial" w:cs="Arial"/>
          <w:sz w:val="24"/>
          <w:szCs w:val="24"/>
        </w:rPr>
        <w:t>, dentro</w:t>
      </w:r>
      <w:r w:rsidRPr="54B2E939">
        <w:rPr>
          <w:rFonts w:ascii="Arial" w:hAnsi="Arial" w:cs="Arial"/>
          <w:sz w:val="24"/>
          <w:szCs w:val="24"/>
        </w:rPr>
        <w:t xml:space="preserve"> del Equipo Técnico de que trata el artículo 2.2.8.3.3.2.1. del Decreto 1073 de 2015, la cual deberá asistir a las reuniones del Comité con voz, pero sin voto.</w:t>
      </w:r>
    </w:p>
    <w:p w14:paraId="6518D86A" w14:textId="77777777" w:rsidR="004B40A4" w:rsidRPr="00C63186" w:rsidRDefault="004B40A4" w:rsidP="008E39FD">
      <w:pPr>
        <w:tabs>
          <w:tab w:val="left" w:pos="4474"/>
        </w:tabs>
        <w:spacing w:after="0"/>
        <w:jc w:val="both"/>
        <w:rPr>
          <w:rFonts w:ascii="Arial" w:hAnsi="Arial" w:cs="Arial"/>
          <w:sz w:val="24"/>
          <w:szCs w:val="24"/>
        </w:rPr>
      </w:pPr>
    </w:p>
    <w:p w14:paraId="05334210" w14:textId="77777777" w:rsidR="004B40A4" w:rsidRPr="009F7447" w:rsidRDefault="004B40A4" w:rsidP="00B320D0">
      <w:pPr>
        <w:pStyle w:val="Prrafodelista"/>
        <w:numPr>
          <w:ilvl w:val="0"/>
          <w:numId w:val="29"/>
        </w:numPr>
        <w:spacing w:after="0"/>
        <w:jc w:val="both"/>
        <w:rPr>
          <w:rFonts w:ascii="Arial" w:hAnsi="Arial" w:cs="Arial"/>
          <w:b/>
          <w:bCs/>
          <w:sz w:val="24"/>
          <w:szCs w:val="24"/>
        </w:rPr>
      </w:pPr>
      <w:r w:rsidRPr="009F7447">
        <w:rPr>
          <w:rFonts w:ascii="Arial" w:hAnsi="Arial" w:cs="Arial"/>
          <w:b/>
          <w:bCs/>
          <w:sz w:val="24"/>
          <w:szCs w:val="24"/>
        </w:rPr>
        <w:t>Funciones.</w:t>
      </w:r>
    </w:p>
    <w:p w14:paraId="1A7A1457" w14:textId="77777777" w:rsidR="004B40A4" w:rsidRPr="00C63186" w:rsidRDefault="004B40A4" w:rsidP="008E39FD">
      <w:pPr>
        <w:spacing w:after="0"/>
        <w:jc w:val="both"/>
        <w:rPr>
          <w:rFonts w:ascii="Arial" w:hAnsi="Arial" w:cs="Arial"/>
          <w:b/>
          <w:bCs/>
          <w:sz w:val="24"/>
          <w:szCs w:val="24"/>
        </w:rPr>
      </w:pPr>
    </w:p>
    <w:p w14:paraId="586B0DBE" w14:textId="77777777" w:rsidR="004B40A4" w:rsidRPr="00C63186" w:rsidRDefault="004B40A4" w:rsidP="008E39FD">
      <w:pPr>
        <w:tabs>
          <w:tab w:val="left" w:pos="4474"/>
        </w:tabs>
        <w:spacing w:after="0"/>
        <w:jc w:val="both"/>
        <w:rPr>
          <w:rFonts w:ascii="Arial" w:hAnsi="Arial" w:cs="Arial"/>
          <w:sz w:val="24"/>
          <w:szCs w:val="24"/>
        </w:rPr>
      </w:pPr>
      <w:r w:rsidRPr="54B2E939">
        <w:rPr>
          <w:rFonts w:ascii="Arial" w:hAnsi="Arial" w:cs="Arial"/>
          <w:sz w:val="24"/>
          <w:szCs w:val="24"/>
        </w:rPr>
        <w:t xml:space="preserve">Además de las funciones señaladas en el artículo 2.2.8.3.3.1.2. del Decreto 1073 de 2015, modificado por el </w:t>
      </w:r>
      <w:r w:rsidRPr="009F7447">
        <w:rPr>
          <w:rFonts w:ascii="Arial" w:hAnsi="Arial" w:cs="Arial"/>
          <w:sz w:val="24"/>
          <w:szCs w:val="24"/>
          <w:highlight w:val="yellow"/>
        </w:rPr>
        <w:t>Decreto XXXX</w:t>
      </w:r>
      <w:r w:rsidRPr="54B2E939">
        <w:rPr>
          <w:rFonts w:ascii="Arial" w:hAnsi="Arial" w:cs="Arial"/>
          <w:sz w:val="24"/>
          <w:szCs w:val="24"/>
        </w:rPr>
        <w:t>, el Comité de Administración del FONENERGÍA tendrá las siguientes:</w:t>
      </w:r>
    </w:p>
    <w:p w14:paraId="1DFB1E72" w14:textId="77777777" w:rsidR="004B40A4" w:rsidRPr="00C63186" w:rsidRDefault="004B40A4" w:rsidP="008E39FD">
      <w:pPr>
        <w:tabs>
          <w:tab w:val="left" w:pos="4474"/>
        </w:tabs>
        <w:spacing w:after="0"/>
        <w:jc w:val="both"/>
        <w:rPr>
          <w:rFonts w:ascii="Arial" w:hAnsi="Arial" w:cs="Arial"/>
          <w:sz w:val="24"/>
          <w:szCs w:val="24"/>
        </w:rPr>
      </w:pPr>
    </w:p>
    <w:p w14:paraId="45CBCEE2" w14:textId="70B67543" w:rsidR="004B40A4" w:rsidRPr="00041818" w:rsidRDefault="004B40A4" w:rsidP="00B320D0">
      <w:pPr>
        <w:pStyle w:val="Prrafodelista"/>
        <w:numPr>
          <w:ilvl w:val="0"/>
          <w:numId w:val="10"/>
        </w:numPr>
        <w:tabs>
          <w:tab w:val="left" w:pos="4474"/>
        </w:tabs>
        <w:spacing w:after="0"/>
        <w:ind w:left="426"/>
        <w:jc w:val="both"/>
        <w:rPr>
          <w:rFonts w:ascii="Arial" w:hAnsi="Arial" w:cs="Arial"/>
          <w:sz w:val="24"/>
          <w:szCs w:val="24"/>
        </w:rPr>
      </w:pPr>
      <w:r w:rsidRPr="00C63186">
        <w:rPr>
          <w:rFonts w:ascii="Arial" w:hAnsi="Arial" w:cs="Arial"/>
          <w:sz w:val="24"/>
          <w:szCs w:val="24"/>
        </w:rPr>
        <w:t xml:space="preserve">Adelantar todas las gestiones tendientes al </w:t>
      </w:r>
      <w:r w:rsidRPr="00041818">
        <w:rPr>
          <w:rFonts w:ascii="Arial" w:hAnsi="Arial" w:cs="Arial"/>
          <w:sz w:val="24"/>
          <w:szCs w:val="24"/>
        </w:rPr>
        <w:t xml:space="preserve">cumplimiento de los objetivos generales y específicos del FONENERGÍA, relacionados en los numerales </w:t>
      </w:r>
      <w:r w:rsidR="00041818" w:rsidRPr="00041818">
        <w:rPr>
          <w:rFonts w:ascii="Arial" w:hAnsi="Arial" w:cs="Arial"/>
          <w:sz w:val="24"/>
          <w:szCs w:val="24"/>
        </w:rPr>
        <w:t>I-</w:t>
      </w:r>
      <w:r w:rsidRPr="00041818">
        <w:rPr>
          <w:rFonts w:ascii="Arial" w:hAnsi="Arial" w:cs="Arial"/>
          <w:sz w:val="24"/>
          <w:szCs w:val="24"/>
        </w:rPr>
        <w:t xml:space="preserve">2.1 y </w:t>
      </w:r>
      <w:r w:rsidR="00041818" w:rsidRPr="00041818">
        <w:rPr>
          <w:rFonts w:ascii="Arial" w:hAnsi="Arial" w:cs="Arial"/>
          <w:sz w:val="24"/>
          <w:szCs w:val="24"/>
        </w:rPr>
        <w:t>I-</w:t>
      </w:r>
      <w:r w:rsidRPr="00041818">
        <w:rPr>
          <w:rFonts w:ascii="Arial" w:hAnsi="Arial" w:cs="Arial"/>
          <w:sz w:val="24"/>
          <w:szCs w:val="24"/>
        </w:rPr>
        <w:t xml:space="preserve">2.2 de este Manual. </w:t>
      </w:r>
    </w:p>
    <w:p w14:paraId="36CC9B47" w14:textId="77777777" w:rsidR="004B40A4" w:rsidRPr="00041818" w:rsidRDefault="004B40A4" w:rsidP="00B320D0">
      <w:pPr>
        <w:pStyle w:val="Prrafodelista"/>
        <w:numPr>
          <w:ilvl w:val="0"/>
          <w:numId w:val="10"/>
        </w:numPr>
        <w:tabs>
          <w:tab w:val="left" w:pos="4474"/>
        </w:tabs>
        <w:spacing w:after="0"/>
        <w:ind w:left="426"/>
        <w:jc w:val="both"/>
        <w:rPr>
          <w:rFonts w:ascii="Arial" w:hAnsi="Arial" w:cs="Arial"/>
          <w:sz w:val="24"/>
          <w:szCs w:val="24"/>
        </w:rPr>
      </w:pPr>
      <w:r>
        <w:rPr>
          <w:rFonts w:ascii="Arial" w:hAnsi="Arial" w:cs="Arial"/>
          <w:sz w:val="24"/>
          <w:szCs w:val="24"/>
        </w:rPr>
        <w:t xml:space="preserve">Propender con la consecución de recursos para el cumplimiento de los objetivos propios </w:t>
      </w:r>
      <w:r w:rsidRPr="00041818">
        <w:rPr>
          <w:rFonts w:ascii="Arial" w:hAnsi="Arial" w:cs="Arial"/>
          <w:sz w:val="24"/>
          <w:szCs w:val="24"/>
        </w:rPr>
        <w:t>del Fondo.</w:t>
      </w:r>
    </w:p>
    <w:p w14:paraId="626DD133" w14:textId="1D91332C" w:rsidR="004B40A4" w:rsidRDefault="004B40A4" w:rsidP="00B320D0">
      <w:pPr>
        <w:pStyle w:val="Prrafodelista"/>
        <w:numPr>
          <w:ilvl w:val="0"/>
          <w:numId w:val="10"/>
        </w:numPr>
        <w:tabs>
          <w:tab w:val="left" w:pos="4474"/>
        </w:tabs>
        <w:spacing w:after="0"/>
        <w:ind w:left="426"/>
        <w:jc w:val="both"/>
        <w:rPr>
          <w:rFonts w:ascii="Arial" w:hAnsi="Arial" w:cs="Arial"/>
          <w:sz w:val="24"/>
          <w:szCs w:val="24"/>
        </w:rPr>
      </w:pPr>
      <w:r w:rsidRPr="00041818">
        <w:rPr>
          <w:rFonts w:ascii="Arial" w:hAnsi="Arial" w:cs="Arial"/>
          <w:sz w:val="24"/>
          <w:szCs w:val="24"/>
        </w:rPr>
        <w:t xml:space="preserve">Instruir al Gerente Técnico </w:t>
      </w:r>
      <w:r w:rsidR="007F30CB" w:rsidRPr="00041818">
        <w:rPr>
          <w:rFonts w:ascii="Arial" w:hAnsi="Arial" w:cs="Arial"/>
          <w:sz w:val="24"/>
          <w:szCs w:val="24"/>
        </w:rPr>
        <w:t xml:space="preserve">o quien haga sus veces </w:t>
      </w:r>
      <w:r w:rsidRPr="00041818">
        <w:rPr>
          <w:rFonts w:ascii="Arial" w:hAnsi="Arial" w:cs="Arial"/>
          <w:sz w:val="24"/>
          <w:szCs w:val="24"/>
        </w:rPr>
        <w:t>sobre las acciones que deban realizarse tendientes al interrelacionamiento</w:t>
      </w:r>
      <w:r w:rsidRPr="7A51DBEF">
        <w:rPr>
          <w:rFonts w:ascii="Arial" w:hAnsi="Arial" w:cs="Arial"/>
          <w:sz w:val="24"/>
          <w:szCs w:val="24"/>
        </w:rPr>
        <w:t xml:space="preserve"> con las entidades públicas, privadas o mixtas, usuarios, prestadores de servicios y demás.</w:t>
      </w:r>
    </w:p>
    <w:p w14:paraId="29FF8CA3" w14:textId="77777777" w:rsidR="004B40A4" w:rsidRPr="00C63186" w:rsidRDefault="004B40A4" w:rsidP="008E39FD">
      <w:pPr>
        <w:tabs>
          <w:tab w:val="left" w:pos="4474"/>
        </w:tabs>
        <w:spacing w:after="0"/>
        <w:jc w:val="both"/>
        <w:rPr>
          <w:rFonts w:ascii="Arial" w:hAnsi="Arial" w:cs="Arial"/>
          <w:sz w:val="24"/>
          <w:szCs w:val="24"/>
        </w:rPr>
      </w:pPr>
    </w:p>
    <w:p w14:paraId="4BC30D66" w14:textId="77777777" w:rsidR="004B40A4" w:rsidRPr="009F7447" w:rsidRDefault="004B40A4" w:rsidP="00B320D0">
      <w:pPr>
        <w:pStyle w:val="Prrafodelista"/>
        <w:numPr>
          <w:ilvl w:val="0"/>
          <w:numId w:val="29"/>
        </w:numPr>
        <w:tabs>
          <w:tab w:val="left" w:pos="4474"/>
        </w:tabs>
        <w:spacing w:after="0"/>
        <w:jc w:val="both"/>
        <w:rPr>
          <w:rFonts w:ascii="Arial" w:hAnsi="Arial" w:cs="Arial"/>
          <w:b/>
          <w:bCs/>
          <w:sz w:val="24"/>
          <w:szCs w:val="24"/>
        </w:rPr>
      </w:pPr>
      <w:r w:rsidRPr="009F7447">
        <w:rPr>
          <w:rFonts w:ascii="Arial" w:hAnsi="Arial" w:cs="Arial"/>
          <w:b/>
          <w:bCs/>
          <w:sz w:val="24"/>
          <w:szCs w:val="24"/>
        </w:rPr>
        <w:t>Reuniones, decisiones y demás</w:t>
      </w:r>
    </w:p>
    <w:p w14:paraId="14E5E723" w14:textId="77777777" w:rsidR="004B40A4" w:rsidRPr="00C63186" w:rsidRDefault="004B40A4" w:rsidP="008E39FD">
      <w:pPr>
        <w:tabs>
          <w:tab w:val="left" w:pos="4474"/>
        </w:tabs>
        <w:spacing w:after="0"/>
        <w:jc w:val="both"/>
        <w:rPr>
          <w:rFonts w:ascii="Arial" w:hAnsi="Arial" w:cs="Arial"/>
          <w:b/>
          <w:bCs/>
          <w:sz w:val="24"/>
          <w:szCs w:val="24"/>
        </w:rPr>
      </w:pPr>
    </w:p>
    <w:p w14:paraId="52E0DE77" w14:textId="77777777" w:rsidR="004B40A4" w:rsidRPr="00C63186" w:rsidRDefault="004B40A4" w:rsidP="008E39FD">
      <w:pPr>
        <w:tabs>
          <w:tab w:val="left" w:pos="4474"/>
        </w:tabs>
        <w:spacing w:after="0"/>
        <w:jc w:val="both"/>
        <w:rPr>
          <w:rFonts w:ascii="Arial" w:hAnsi="Arial" w:cs="Arial"/>
          <w:sz w:val="24"/>
          <w:szCs w:val="24"/>
        </w:rPr>
      </w:pPr>
      <w:r w:rsidRPr="54B2E939">
        <w:rPr>
          <w:rFonts w:ascii="Arial" w:hAnsi="Arial" w:cs="Arial"/>
          <w:sz w:val="24"/>
          <w:szCs w:val="24"/>
        </w:rPr>
        <w:t xml:space="preserve">En lo relacionado con reuniones, actas, </w:t>
      </w:r>
      <w:r w:rsidRPr="008467A5">
        <w:rPr>
          <w:rFonts w:ascii="Arial" w:hAnsi="Arial" w:cs="Arial"/>
          <w:sz w:val="24"/>
          <w:szCs w:val="24"/>
        </w:rPr>
        <w:t>quorum deliberatorio y decisorio</w:t>
      </w:r>
      <w:r w:rsidRPr="54B2E939">
        <w:rPr>
          <w:rFonts w:ascii="Arial" w:hAnsi="Arial" w:cs="Arial"/>
          <w:sz w:val="24"/>
          <w:szCs w:val="24"/>
        </w:rPr>
        <w:t xml:space="preserve">, así como invitaciones, se estará a lo dispuesto en los artículos 2.2.8.3.3.1.3. y siguientes del Decreto </w:t>
      </w:r>
      <w:r>
        <w:rPr>
          <w:rFonts w:ascii="Arial" w:hAnsi="Arial" w:cs="Arial"/>
          <w:sz w:val="24"/>
          <w:szCs w:val="24"/>
        </w:rPr>
        <w:t>1073</w:t>
      </w:r>
      <w:r w:rsidRPr="54B2E939">
        <w:rPr>
          <w:rFonts w:ascii="Arial" w:hAnsi="Arial" w:cs="Arial"/>
          <w:sz w:val="24"/>
          <w:szCs w:val="24"/>
        </w:rPr>
        <w:t xml:space="preserve"> de </w:t>
      </w:r>
      <w:r>
        <w:rPr>
          <w:rFonts w:ascii="Arial" w:hAnsi="Arial" w:cs="Arial"/>
          <w:sz w:val="24"/>
          <w:szCs w:val="24"/>
        </w:rPr>
        <w:t>2015.</w:t>
      </w:r>
    </w:p>
    <w:p w14:paraId="17C35047" w14:textId="77777777" w:rsidR="004B40A4" w:rsidRPr="00C63186" w:rsidRDefault="004B40A4" w:rsidP="008E39FD">
      <w:pPr>
        <w:tabs>
          <w:tab w:val="left" w:pos="4474"/>
        </w:tabs>
        <w:spacing w:after="0"/>
        <w:jc w:val="both"/>
        <w:rPr>
          <w:rFonts w:ascii="Arial" w:hAnsi="Arial" w:cs="Arial"/>
          <w:b/>
          <w:bCs/>
          <w:sz w:val="24"/>
          <w:szCs w:val="24"/>
        </w:rPr>
      </w:pPr>
    </w:p>
    <w:p w14:paraId="3AEB6D7D" w14:textId="54A4DD52" w:rsidR="004B40A4" w:rsidRPr="0054171C" w:rsidRDefault="00C303F8" w:rsidP="003E028A">
      <w:pPr>
        <w:pStyle w:val="Ttulo6"/>
        <w:ind w:left="1152" w:hanging="1152"/>
      </w:pPr>
      <w:bookmarkStart w:id="28" w:name="_Toc219397241"/>
      <w:r>
        <w:rPr>
          <w:bCs/>
        </w:rPr>
        <w:t>I-</w:t>
      </w:r>
      <w:r w:rsidR="008F7665" w:rsidRPr="00B03685">
        <w:t xml:space="preserve">3.1.2 </w:t>
      </w:r>
      <w:r w:rsidR="004B40A4" w:rsidRPr="00B03685">
        <w:t>Gerente Técnico</w:t>
      </w:r>
      <w:bookmarkEnd w:id="28"/>
      <w:r w:rsidR="004B40A4" w:rsidRPr="00B03685">
        <w:t xml:space="preserve"> </w:t>
      </w:r>
    </w:p>
    <w:p w14:paraId="74D42900" w14:textId="77777777" w:rsidR="004B40A4" w:rsidRDefault="004B40A4" w:rsidP="008E39FD">
      <w:pPr>
        <w:tabs>
          <w:tab w:val="left" w:pos="4474"/>
        </w:tabs>
        <w:spacing w:after="0"/>
        <w:ind w:left="-11"/>
        <w:jc w:val="both"/>
        <w:rPr>
          <w:rFonts w:ascii="Arial" w:hAnsi="Arial" w:cs="Arial"/>
          <w:b/>
          <w:bCs/>
          <w:sz w:val="24"/>
          <w:szCs w:val="24"/>
        </w:rPr>
      </w:pPr>
    </w:p>
    <w:p w14:paraId="3CF712AC" w14:textId="77777777" w:rsidR="00392C98" w:rsidRPr="00742D6D" w:rsidRDefault="00392C98" w:rsidP="00392C98">
      <w:pPr>
        <w:tabs>
          <w:tab w:val="left" w:pos="4474"/>
        </w:tabs>
        <w:spacing w:after="0"/>
        <w:jc w:val="both"/>
        <w:rPr>
          <w:rFonts w:ascii="Arial" w:hAnsi="Arial" w:cs="Arial"/>
          <w:sz w:val="24"/>
          <w:szCs w:val="24"/>
        </w:rPr>
      </w:pPr>
      <w:r w:rsidRPr="00742D6D">
        <w:rPr>
          <w:rFonts w:ascii="Arial" w:hAnsi="Arial" w:cs="Arial"/>
          <w:sz w:val="24"/>
          <w:szCs w:val="24"/>
        </w:rPr>
        <w:t>La Dirección del Fondo estará a cargo de un funcionario del nivel directivo o asesor del Ministerio de Minas y Energía quien hará las veces de Gerente Técnico o el nombre que se le asigne, y contará con las coordinaciones que se requieran para atender sus objetivos.</w:t>
      </w:r>
    </w:p>
    <w:p w14:paraId="511128C7" w14:textId="77777777" w:rsidR="004B40A4" w:rsidRDefault="004B40A4" w:rsidP="008E39FD">
      <w:pPr>
        <w:tabs>
          <w:tab w:val="left" w:pos="4474"/>
        </w:tabs>
        <w:spacing w:after="0"/>
        <w:ind w:left="-11"/>
        <w:jc w:val="both"/>
        <w:rPr>
          <w:rFonts w:ascii="Arial" w:hAnsi="Arial" w:cs="Arial"/>
          <w:sz w:val="24"/>
          <w:szCs w:val="24"/>
        </w:rPr>
      </w:pPr>
    </w:p>
    <w:p w14:paraId="1A5634A9" w14:textId="77777777" w:rsidR="004B40A4" w:rsidRDefault="004B40A4" w:rsidP="008E39FD">
      <w:pPr>
        <w:tabs>
          <w:tab w:val="left" w:pos="4474"/>
        </w:tabs>
        <w:spacing w:after="0"/>
        <w:ind w:left="-11"/>
        <w:jc w:val="both"/>
        <w:rPr>
          <w:rFonts w:ascii="Arial" w:hAnsi="Arial" w:cs="Arial"/>
          <w:sz w:val="24"/>
          <w:szCs w:val="24"/>
        </w:rPr>
      </w:pPr>
      <w:r>
        <w:rPr>
          <w:rFonts w:ascii="Arial" w:hAnsi="Arial" w:cs="Arial"/>
          <w:sz w:val="24"/>
          <w:szCs w:val="24"/>
        </w:rPr>
        <w:t>Además de adelantar las labores que permitan el cumplimiento de los objetivos generales y específicos propios del FONENERGIA, cumplirá las siguientes funciones:</w:t>
      </w:r>
    </w:p>
    <w:p w14:paraId="782EED1D" w14:textId="77777777" w:rsidR="004B40A4" w:rsidRDefault="004B40A4" w:rsidP="008E39FD">
      <w:pPr>
        <w:tabs>
          <w:tab w:val="left" w:pos="4474"/>
        </w:tabs>
        <w:spacing w:after="0"/>
        <w:ind w:left="-11"/>
        <w:jc w:val="both"/>
        <w:rPr>
          <w:rFonts w:ascii="Arial" w:hAnsi="Arial" w:cs="Arial"/>
          <w:sz w:val="24"/>
          <w:szCs w:val="24"/>
        </w:rPr>
      </w:pPr>
    </w:p>
    <w:p w14:paraId="3B4B7ACE" w14:textId="77777777" w:rsidR="004B40A4" w:rsidRDefault="004B40A4" w:rsidP="00B320D0">
      <w:pPr>
        <w:pStyle w:val="Prrafodelista"/>
        <w:numPr>
          <w:ilvl w:val="0"/>
          <w:numId w:val="27"/>
        </w:numPr>
        <w:tabs>
          <w:tab w:val="left" w:pos="4474"/>
        </w:tabs>
        <w:spacing w:after="0"/>
        <w:ind w:left="851"/>
        <w:jc w:val="both"/>
        <w:rPr>
          <w:rFonts w:ascii="Arial" w:hAnsi="Arial" w:cs="Arial"/>
          <w:sz w:val="24"/>
          <w:szCs w:val="24"/>
        </w:rPr>
      </w:pPr>
      <w:r>
        <w:rPr>
          <w:rFonts w:ascii="Arial" w:hAnsi="Arial" w:cs="Arial"/>
          <w:sz w:val="24"/>
          <w:szCs w:val="24"/>
        </w:rPr>
        <w:t>Atender los requerimiento e instrucciones que le imparta el Comité de Administración</w:t>
      </w:r>
    </w:p>
    <w:p w14:paraId="59B301AF" w14:textId="77777777" w:rsidR="004B40A4" w:rsidRDefault="004B40A4" w:rsidP="00B320D0">
      <w:pPr>
        <w:pStyle w:val="Prrafodelista"/>
        <w:numPr>
          <w:ilvl w:val="0"/>
          <w:numId w:val="27"/>
        </w:numPr>
        <w:tabs>
          <w:tab w:val="left" w:pos="4474"/>
        </w:tabs>
        <w:spacing w:after="0"/>
        <w:ind w:left="851"/>
        <w:jc w:val="both"/>
        <w:rPr>
          <w:rFonts w:ascii="Arial" w:hAnsi="Arial" w:cs="Arial"/>
          <w:sz w:val="24"/>
          <w:szCs w:val="24"/>
        </w:rPr>
      </w:pPr>
      <w:r>
        <w:rPr>
          <w:rFonts w:ascii="Arial" w:hAnsi="Arial" w:cs="Arial"/>
          <w:sz w:val="24"/>
          <w:szCs w:val="24"/>
        </w:rPr>
        <w:t>Dirigir, coordinar e instruir las actividades que le corresponden al Equipo Técnico</w:t>
      </w:r>
    </w:p>
    <w:p w14:paraId="4354700A" w14:textId="0F82A04A" w:rsidR="004B40A4" w:rsidRDefault="004B40A4" w:rsidP="00B320D0">
      <w:pPr>
        <w:pStyle w:val="Prrafodelista"/>
        <w:numPr>
          <w:ilvl w:val="0"/>
          <w:numId w:val="27"/>
        </w:numPr>
        <w:tabs>
          <w:tab w:val="left" w:pos="4474"/>
        </w:tabs>
        <w:spacing w:after="0"/>
        <w:ind w:left="851"/>
        <w:jc w:val="both"/>
        <w:rPr>
          <w:rFonts w:ascii="Arial" w:hAnsi="Arial" w:cs="Arial"/>
          <w:sz w:val="24"/>
          <w:szCs w:val="24"/>
        </w:rPr>
      </w:pPr>
      <w:r>
        <w:rPr>
          <w:rFonts w:ascii="Arial" w:hAnsi="Arial" w:cs="Arial"/>
          <w:sz w:val="24"/>
          <w:szCs w:val="24"/>
        </w:rPr>
        <w:t xml:space="preserve">Suscribir los documentos necesarios para el cabal cumplimiento de las metas propias de FONENERGIA, </w:t>
      </w:r>
      <w:r w:rsidR="008B47B7">
        <w:rPr>
          <w:rFonts w:ascii="Arial" w:hAnsi="Arial" w:cs="Arial"/>
          <w:sz w:val="24"/>
          <w:szCs w:val="24"/>
        </w:rPr>
        <w:t>de que trata el presente Manual</w:t>
      </w:r>
      <w:r>
        <w:rPr>
          <w:rFonts w:ascii="Arial" w:hAnsi="Arial" w:cs="Arial"/>
          <w:sz w:val="24"/>
          <w:szCs w:val="24"/>
        </w:rPr>
        <w:t>.</w:t>
      </w:r>
    </w:p>
    <w:p w14:paraId="195B04D4" w14:textId="77777777" w:rsidR="004B40A4" w:rsidRPr="00AA2487" w:rsidRDefault="004B40A4" w:rsidP="00B320D0">
      <w:pPr>
        <w:pStyle w:val="Prrafodelista"/>
        <w:numPr>
          <w:ilvl w:val="0"/>
          <w:numId w:val="27"/>
        </w:numPr>
        <w:tabs>
          <w:tab w:val="left" w:pos="4474"/>
        </w:tabs>
        <w:spacing w:after="0"/>
        <w:ind w:left="851"/>
        <w:jc w:val="both"/>
        <w:rPr>
          <w:rFonts w:ascii="Arial" w:hAnsi="Arial" w:cs="Arial"/>
          <w:sz w:val="24"/>
          <w:szCs w:val="24"/>
        </w:rPr>
      </w:pPr>
      <w:r>
        <w:rPr>
          <w:rFonts w:ascii="Arial" w:hAnsi="Arial" w:cs="Arial"/>
          <w:sz w:val="24"/>
          <w:szCs w:val="24"/>
        </w:rPr>
        <w:t xml:space="preserve">Asignar el funcionario que adelantará la labor de Secretaría Técnica </w:t>
      </w:r>
    </w:p>
    <w:p w14:paraId="0EDEE227" w14:textId="77777777" w:rsidR="00386D97" w:rsidRPr="005F0BDA" w:rsidRDefault="00386D97" w:rsidP="003E028A">
      <w:pPr>
        <w:pStyle w:val="Ttulo6"/>
        <w:ind w:left="1152" w:hanging="1152"/>
      </w:pPr>
      <w:bookmarkStart w:id="29" w:name="_Toc219397242"/>
    </w:p>
    <w:p w14:paraId="2D86ACA8" w14:textId="0B0661B4" w:rsidR="004B40A4" w:rsidRPr="005A470C" w:rsidRDefault="002B1AD5" w:rsidP="003E028A">
      <w:pPr>
        <w:pStyle w:val="Ttulo6"/>
        <w:ind w:left="1152" w:hanging="1152"/>
        <w:rPr>
          <w:lang w:val="pt-PT"/>
        </w:rPr>
      </w:pPr>
      <w:r w:rsidRPr="005A470C">
        <w:rPr>
          <w:lang w:val="pt-PT"/>
        </w:rPr>
        <w:t>I-</w:t>
      </w:r>
      <w:r w:rsidR="00984898" w:rsidRPr="005A470C">
        <w:rPr>
          <w:lang w:val="pt-PT"/>
        </w:rPr>
        <w:t xml:space="preserve">3.1.3 </w:t>
      </w:r>
      <w:r w:rsidR="004B40A4" w:rsidRPr="005A470C">
        <w:rPr>
          <w:lang w:val="pt-PT"/>
        </w:rPr>
        <w:t>Equipo Técnico de FONENERGÍA.</w:t>
      </w:r>
      <w:bookmarkEnd w:id="29"/>
    </w:p>
    <w:p w14:paraId="229A8665" w14:textId="77777777" w:rsidR="004B40A4" w:rsidRPr="005A470C" w:rsidRDefault="004B40A4" w:rsidP="008E39FD">
      <w:pPr>
        <w:tabs>
          <w:tab w:val="left" w:pos="4474"/>
        </w:tabs>
        <w:spacing w:after="0"/>
        <w:jc w:val="both"/>
        <w:rPr>
          <w:rFonts w:ascii="Arial" w:hAnsi="Arial" w:cs="Arial"/>
          <w:b/>
          <w:sz w:val="24"/>
          <w:szCs w:val="24"/>
          <w:lang w:val="pt-PT"/>
        </w:rPr>
      </w:pPr>
    </w:p>
    <w:p w14:paraId="1D22909C" w14:textId="77777777" w:rsidR="004B40A4" w:rsidRPr="00C63186" w:rsidRDefault="004B40A4" w:rsidP="00B320D0">
      <w:pPr>
        <w:pStyle w:val="Prrafodelista"/>
        <w:numPr>
          <w:ilvl w:val="0"/>
          <w:numId w:val="9"/>
        </w:numPr>
        <w:spacing w:after="0"/>
        <w:ind w:left="993"/>
        <w:jc w:val="both"/>
        <w:rPr>
          <w:rFonts w:ascii="Arial" w:hAnsi="Arial" w:cs="Arial"/>
          <w:b/>
          <w:bCs/>
          <w:sz w:val="24"/>
          <w:szCs w:val="24"/>
        </w:rPr>
      </w:pPr>
      <w:r w:rsidRPr="00C63186">
        <w:rPr>
          <w:rFonts w:ascii="Arial" w:hAnsi="Arial" w:cs="Arial"/>
          <w:b/>
          <w:bCs/>
          <w:sz w:val="24"/>
          <w:szCs w:val="24"/>
        </w:rPr>
        <w:t>Conformación</w:t>
      </w:r>
    </w:p>
    <w:p w14:paraId="521261D3" w14:textId="77777777" w:rsidR="004B40A4" w:rsidRPr="00C63186" w:rsidRDefault="004B40A4" w:rsidP="008E39FD">
      <w:pPr>
        <w:tabs>
          <w:tab w:val="left" w:pos="4474"/>
        </w:tabs>
        <w:spacing w:after="0"/>
        <w:jc w:val="both"/>
        <w:rPr>
          <w:rFonts w:ascii="Arial" w:hAnsi="Arial" w:cs="Arial"/>
          <w:b/>
          <w:bCs/>
          <w:sz w:val="24"/>
          <w:szCs w:val="24"/>
        </w:rPr>
      </w:pPr>
    </w:p>
    <w:p w14:paraId="263FBB7D" w14:textId="02D2FAC6" w:rsidR="004B40A4" w:rsidRPr="00C63186" w:rsidRDefault="004B40A4" w:rsidP="008E39FD">
      <w:pPr>
        <w:tabs>
          <w:tab w:val="left" w:pos="4474"/>
        </w:tabs>
        <w:spacing w:after="0"/>
        <w:jc w:val="both"/>
        <w:rPr>
          <w:rFonts w:ascii="Arial" w:hAnsi="Arial" w:cs="Arial"/>
          <w:sz w:val="24"/>
          <w:szCs w:val="24"/>
        </w:rPr>
      </w:pPr>
      <w:r w:rsidRPr="7A51DBEF">
        <w:rPr>
          <w:rFonts w:ascii="Arial" w:hAnsi="Arial" w:cs="Arial"/>
          <w:sz w:val="24"/>
          <w:szCs w:val="24"/>
        </w:rPr>
        <w:t>De conformidad con lo establecido en el artículo 2.2.8.3.3.</w:t>
      </w:r>
      <w:r w:rsidR="008B47B7">
        <w:rPr>
          <w:rFonts w:ascii="Arial" w:hAnsi="Arial" w:cs="Arial"/>
          <w:sz w:val="24"/>
          <w:szCs w:val="24"/>
        </w:rPr>
        <w:t>2.1.</w:t>
      </w:r>
      <w:r w:rsidRPr="7A51DBEF">
        <w:rPr>
          <w:rFonts w:ascii="Arial" w:hAnsi="Arial" w:cs="Arial"/>
          <w:sz w:val="24"/>
          <w:szCs w:val="24"/>
        </w:rPr>
        <w:t xml:space="preserve"> del Decreto 1073 de 2015, de acuerdo con la modificación introducida por el Decreto </w:t>
      </w:r>
      <w:r w:rsidRPr="00723B7E">
        <w:rPr>
          <w:rFonts w:ascii="Arial" w:hAnsi="Arial" w:cs="Arial"/>
          <w:sz w:val="24"/>
          <w:szCs w:val="24"/>
          <w:highlight w:val="cyan"/>
        </w:rPr>
        <w:t>XXXX</w:t>
      </w:r>
      <w:r w:rsidRPr="7A51DBEF">
        <w:rPr>
          <w:rFonts w:ascii="Arial" w:hAnsi="Arial" w:cs="Arial"/>
          <w:sz w:val="24"/>
          <w:szCs w:val="24"/>
        </w:rPr>
        <w:t>, el Equipo Técnico de FONENERGÍA estará integrado por los cargos que conforman la Planta de Personal Temporal que se adopte mediante Acto Administrativo expedido por el Ministerio de Minas y Energía.</w:t>
      </w:r>
    </w:p>
    <w:p w14:paraId="76086A19" w14:textId="77777777" w:rsidR="004B40A4" w:rsidRPr="00C63186" w:rsidRDefault="004B40A4" w:rsidP="008E39FD">
      <w:pPr>
        <w:tabs>
          <w:tab w:val="left" w:pos="4474"/>
        </w:tabs>
        <w:spacing w:after="0"/>
        <w:jc w:val="both"/>
        <w:rPr>
          <w:rFonts w:ascii="Arial" w:hAnsi="Arial" w:cs="Arial"/>
          <w:sz w:val="24"/>
          <w:szCs w:val="24"/>
        </w:rPr>
      </w:pPr>
    </w:p>
    <w:p w14:paraId="3BDB2A0F" w14:textId="6A798EDB" w:rsidR="004B40A4" w:rsidRPr="00C63186" w:rsidRDefault="004B40A4" w:rsidP="008E39FD">
      <w:pPr>
        <w:tabs>
          <w:tab w:val="left" w:pos="4474"/>
        </w:tabs>
        <w:spacing w:after="0"/>
        <w:jc w:val="both"/>
        <w:rPr>
          <w:rFonts w:ascii="Arial" w:hAnsi="Arial" w:cs="Arial"/>
          <w:sz w:val="24"/>
          <w:szCs w:val="24"/>
        </w:rPr>
      </w:pPr>
      <w:r w:rsidRPr="35A9FD5F">
        <w:rPr>
          <w:rFonts w:ascii="Arial" w:hAnsi="Arial" w:cs="Arial"/>
          <w:sz w:val="24"/>
          <w:szCs w:val="24"/>
        </w:rPr>
        <w:t xml:space="preserve">Los funcionarios que ocupen los cargos establecidos en la Planta que se cree, adelantarán sus funciones a través de los Grupos de Trabajo que, mediante resolución expedida por </w:t>
      </w:r>
      <w:r w:rsidR="008B47B7">
        <w:rPr>
          <w:rFonts w:ascii="Arial" w:hAnsi="Arial" w:cs="Arial"/>
          <w:sz w:val="24"/>
          <w:szCs w:val="24"/>
        </w:rPr>
        <w:t>la Secretaria General del</w:t>
      </w:r>
      <w:r w:rsidRPr="35A9FD5F">
        <w:rPr>
          <w:rFonts w:ascii="Arial" w:hAnsi="Arial" w:cs="Arial"/>
          <w:sz w:val="24"/>
          <w:szCs w:val="24"/>
        </w:rPr>
        <w:t xml:space="preserve"> Ministerio de Minas y Energía, </w:t>
      </w:r>
      <w:r w:rsidR="00B9140F">
        <w:rPr>
          <w:rFonts w:ascii="Arial" w:hAnsi="Arial" w:cs="Arial"/>
          <w:sz w:val="24"/>
          <w:szCs w:val="24"/>
        </w:rPr>
        <w:t xml:space="preserve">o el funcionario a quien se delegue esta función, </w:t>
      </w:r>
      <w:r w:rsidRPr="35A9FD5F">
        <w:rPr>
          <w:rFonts w:ascii="Arial" w:hAnsi="Arial" w:cs="Arial"/>
          <w:sz w:val="24"/>
          <w:szCs w:val="24"/>
        </w:rPr>
        <w:t>se constituyan para el efecto.</w:t>
      </w:r>
    </w:p>
    <w:p w14:paraId="61E9475B" w14:textId="77777777" w:rsidR="004B40A4" w:rsidRDefault="004B40A4" w:rsidP="008E39FD">
      <w:pPr>
        <w:tabs>
          <w:tab w:val="left" w:pos="4474"/>
        </w:tabs>
        <w:spacing w:after="0"/>
        <w:jc w:val="both"/>
        <w:rPr>
          <w:rFonts w:ascii="Arial" w:hAnsi="Arial" w:cs="Arial"/>
          <w:sz w:val="24"/>
          <w:szCs w:val="24"/>
        </w:rPr>
      </w:pPr>
    </w:p>
    <w:p w14:paraId="57C07E1C" w14:textId="77777777" w:rsidR="004B40A4" w:rsidRPr="00C63186" w:rsidRDefault="004B40A4" w:rsidP="008E39FD">
      <w:pPr>
        <w:tabs>
          <w:tab w:val="left" w:pos="4474"/>
        </w:tabs>
        <w:spacing w:after="0"/>
        <w:ind w:left="709"/>
        <w:jc w:val="both"/>
        <w:rPr>
          <w:rFonts w:ascii="Arial" w:hAnsi="Arial" w:cs="Arial"/>
          <w:b/>
          <w:bCs/>
          <w:sz w:val="24"/>
          <w:szCs w:val="24"/>
        </w:rPr>
      </w:pPr>
      <w:r w:rsidRPr="00C63186">
        <w:rPr>
          <w:rFonts w:ascii="Arial" w:hAnsi="Arial" w:cs="Arial"/>
          <w:b/>
          <w:bCs/>
          <w:sz w:val="24"/>
          <w:szCs w:val="24"/>
        </w:rPr>
        <w:t>b) Funciones y demás</w:t>
      </w:r>
    </w:p>
    <w:p w14:paraId="0EB2D41D" w14:textId="77777777" w:rsidR="004B40A4" w:rsidRPr="00C63186" w:rsidRDefault="004B40A4" w:rsidP="008E39FD">
      <w:pPr>
        <w:tabs>
          <w:tab w:val="left" w:pos="4474"/>
        </w:tabs>
        <w:spacing w:after="0"/>
        <w:jc w:val="both"/>
        <w:rPr>
          <w:rFonts w:ascii="Arial" w:hAnsi="Arial" w:cs="Arial"/>
          <w:sz w:val="24"/>
          <w:szCs w:val="24"/>
        </w:rPr>
      </w:pPr>
    </w:p>
    <w:p w14:paraId="7D800B23" w14:textId="2F2EF3CA" w:rsidR="004B40A4" w:rsidRDefault="004B40A4" w:rsidP="008E39FD">
      <w:pPr>
        <w:tabs>
          <w:tab w:val="left" w:pos="4474"/>
        </w:tabs>
        <w:spacing w:after="0"/>
        <w:jc w:val="both"/>
        <w:rPr>
          <w:rFonts w:ascii="Arial" w:hAnsi="Arial" w:cs="Arial"/>
          <w:sz w:val="24"/>
          <w:szCs w:val="24"/>
        </w:rPr>
      </w:pPr>
      <w:r w:rsidRPr="1A65CE1C">
        <w:rPr>
          <w:rFonts w:ascii="Arial" w:hAnsi="Arial" w:cs="Arial"/>
          <w:sz w:val="24"/>
          <w:szCs w:val="24"/>
        </w:rPr>
        <w:t xml:space="preserve">En lo relacionado con funciones y demás actividades administrativas, técnicas u operativas, se </w:t>
      </w:r>
      <w:r w:rsidR="00B9140F">
        <w:rPr>
          <w:rFonts w:ascii="Arial" w:hAnsi="Arial" w:cs="Arial"/>
          <w:sz w:val="24"/>
          <w:szCs w:val="24"/>
        </w:rPr>
        <w:t>atenderán</w:t>
      </w:r>
      <w:r w:rsidRPr="1A65CE1C">
        <w:rPr>
          <w:rFonts w:ascii="Arial" w:hAnsi="Arial" w:cs="Arial"/>
          <w:sz w:val="24"/>
          <w:szCs w:val="24"/>
        </w:rPr>
        <w:t xml:space="preserve"> los parámetros generales establecidos en la Sección 3.2 del Capítulo 3 del Título VIII del DUR 1073 de 2015, modificado por el Decreto </w:t>
      </w:r>
      <w:r w:rsidRPr="00723B7E">
        <w:rPr>
          <w:rFonts w:ascii="Arial" w:hAnsi="Arial" w:cs="Arial"/>
          <w:sz w:val="24"/>
          <w:szCs w:val="24"/>
          <w:highlight w:val="cyan"/>
        </w:rPr>
        <w:t>XXXXX</w:t>
      </w:r>
      <w:r w:rsidRPr="1A65CE1C">
        <w:rPr>
          <w:rFonts w:ascii="Arial" w:hAnsi="Arial" w:cs="Arial"/>
          <w:sz w:val="24"/>
          <w:szCs w:val="24"/>
        </w:rPr>
        <w:t>.</w:t>
      </w:r>
    </w:p>
    <w:p w14:paraId="60BA1CEC" w14:textId="77777777" w:rsidR="001B264F" w:rsidRDefault="001B264F" w:rsidP="008E39FD">
      <w:pPr>
        <w:tabs>
          <w:tab w:val="left" w:pos="4474"/>
        </w:tabs>
        <w:spacing w:after="0"/>
        <w:jc w:val="both"/>
        <w:rPr>
          <w:rFonts w:ascii="Arial" w:hAnsi="Arial" w:cs="Arial"/>
          <w:sz w:val="24"/>
          <w:szCs w:val="24"/>
        </w:rPr>
      </w:pPr>
    </w:p>
    <w:p w14:paraId="64A7A184" w14:textId="0F37F617" w:rsidR="001B264F" w:rsidRPr="00C63186" w:rsidRDefault="001B264F" w:rsidP="008E39FD">
      <w:pPr>
        <w:tabs>
          <w:tab w:val="left" w:pos="4474"/>
        </w:tabs>
        <w:spacing w:after="0"/>
        <w:jc w:val="both"/>
        <w:rPr>
          <w:rFonts w:ascii="Arial" w:hAnsi="Arial" w:cs="Arial"/>
          <w:sz w:val="24"/>
          <w:szCs w:val="24"/>
        </w:rPr>
      </w:pPr>
      <w:r>
        <w:rPr>
          <w:rFonts w:ascii="Arial" w:hAnsi="Arial" w:cs="Arial"/>
          <w:sz w:val="24"/>
          <w:szCs w:val="24"/>
        </w:rPr>
        <w:t>Adicionalmente adelantará toda la cadena de operatividad del FONENERGÍA tanto en el componente de gas como en el de energía eléctrica y que se señalan en los respectivos apartes del presente Manual Operativo.</w:t>
      </w:r>
    </w:p>
    <w:p w14:paraId="34383D2B" w14:textId="77777777" w:rsidR="004B40A4" w:rsidRPr="00C63186" w:rsidRDefault="004B40A4" w:rsidP="008E39FD">
      <w:pPr>
        <w:tabs>
          <w:tab w:val="left" w:pos="4474"/>
        </w:tabs>
        <w:spacing w:after="0"/>
        <w:jc w:val="both"/>
        <w:rPr>
          <w:rFonts w:ascii="Arial" w:hAnsi="Arial" w:cs="Arial"/>
          <w:sz w:val="24"/>
          <w:szCs w:val="24"/>
        </w:rPr>
      </w:pPr>
    </w:p>
    <w:p w14:paraId="6C8F7369" w14:textId="4E75D767" w:rsidR="004B40A4" w:rsidRDefault="002B1AD5" w:rsidP="004C2C20">
      <w:pPr>
        <w:pStyle w:val="Ttulo5"/>
        <w:ind w:left="1008" w:hanging="1008"/>
      </w:pPr>
      <w:bookmarkStart w:id="30" w:name="_Toc219397243"/>
      <w:bookmarkStart w:id="31" w:name="_Toc224844289"/>
      <w:r>
        <w:rPr>
          <w:bCs/>
        </w:rPr>
        <w:t>I-</w:t>
      </w:r>
      <w:r w:rsidR="0056453F" w:rsidRPr="00B03685">
        <w:t xml:space="preserve">3.2 </w:t>
      </w:r>
      <w:r w:rsidR="004B40A4" w:rsidRPr="00B03685">
        <w:t>Secretaría Técnica</w:t>
      </w:r>
      <w:bookmarkEnd w:id="30"/>
      <w:bookmarkEnd w:id="31"/>
    </w:p>
    <w:p w14:paraId="61053CBE" w14:textId="77777777" w:rsidR="00B9140F" w:rsidRPr="00B9140F" w:rsidRDefault="00B9140F" w:rsidP="00B9140F">
      <w:pPr>
        <w:spacing w:after="0"/>
      </w:pPr>
    </w:p>
    <w:p w14:paraId="25A2510E" w14:textId="3BF0AD02" w:rsidR="004B40A4" w:rsidRPr="00C63186" w:rsidRDefault="004B40A4" w:rsidP="008E39FD">
      <w:pPr>
        <w:tabs>
          <w:tab w:val="left" w:pos="4474"/>
        </w:tabs>
        <w:spacing w:after="0"/>
        <w:jc w:val="both"/>
        <w:rPr>
          <w:rFonts w:ascii="Arial" w:hAnsi="Arial" w:cs="Arial"/>
          <w:sz w:val="24"/>
          <w:szCs w:val="24"/>
        </w:rPr>
      </w:pPr>
      <w:r w:rsidRPr="00C63186">
        <w:rPr>
          <w:rFonts w:ascii="Arial" w:hAnsi="Arial" w:cs="Arial"/>
          <w:sz w:val="24"/>
          <w:szCs w:val="24"/>
        </w:rPr>
        <w:t>Sin formar parte del Gobierno Corporativo, la Secretaría Técnica del Comité de Administración será realizada por funcionarios del Equipo Técnico y adelantará las siguientes</w:t>
      </w:r>
      <w:r w:rsidR="00F23247">
        <w:rPr>
          <w:rFonts w:ascii="Arial" w:hAnsi="Arial" w:cs="Arial"/>
          <w:sz w:val="24"/>
          <w:szCs w:val="24"/>
        </w:rPr>
        <w:t xml:space="preserve"> funciones</w:t>
      </w:r>
      <w:r w:rsidRPr="00C63186">
        <w:rPr>
          <w:rFonts w:ascii="Arial" w:hAnsi="Arial" w:cs="Arial"/>
          <w:sz w:val="24"/>
          <w:szCs w:val="24"/>
        </w:rPr>
        <w:t>:</w:t>
      </w:r>
    </w:p>
    <w:p w14:paraId="5F0C4F11" w14:textId="77777777" w:rsidR="004B40A4" w:rsidRPr="00C63186" w:rsidRDefault="004B40A4" w:rsidP="008E39FD">
      <w:pPr>
        <w:tabs>
          <w:tab w:val="left" w:pos="4474"/>
        </w:tabs>
        <w:spacing w:after="0"/>
        <w:jc w:val="both"/>
        <w:rPr>
          <w:rFonts w:ascii="Arial" w:hAnsi="Arial" w:cs="Arial"/>
          <w:sz w:val="24"/>
          <w:szCs w:val="24"/>
        </w:rPr>
      </w:pPr>
    </w:p>
    <w:p w14:paraId="764215DD" w14:textId="68637C11" w:rsidR="004B40A4" w:rsidRPr="00C63186" w:rsidRDefault="004B40A4" w:rsidP="00B320D0">
      <w:pPr>
        <w:pStyle w:val="Prrafodelista"/>
        <w:numPr>
          <w:ilvl w:val="0"/>
          <w:numId w:val="11"/>
        </w:numPr>
        <w:tabs>
          <w:tab w:val="left" w:pos="4474"/>
        </w:tabs>
        <w:spacing w:after="0"/>
        <w:ind w:left="426"/>
        <w:jc w:val="both"/>
        <w:rPr>
          <w:rFonts w:ascii="Arial" w:hAnsi="Arial" w:cs="Arial"/>
          <w:sz w:val="24"/>
          <w:szCs w:val="24"/>
        </w:rPr>
      </w:pPr>
      <w:r w:rsidRPr="00C63186">
        <w:rPr>
          <w:rFonts w:ascii="Arial" w:hAnsi="Arial" w:cs="Arial"/>
          <w:sz w:val="24"/>
          <w:szCs w:val="24"/>
        </w:rPr>
        <w:t>Asistir a todas las reuniones del Comité de Administración.</w:t>
      </w:r>
    </w:p>
    <w:p w14:paraId="604DC58E" w14:textId="77777777" w:rsidR="004B40A4" w:rsidRPr="00C63186" w:rsidRDefault="004B40A4" w:rsidP="00B320D0">
      <w:pPr>
        <w:pStyle w:val="Prrafodelista"/>
        <w:numPr>
          <w:ilvl w:val="0"/>
          <w:numId w:val="11"/>
        </w:numPr>
        <w:tabs>
          <w:tab w:val="left" w:pos="4474"/>
        </w:tabs>
        <w:spacing w:after="0"/>
        <w:ind w:left="426"/>
        <w:jc w:val="both"/>
        <w:rPr>
          <w:rFonts w:ascii="Arial" w:hAnsi="Arial" w:cs="Arial"/>
          <w:sz w:val="24"/>
          <w:szCs w:val="24"/>
        </w:rPr>
      </w:pPr>
      <w:r w:rsidRPr="00C63186">
        <w:rPr>
          <w:rFonts w:ascii="Arial" w:hAnsi="Arial" w:cs="Arial"/>
          <w:sz w:val="24"/>
          <w:szCs w:val="24"/>
        </w:rPr>
        <w:t>Ser apoyo del Gerente Técnico y de los Coordinadores, en la orientación de las decisiones adoptadas por el Comité de Administración.</w:t>
      </w:r>
    </w:p>
    <w:p w14:paraId="22A0C59C" w14:textId="77777777" w:rsidR="004B40A4" w:rsidRDefault="004B40A4" w:rsidP="00B320D0">
      <w:pPr>
        <w:pStyle w:val="Prrafodelista"/>
        <w:numPr>
          <w:ilvl w:val="0"/>
          <w:numId w:val="11"/>
        </w:numPr>
        <w:tabs>
          <w:tab w:val="left" w:pos="4474"/>
        </w:tabs>
        <w:spacing w:after="0"/>
        <w:ind w:left="426"/>
        <w:jc w:val="both"/>
        <w:rPr>
          <w:rFonts w:ascii="Arial" w:hAnsi="Arial" w:cs="Arial"/>
          <w:sz w:val="24"/>
          <w:szCs w:val="24"/>
        </w:rPr>
      </w:pPr>
      <w:r w:rsidRPr="00C63186">
        <w:rPr>
          <w:rFonts w:ascii="Arial" w:hAnsi="Arial" w:cs="Arial"/>
          <w:sz w:val="24"/>
          <w:szCs w:val="24"/>
        </w:rPr>
        <w:t>Las demás que el Comité de Administración le señalen.</w:t>
      </w:r>
    </w:p>
    <w:p w14:paraId="0CC9B02A" w14:textId="7EDFFB20" w:rsidR="004B40A4" w:rsidRDefault="004B40A4" w:rsidP="00B320D0">
      <w:pPr>
        <w:pStyle w:val="Prrafodelista"/>
        <w:numPr>
          <w:ilvl w:val="0"/>
          <w:numId w:val="11"/>
        </w:numPr>
        <w:tabs>
          <w:tab w:val="left" w:pos="4474"/>
        </w:tabs>
        <w:spacing w:after="0"/>
        <w:ind w:left="426"/>
        <w:jc w:val="both"/>
        <w:rPr>
          <w:rFonts w:ascii="Arial" w:hAnsi="Arial" w:cs="Arial"/>
          <w:sz w:val="24"/>
          <w:szCs w:val="24"/>
        </w:rPr>
      </w:pPr>
      <w:r w:rsidRPr="00723B7E">
        <w:rPr>
          <w:rFonts w:ascii="Arial" w:hAnsi="Arial" w:cs="Arial"/>
          <w:sz w:val="24"/>
          <w:szCs w:val="24"/>
        </w:rPr>
        <w:t>Elaborar las Actas en las que se plasmen las discusiones de las respectivas reuniones del Comité de Administración y suscribir las mismas</w:t>
      </w:r>
      <w:r w:rsidR="00A469CF">
        <w:rPr>
          <w:rFonts w:ascii="Arial" w:hAnsi="Arial" w:cs="Arial"/>
          <w:sz w:val="24"/>
          <w:szCs w:val="24"/>
        </w:rPr>
        <w:t xml:space="preserve"> junto con el Gerente Técnico o quien haga sus veces.</w:t>
      </w:r>
    </w:p>
    <w:p w14:paraId="30780178" w14:textId="1C063624" w:rsidR="004B40A4" w:rsidRPr="00723B7E" w:rsidRDefault="004B40A4" w:rsidP="00B320D0">
      <w:pPr>
        <w:pStyle w:val="Prrafodelista"/>
        <w:numPr>
          <w:ilvl w:val="0"/>
          <w:numId w:val="11"/>
        </w:numPr>
        <w:tabs>
          <w:tab w:val="left" w:pos="4474"/>
        </w:tabs>
        <w:spacing w:after="0"/>
        <w:ind w:left="426"/>
        <w:jc w:val="both"/>
        <w:rPr>
          <w:rFonts w:ascii="Arial" w:hAnsi="Arial" w:cs="Arial"/>
          <w:sz w:val="24"/>
          <w:szCs w:val="24"/>
        </w:rPr>
      </w:pPr>
      <w:r w:rsidRPr="00723B7E">
        <w:rPr>
          <w:rFonts w:ascii="Arial" w:hAnsi="Arial" w:cs="Arial"/>
          <w:sz w:val="24"/>
          <w:szCs w:val="24"/>
        </w:rPr>
        <w:t>Citar al Comité de Administración a sesiones ordinarias, o extraordinarias cuando lo solicite el Ministro</w:t>
      </w:r>
      <w:r w:rsidR="00A469CF">
        <w:rPr>
          <w:rFonts w:ascii="Arial" w:hAnsi="Arial" w:cs="Arial"/>
          <w:sz w:val="24"/>
          <w:szCs w:val="24"/>
        </w:rPr>
        <w:t>,</w:t>
      </w:r>
      <w:r w:rsidRPr="00723B7E">
        <w:rPr>
          <w:rFonts w:ascii="Arial" w:hAnsi="Arial" w:cs="Arial"/>
          <w:sz w:val="24"/>
          <w:szCs w:val="24"/>
        </w:rPr>
        <w:t xml:space="preserve"> Viceministro de Energía</w:t>
      </w:r>
      <w:r w:rsidR="00A469CF">
        <w:rPr>
          <w:rFonts w:ascii="Arial" w:hAnsi="Arial" w:cs="Arial"/>
          <w:sz w:val="24"/>
          <w:szCs w:val="24"/>
        </w:rPr>
        <w:t xml:space="preserve"> o Gerente Técnico</w:t>
      </w:r>
      <w:r w:rsidRPr="00723B7E">
        <w:rPr>
          <w:rFonts w:ascii="Arial" w:hAnsi="Arial" w:cs="Arial"/>
          <w:sz w:val="24"/>
          <w:szCs w:val="24"/>
        </w:rPr>
        <w:t xml:space="preserve">. </w:t>
      </w:r>
    </w:p>
    <w:p w14:paraId="06DD13A4" w14:textId="77777777" w:rsidR="004B40A4" w:rsidRDefault="004B40A4" w:rsidP="00B03685">
      <w:pPr>
        <w:spacing w:after="0"/>
        <w:jc w:val="both"/>
        <w:rPr>
          <w:rFonts w:ascii="Arial" w:hAnsi="Arial" w:cs="Arial"/>
          <w:bCs/>
          <w:iCs/>
          <w:sz w:val="24"/>
          <w:szCs w:val="24"/>
        </w:rPr>
      </w:pPr>
    </w:p>
    <w:p w14:paraId="65F6D07C" w14:textId="148F6A32" w:rsidR="006B25C6" w:rsidRPr="00B03685" w:rsidRDefault="004B40A4" w:rsidP="003E028A">
      <w:pPr>
        <w:pStyle w:val="Ttulo3"/>
        <w:ind w:left="720" w:hanging="720"/>
        <w:jc w:val="center"/>
      </w:pPr>
      <w:bookmarkStart w:id="32" w:name="_Toc205496132"/>
      <w:bookmarkStart w:id="33" w:name="_Toc224844290"/>
      <w:bookmarkStart w:id="34" w:name="_Toc219397244"/>
      <w:r w:rsidRPr="00B03685">
        <w:t>CAPÍTULO IV</w:t>
      </w:r>
      <w:bookmarkEnd w:id="32"/>
      <w:bookmarkEnd w:id="33"/>
    </w:p>
    <w:p w14:paraId="6A473326" w14:textId="6A9EB79C" w:rsidR="004B40A4" w:rsidRPr="00A75167" w:rsidRDefault="004B40A4" w:rsidP="003E028A">
      <w:pPr>
        <w:pStyle w:val="Ttulo4"/>
        <w:ind w:left="864" w:hanging="864"/>
        <w:jc w:val="center"/>
      </w:pPr>
      <w:bookmarkStart w:id="35" w:name="_Toc224844291"/>
      <w:r w:rsidRPr="00B03685">
        <w:t>RECURSOS FINANCIEROS</w:t>
      </w:r>
      <w:bookmarkEnd w:id="34"/>
      <w:bookmarkEnd w:id="35"/>
    </w:p>
    <w:p w14:paraId="488217F7" w14:textId="77777777" w:rsidR="004B40A4" w:rsidRPr="00C63186" w:rsidRDefault="004B40A4" w:rsidP="008E39FD">
      <w:pPr>
        <w:tabs>
          <w:tab w:val="left" w:pos="4474"/>
        </w:tabs>
        <w:spacing w:after="0"/>
        <w:jc w:val="center"/>
        <w:rPr>
          <w:rFonts w:ascii="Arial" w:hAnsi="Arial" w:cs="Arial"/>
          <w:b/>
          <w:bCs/>
          <w:sz w:val="24"/>
          <w:szCs w:val="24"/>
        </w:rPr>
      </w:pPr>
    </w:p>
    <w:p w14:paraId="41DE2C6E" w14:textId="3A71ED9C" w:rsidR="004B40A4" w:rsidRPr="00A75167" w:rsidRDefault="005107FC" w:rsidP="003E028A">
      <w:pPr>
        <w:pStyle w:val="Ttulo5"/>
        <w:ind w:left="1008" w:hanging="1008"/>
      </w:pPr>
      <w:bookmarkStart w:id="36" w:name="_Toc205496133"/>
      <w:bookmarkStart w:id="37" w:name="_Toc219397245"/>
      <w:bookmarkStart w:id="38" w:name="_Toc224844292"/>
      <w:r w:rsidRPr="005107FC">
        <w:rPr>
          <w:bCs/>
        </w:rPr>
        <w:t>I-</w:t>
      </w:r>
      <w:r>
        <w:rPr>
          <w:bCs/>
        </w:rPr>
        <w:t xml:space="preserve"> </w:t>
      </w:r>
      <w:r w:rsidR="0084181C" w:rsidRPr="00B03685">
        <w:t xml:space="preserve">4.1 </w:t>
      </w:r>
      <w:r w:rsidR="004B40A4" w:rsidRPr="00B03685">
        <w:t>Recursos del FONENERGÍA</w:t>
      </w:r>
      <w:bookmarkEnd w:id="36"/>
      <w:bookmarkEnd w:id="37"/>
      <w:bookmarkEnd w:id="38"/>
    </w:p>
    <w:p w14:paraId="0BD5E204" w14:textId="77777777" w:rsidR="00812F8C" w:rsidRDefault="00812F8C" w:rsidP="008E39FD">
      <w:pPr>
        <w:tabs>
          <w:tab w:val="left" w:pos="4474"/>
        </w:tabs>
        <w:spacing w:after="0"/>
        <w:jc w:val="both"/>
        <w:rPr>
          <w:rFonts w:ascii="Arial" w:hAnsi="Arial" w:cs="Arial"/>
          <w:sz w:val="24"/>
          <w:szCs w:val="24"/>
        </w:rPr>
      </w:pPr>
    </w:p>
    <w:p w14:paraId="6371BF38" w14:textId="662A33B4" w:rsidR="004B40A4" w:rsidRPr="00C63186" w:rsidRDefault="004B40A4" w:rsidP="008E39FD">
      <w:pPr>
        <w:tabs>
          <w:tab w:val="left" w:pos="4474"/>
        </w:tabs>
        <w:spacing w:after="0"/>
        <w:jc w:val="both"/>
        <w:rPr>
          <w:rFonts w:ascii="Arial" w:hAnsi="Arial" w:cs="Arial"/>
          <w:sz w:val="24"/>
          <w:szCs w:val="24"/>
        </w:rPr>
      </w:pPr>
      <w:r w:rsidRPr="4622A9B7">
        <w:rPr>
          <w:rFonts w:ascii="Arial" w:hAnsi="Arial" w:cs="Arial"/>
          <w:sz w:val="24"/>
          <w:szCs w:val="24"/>
        </w:rPr>
        <w:lastRenderedPageBreak/>
        <w:t>Tal como lo dispone el artículo 247 de la Ley 2294 de 2023, son fuentes de financiación del Fondo Único de Soluciones Energéticas</w:t>
      </w:r>
      <w:r w:rsidR="00F23247">
        <w:rPr>
          <w:rFonts w:ascii="Arial" w:hAnsi="Arial" w:cs="Arial"/>
          <w:sz w:val="24"/>
          <w:szCs w:val="24"/>
        </w:rPr>
        <w:t xml:space="preserve"> - FONENERGÍA</w:t>
      </w:r>
      <w:r w:rsidRPr="4622A9B7">
        <w:rPr>
          <w:rFonts w:ascii="Arial" w:hAnsi="Arial" w:cs="Arial"/>
          <w:sz w:val="24"/>
          <w:szCs w:val="24"/>
        </w:rPr>
        <w:t xml:space="preserve">: </w:t>
      </w:r>
    </w:p>
    <w:p w14:paraId="1DC1A59B" w14:textId="77777777" w:rsidR="004B40A4" w:rsidRPr="00C63186" w:rsidRDefault="004B40A4" w:rsidP="008E39FD">
      <w:pPr>
        <w:tabs>
          <w:tab w:val="left" w:pos="4474"/>
        </w:tabs>
        <w:spacing w:after="0"/>
        <w:jc w:val="both"/>
        <w:rPr>
          <w:rFonts w:ascii="Arial" w:hAnsi="Arial" w:cs="Arial"/>
          <w:sz w:val="24"/>
          <w:szCs w:val="24"/>
        </w:rPr>
      </w:pPr>
    </w:p>
    <w:p w14:paraId="28FAF21E" w14:textId="17D6A52C" w:rsidR="004B40A4" w:rsidRPr="00C63186" w:rsidRDefault="004B40A4" w:rsidP="008E39FD">
      <w:pPr>
        <w:pStyle w:val="Prrafodelista"/>
        <w:tabs>
          <w:tab w:val="left" w:pos="4474"/>
        </w:tabs>
        <w:spacing w:after="0"/>
        <w:jc w:val="both"/>
        <w:rPr>
          <w:rFonts w:ascii="Arial" w:hAnsi="Arial" w:cs="Arial"/>
        </w:rPr>
      </w:pPr>
      <w:r w:rsidRPr="098F56B7">
        <w:rPr>
          <w:rFonts w:ascii="Arial" w:hAnsi="Arial" w:cs="Arial"/>
          <w:sz w:val="24"/>
          <w:szCs w:val="24"/>
        </w:rPr>
        <w:t>La cuota de fomento de que trata el artículo 15 de la Ley 401 de 1997 la cual corresponde al 3% sobre el valor de la tarifa</w:t>
      </w:r>
      <w:r w:rsidR="00386D97">
        <w:rPr>
          <w:rStyle w:val="Refdenotaalpie"/>
          <w:rFonts w:ascii="Arial" w:hAnsi="Arial" w:cs="Arial"/>
          <w:sz w:val="24"/>
          <w:szCs w:val="24"/>
        </w:rPr>
        <w:footnoteReference w:id="29"/>
      </w:r>
      <w:r w:rsidRPr="098F56B7">
        <w:rPr>
          <w:rFonts w:ascii="Arial" w:hAnsi="Arial" w:cs="Arial"/>
          <w:sz w:val="24"/>
          <w:szCs w:val="24"/>
        </w:rPr>
        <w:t xml:space="preserve"> que se cobre por el gas objeto del transporte efectivamente realizado</w:t>
      </w:r>
    </w:p>
    <w:p w14:paraId="3E273553" w14:textId="77777777" w:rsidR="004B40A4" w:rsidRPr="00C63186" w:rsidRDefault="004B40A4" w:rsidP="008E39FD">
      <w:pPr>
        <w:tabs>
          <w:tab w:val="left" w:pos="4474"/>
        </w:tabs>
        <w:spacing w:after="0"/>
        <w:jc w:val="both"/>
        <w:rPr>
          <w:rFonts w:ascii="Arial" w:hAnsi="Arial" w:cs="Arial"/>
          <w:sz w:val="24"/>
          <w:szCs w:val="24"/>
        </w:rPr>
      </w:pPr>
    </w:p>
    <w:p w14:paraId="0135957C" w14:textId="77777777" w:rsidR="004B40A4" w:rsidRPr="00C63186" w:rsidRDefault="004B40A4" w:rsidP="008E39FD">
      <w:pPr>
        <w:pStyle w:val="Prrafodelista"/>
        <w:tabs>
          <w:tab w:val="left" w:pos="4474"/>
        </w:tabs>
        <w:spacing w:after="0"/>
        <w:jc w:val="both"/>
        <w:rPr>
          <w:rFonts w:ascii="Arial" w:hAnsi="Arial" w:cs="Arial"/>
        </w:rPr>
      </w:pPr>
      <w:r w:rsidRPr="098F56B7">
        <w:rPr>
          <w:rFonts w:ascii="Arial" w:hAnsi="Arial" w:cs="Arial"/>
          <w:sz w:val="24"/>
          <w:szCs w:val="24"/>
        </w:rPr>
        <w:t>El aporte para el Programa de Normalización de Redes Eléctricas-PRONE creado por el artículo 63 de la Ley 812 de 2003, adicionado a $1 por kW/h transportado por el artículo 104 de la Ley 1450 de 2011 y posteriormente a $1,90 por kW/h transportado por el artículo 190 de la Ley 1753 de 2015.</w:t>
      </w:r>
    </w:p>
    <w:p w14:paraId="7FB471D6" w14:textId="77777777" w:rsidR="004B40A4" w:rsidRPr="00C63186" w:rsidRDefault="004B40A4" w:rsidP="008E39FD">
      <w:pPr>
        <w:tabs>
          <w:tab w:val="left" w:pos="4474"/>
        </w:tabs>
        <w:spacing w:after="0"/>
        <w:jc w:val="both"/>
        <w:rPr>
          <w:rFonts w:ascii="Arial" w:hAnsi="Arial" w:cs="Arial"/>
          <w:sz w:val="24"/>
          <w:szCs w:val="24"/>
        </w:rPr>
      </w:pPr>
    </w:p>
    <w:p w14:paraId="48801CFF" w14:textId="77777777" w:rsidR="004B40A4" w:rsidRPr="00C63186" w:rsidRDefault="004B40A4" w:rsidP="008E39FD">
      <w:pPr>
        <w:pStyle w:val="Prrafodelista"/>
        <w:tabs>
          <w:tab w:val="left" w:pos="4474"/>
        </w:tabs>
        <w:spacing w:after="0"/>
        <w:jc w:val="both"/>
        <w:rPr>
          <w:rFonts w:ascii="Arial" w:hAnsi="Arial" w:cs="Arial"/>
        </w:rPr>
      </w:pPr>
      <w:r w:rsidRPr="098F56B7">
        <w:rPr>
          <w:rFonts w:ascii="Arial" w:hAnsi="Arial" w:cs="Arial"/>
          <w:sz w:val="24"/>
          <w:szCs w:val="24"/>
        </w:rPr>
        <w:t xml:space="preserve">El aporte realizado por los agentes generadores de energía eléctrica para el Fondo de Apoyo Financiero para la Energización de las Zonas No Interconectadas – FAZNI creado por el artículo 81 de la Ley 633 de 2000, consistente en $1 por kW/h despachado en la Bolsa de Energía Mayorista, incrementado a $1,50 por kW/h despachado en Bolsa por el artículo 190 de la Ley 1753 de 2015. </w:t>
      </w:r>
    </w:p>
    <w:p w14:paraId="75E54A8F" w14:textId="77777777" w:rsidR="004B40A4" w:rsidRPr="00C63186" w:rsidRDefault="004B40A4" w:rsidP="008E39FD">
      <w:pPr>
        <w:tabs>
          <w:tab w:val="left" w:pos="4474"/>
        </w:tabs>
        <w:spacing w:after="0"/>
        <w:jc w:val="both"/>
        <w:rPr>
          <w:rFonts w:ascii="Arial" w:hAnsi="Arial" w:cs="Arial"/>
          <w:sz w:val="24"/>
          <w:szCs w:val="24"/>
        </w:rPr>
      </w:pPr>
    </w:p>
    <w:p w14:paraId="786A4DAD" w14:textId="77777777" w:rsidR="004B40A4" w:rsidRDefault="004B40A4" w:rsidP="008E39FD">
      <w:pPr>
        <w:pStyle w:val="Prrafodelista"/>
        <w:tabs>
          <w:tab w:val="left" w:pos="4474"/>
        </w:tabs>
        <w:spacing w:after="0"/>
        <w:jc w:val="both"/>
        <w:rPr>
          <w:rFonts w:ascii="Arial" w:eastAsia="Arial" w:hAnsi="Arial" w:cs="Arial"/>
        </w:rPr>
      </w:pPr>
      <w:r w:rsidRPr="098F56B7">
        <w:rPr>
          <w:rFonts w:ascii="Arial" w:eastAsia="Arial" w:hAnsi="Arial" w:cs="Arial"/>
          <w:sz w:val="24"/>
          <w:szCs w:val="24"/>
        </w:rPr>
        <w:t>El aporte efectuado por los dueños de los activos del Sistema Interconectado Nacional-STN con destino al Fondo de Apoyo Financiero para la Energización de las Zonas Rurales Interconectadas-FAER, creado por el artículo 105 de la Ley 788 de 2002, consistente en $1 por kW/h despachado en Bolsa de Energía, incrementado a $2,10 por kW/h transportado por el artículo 190 de la Ley 1753 de 2015.</w:t>
      </w:r>
    </w:p>
    <w:p w14:paraId="2132DE42" w14:textId="77777777" w:rsidR="004B40A4" w:rsidRDefault="004B40A4" w:rsidP="008E39FD">
      <w:pPr>
        <w:tabs>
          <w:tab w:val="left" w:pos="4474"/>
        </w:tabs>
        <w:spacing w:after="0"/>
        <w:jc w:val="both"/>
        <w:rPr>
          <w:rFonts w:ascii="Arial" w:eastAsia="Arial" w:hAnsi="Arial" w:cs="Arial"/>
          <w:sz w:val="24"/>
          <w:szCs w:val="24"/>
        </w:rPr>
      </w:pPr>
    </w:p>
    <w:p w14:paraId="37855FEC" w14:textId="77777777" w:rsidR="004B40A4" w:rsidRDefault="004B40A4" w:rsidP="008E39FD">
      <w:pPr>
        <w:pStyle w:val="Prrafodelista"/>
        <w:tabs>
          <w:tab w:val="left" w:pos="4474"/>
        </w:tabs>
        <w:spacing w:after="0"/>
        <w:jc w:val="both"/>
        <w:rPr>
          <w:rFonts w:ascii="Arial" w:hAnsi="Arial" w:cs="Arial"/>
        </w:rPr>
      </w:pPr>
      <w:r w:rsidRPr="098F56B7">
        <w:rPr>
          <w:rFonts w:ascii="Arial" w:hAnsi="Arial" w:cs="Arial"/>
          <w:sz w:val="24"/>
          <w:szCs w:val="24"/>
        </w:rPr>
        <w:t>Los aportes del Presupuesto General de la Nación y entidades descentralizadas del orden nacional, así como de las Entidades Territoriales.</w:t>
      </w:r>
    </w:p>
    <w:p w14:paraId="12BDA153" w14:textId="77777777" w:rsidR="004B40A4" w:rsidRDefault="004B40A4" w:rsidP="008E39FD">
      <w:pPr>
        <w:pStyle w:val="Prrafodelista"/>
        <w:tabs>
          <w:tab w:val="left" w:pos="4474"/>
        </w:tabs>
        <w:spacing w:after="0"/>
        <w:jc w:val="both"/>
        <w:rPr>
          <w:rFonts w:ascii="Arial" w:hAnsi="Arial" w:cs="Arial"/>
        </w:rPr>
      </w:pPr>
    </w:p>
    <w:p w14:paraId="0FE2B6A9" w14:textId="77777777" w:rsidR="004B40A4" w:rsidRDefault="004B40A4" w:rsidP="008E39FD">
      <w:pPr>
        <w:pStyle w:val="Prrafodelista"/>
        <w:tabs>
          <w:tab w:val="left" w:pos="4474"/>
        </w:tabs>
        <w:spacing w:after="0"/>
        <w:jc w:val="both"/>
        <w:rPr>
          <w:rFonts w:ascii="Arial" w:hAnsi="Arial" w:cs="Arial"/>
          <w:sz w:val="24"/>
          <w:szCs w:val="24"/>
        </w:rPr>
      </w:pPr>
      <w:r w:rsidRPr="00257B07">
        <w:rPr>
          <w:rFonts w:ascii="Arial" w:hAnsi="Arial" w:cs="Arial"/>
          <w:sz w:val="24"/>
          <w:szCs w:val="24"/>
        </w:rPr>
        <w:t>La financiación o cofinanciación que realicen las Empresas de Servicios Públicos Domiciliarios-ESP, como resultado de los acuerdos que suscriban con FONENERGIA.</w:t>
      </w:r>
    </w:p>
    <w:p w14:paraId="07862C24" w14:textId="77777777" w:rsidR="004B40A4" w:rsidRPr="00257B07" w:rsidRDefault="004B40A4" w:rsidP="008E39FD">
      <w:pPr>
        <w:pStyle w:val="Prrafodelista"/>
        <w:tabs>
          <w:tab w:val="left" w:pos="4474"/>
        </w:tabs>
        <w:spacing w:after="0"/>
        <w:jc w:val="both"/>
        <w:rPr>
          <w:rFonts w:ascii="Arial" w:hAnsi="Arial" w:cs="Arial"/>
          <w:sz w:val="24"/>
          <w:szCs w:val="24"/>
        </w:rPr>
      </w:pPr>
    </w:p>
    <w:p w14:paraId="41582424" w14:textId="77777777" w:rsidR="004B40A4" w:rsidRPr="00257B07" w:rsidRDefault="004B40A4" w:rsidP="008E39FD">
      <w:pPr>
        <w:pStyle w:val="Prrafodelista"/>
        <w:tabs>
          <w:tab w:val="left" w:pos="4474"/>
        </w:tabs>
        <w:spacing w:after="0"/>
        <w:jc w:val="both"/>
        <w:rPr>
          <w:rFonts w:ascii="Arial" w:hAnsi="Arial" w:cs="Arial"/>
          <w:sz w:val="24"/>
          <w:szCs w:val="24"/>
        </w:rPr>
      </w:pPr>
      <w:r w:rsidRPr="00257B07">
        <w:rPr>
          <w:rFonts w:ascii="Arial" w:hAnsi="Arial" w:cs="Arial"/>
          <w:sz w:val="24"/>
          <w:szCs w:val="24"/>
        </w:rPr>
        <w:t xml:space="preserve">Los que sean resultado de acuerdos de cooperación nacional o internacional. </w:t>
      </w:r>
    </w:p>
    <w:p w14:paraId="6D6F425B" w14:textId="77777777" w:rsidR="004B40A4" w:rsidRPr="00257B07" w:rsidRDefault="004B40A4" w:rsidP="008E39FD">
      <w:pPr>
        <w:pStyle w:val="Prrafodelista"/>
        <w:tabs>
          <w:tab w:val="left" w:pos="4474"/>
        </w:tabs>
        <w:spacing w:after="0"/>
        <w:jc w:val="both"/>
        <w:rPr>
          <w:rFonts w:ascii="Arial" w:hAnsi="Arial" w:cs="Arial"/>
          <w:sz w:val="24"/>
          <w:szCs w:val="24"/>
        </w:rPr>
      </w:pPr>
    </w:p>
    <w:p w14:paraId="60518F9F" w14:textId="46DD7417" w:rsidR="004B40A4" w:rsidRDefault="004B40A4" w:rsidP="008E39FD">
      <w:pPr>
        <w:pStyle w:val="Prrafodelista"/>
        <w:tabs>
          <w:tab w:val="left" w:pos="4474"/>
        </w:tabs>
        <w:spacing w:after="0"/>
        <w:jc w:val="both"/>
        <w:rPr>
          <w:rFonts w:ascii="Arial" w:hAnsi="Arial" w:cs="Arial"/>
          <w:sz w:val="24"/>
          <w:szCs w:val="24"/>
        </w:rPr>
      </w:pPr>
      <w:r w:rsidRPr="5D146CA7">
        <w:rPr>
          <w:rFonts w:ascii="Arial" w:hAnsi="Arial" w:cs="Arial"/>
          <w:sz w:val="24"/>
          <w:szCs w:val="24"/>
        </w:rPr>
        <w:t>Las donaciones de bienes o servicios que cumplan con las normas pertinentes sobre la materia</w:t>
      </w:r>
      <w:r w:rsidR="00812F8C">
        <w:rPr>
          <w:rFonts w:ascii="Arial" w:hAnsi="Arial" w:cs="Arial"/>
          <w:sz w:val="24"/>
          <w:szCs w:val="24"/>
        </w:rPr>
        <w:t>.</w:t>
      </w:r>
    </w:p>
    <w:p w14:paraId="33FFBCA0" w14:textId="77777777" w:rsidR="004B40A4" w:rsidRPr="00257B07" w:rsidRDefault="004B40A4" w:rsidP="008E39FD">
      <w:pPr>
        <w:pStyle w:val="Prrafodelista"/>
        <w:tabs>
          <w:tab w:val="left" w:pos="4474"/>
        </w:tabs>
        <w:spacing w:after="0"/>
        <w:jc w:val="both"/>
        <w:rPr>
          <w:rFonts w:ascii="Arial" w:hAnsi="Arial" w:cs="Arial"/>
          <w:sz w:val="24"/>
          <w:szCs w:val="24"/>
        </w:rPr>
      </w:pPr>
    </w:p>
    <w:p w14:paraId="74F4153F" w14:textId="77777777" w:rsidR="004B40A4" w:rsidRDefault="004B40A4" w:rsidP="008E39FD">
      <w:pPr>
        <w:pStyle w:val="Prrafodelista"/>
        <w:tabs>
          <w:tab w:val="left" w:pos="4474"/>
        </w:tabs>
        <w:spacing w:after="0"/>
        <w:jc w:val="both"/>
        <w:rPr>
          <w:rFonts w:ascii="Arial" w:hAnsi="Arial" w:cs="Arial"/>
          <w:sz w:val="24"/>
          <w:szCs w:val="24"/>
        </w:rPr>
      </w:pPr>
      <w:r w:rsidRPr="00257B07">
        <w:rPr>
          <w:rFonts w:ascii="Arial" w:hAnsi="Arial" w:cs="Arial"/>
          <w:sz w:val="24"/>
          <w:szCs w:val="24"/>
        </w:rPr>
        <w:t>Los intereses o rendimientos financieros que produzcan cada una de las subcuentas</w:t>
      </w:r>
    </w:p>
    <w:p w14:paraId="52E00AE5" w14:textId="77777777" w:rsidR="004B40A4" w:rsidRPr="00257B07" w:rsidRDefault="004B40A4" w:rsidP="008E39FD">
      <w:pPr>
        <w:pStyle w:val="Prrafodelista"/>
        <w:tabs>
          <w:tab w:val="left" w:pos="4474"/>
        </w:tabs>
        <w:spacing w:after="0"/>
        <w:jc w:val="both"/>
        <w:rPr>
          <w:rFonts w:ascii="Arial" w:hAnsi="Arial" w:cs="Arial"/>
          <w:sz w:val="24"/>
          <w:szCs w:val="24"/>
        </w:rPr>
      </w:pPr>
    </w:p>
    <w:p w14:paraId="780EDA84" w14:textId="77777777" w:rsidR="004B40A4" w:rsidRPr="00257B07" w:rsidRDefault="004B40A4" w:rsidP="008E39FD">
      <w:pPr>
        <w:pStyle w:val="Prrafodelista"/>
        <w:tabs>
          <w:tab w:val="left" w:pos="4474"/>
        </w:tabs>
        <w:spacing w:after="0"/>
        <w:jc w:val="both"/>
        <w:rPr>
          <w:rFonts w:ascii="Arial" w:hAnsi="Arial" w:cs="Arial"/>
          <w:sz w:val="24"/>
          <w:szCs w:val="24"/>
        </w:rPr>
      </w:pPr>
      <w:r w:rsidRPr="00257B07">
        <w:rPr>
          <w:rFonts w:ascii="Arial" w:hAnsi="Arial" w:cs="Arial"/>
          <w:sz w:val="24"/>
          <w:szCs w:val="24"/>
        </w:rPr>
        <w:t>Los demás recursos que se obtengan o asignen a cualquier título</w:t>
      </w:r>
    </w:p>
    <w:p w14:paraId="6CE1E64C" w14:textId="77777777" w:rsidR="004B40A4" w:rsidRDefault="004B40A4" w:rsidP="008E39FD">
      <w:pPr>
        <w:tabs>
          <w:tab w:val="left" w:pos="4474"/>
        </w:tabs>
        <w:spacing w:after="0"/>
        <w:jc w:val="both"/>
        <w:rPr>
          <w:rFonts w:ascii="Arial" w:hAnsi="Arial" w:cs="Arial"/>
          <w:b/>
          <w:bCs/>
        </w:rPr>
      </w:pPr>
    </w:p>
    <w:p w14:paraId="314CE4A0" w14:textId="77777777" w:rsidR="004B40A4" w:rsidRDefault="004B40A4" w:rsidP="008E39FD">
      <w:pPr>
        <w:tabs>
          <w:tab w:val="left" w:pos="4474"/>
        </w:tabs>
        <w:spacing w:after="0"/>
        <w:jc w:val="both"/>
        <w:rPr>
          <w:rFonts w:ascii="Arial" w:hAnsi="Arial" w:cs="Arial"/>
          <w:sz w:val="24"/>
          <w:szCs w:val="24"/>
        </w:rPr>
      </w:pPr>
      <w:r w:rsidRPr="098F56B7">
        <w:rPr>
          <w:rFonts w:ascii="Arial" w:hAnsi="Arial" w:cs="Arial"/>
          <w:b/>
          <w:bCs/>
        </w:rPr>
        <w:t xml:space="preserve">Nota Especial 1: </w:t>
      </w:r>
      <w:r w:rsidRPr="00257B07">
        <w:rPr>
          <w:rFonts w:ascii="Arial" w:hAnsi="Arial" w:cs="Arial"/>
        </w:rPr>
        <w:t xml:space="preserve">El </w:t>
      </w:r>
      <w:r w:rsidRPr="098F56B7">
        <w:rPr>
          <w:rFonts w:ascii="Arial" w:hAnsi="Arial" w:cs="Arial"/>
          <w:sz w:val="24"/>
          <w:szCs w:val="24"/>
        </w:rPr>
        <w:t xml:space="preserve">Administrador del Sistema de Intercambios Comerciales-ASIC, recaudará de los agentes generadores del mercado mayorista  de energía y de los dueños de los activos del Sistema de Transmisión Nacional-STN, los valores correspondientes, entregando las sumas recaudadas dentro de los tres (3) días siguientes a su recibo o dentro del corte mensual que se realice, en la subcuenta de </w:t>
      </w:r>
      <w:r w:rsidRPr="098F56B7">
        <w:rPr>
          <w:rFonts w:ascii="Arial" w:hAnsi="Arial" w:cs="Arial"/>
          <w:sz w:val="24"/>
          <w:szCs w:val="24"/>
        </w:rPr>
        <w:lastRenderedPageBreak/>
        <w:t>energía del FONENERGÍA y que para tal propósito se cree por la Dirección General de Crédito Público y Tesoro Nacional del Ministerio de Hacienda y Crédito Público.</w:t>
      </w:r>
    </w:p>
    <w:p w14:paraId="6DEBA111" w14:textId="77777777" w:rsidR="004B40A4" w:rsidRDefault="004B40A4" w:rsidP="008E39FD">
      <w:pPr>
        <w:tabs>
          <w:tab w:val="left" w:pos="4474"/>
        </w:tabs>
        <w:spacing w:after="0"/>
        <w:rPr>
          <w:rFonts w:ascii="Arial" w:hAnsi="Arial" w:cs="Arial"/>
          <w:b/>
          <w:bCs/>
        </w:rPr>
      </w:pPr>
    </w:p>
    <w:p w14:paraId="038F0C4E" w14:textId="280CF0C8" w:rsidR="004B40A4" w:rsidRPr="00257B07" w:rsidRDefault="004B40A4" w:rsidP="008E39FD">
      <w:pPr>
        <w:tabs>
          <w:tab w:val="left" w:pos="4474"/>
        </w:tabs>
        <w:spacing w:after="0"/>
        <w:jc w:val="both"/>
        <w:rPr>
          <w:rFonts w:ascii="Arial" w:hAnsi="Arial" w:cs="Arial"/>
          <w:sz w:val="24"/>
          <w:szCs w:val="24"/>
        </w:rPr>
      </w:pPr>
      <w:r w:rsidRPr="00257B07">
        <w:rPr>
          <w:rFonts w:ascii="Arial" w:hAnsi="Arial" w:cs="Arial"/>
          <w:sz w:val="24"/>
          <w:szCs w:val="24"/>
        </w:rPr>
        <w:t>Por su parte las empresas prestadoras del servicio público de transporte de gas natural por redes de tubería realizarán el respectivo recaudo, el cual consignarán mensualmente dentro de los primeros cinco (5) días del mes siguiente a aquel en que realizó el recaudo, en la subcuenta de gas que se cree por la Dirección General de Crédito Público y Tesoro Nacional del Ministerio de Hacienda y Crédito Público.</w:t>
      </w:r>
    </w:p>
    <w:p w14:paraId="21D7BB05" w14:textId="77777777" w:rsidR="004B40A4" w:rsidRDefault="004B40A4" w:rsidP="008E39FD">
      <w:pPr>
        <w:tabs>
          <w:tab w:val="left" w:pos="4474"/>
        </w:tabs>
        <w:spacing w:after="0"/>
        <w:rPr>
          <w:rFonts w:ascii="Arial" w:hAnsi="Arial" w:cs="Arial"/>
        </w:rPr>
      </w:pPr>
    </w:p>
    <w:p w14:paraId="6C2E6882" w14:textId="77777777" w:rsidR="004B40A4" w:rsidRPr="00257B07" w:rsidRDefault="004B40A4" w:rsidP="008E39FD">
      <w:pPr>
        <w:tabs>
          <w:tab w:val="left" w:pos="4474"/>
        </w:tabs>
        <w:spacing w:after="0"/>
        <w:jc w:val="both"/>
        <w:rPr>
          <w:rFonts w:ascii="Arial" w:hAnsi="Arial" w:cs="Arial"/>
          <w:sz w:val="24"/>
          <w:szCs w:val="24"/>
          <w:highlight w:val="yellow"/>
        </w:rPr>
      </w:pPr>
      <w:r w:rsidRPr="35A9FD5F">
        <w:rPr>
          <w:rFonts w:ascii="Arial" w:hAnsi="Arial" w:cs="Arial"/>
          <w:b/>
          <w:bCs/>
        </w:rPr>
        <w:t xml:space="preserve">Nota Especial 2: </w:t>
      </w:r>
      <w:r w:rsidRPr="35A9FD5F">
        <w:rPr>
          <w:rFonts w:ascii="Arial" w:hAnsi="Arial" w:cs="Arial"/>
        </w:rPr>
        <w:t xml:space="preserve"> Los </w:t>
      </w:r>
      <w:r w:rsidRPr="35A9FD5F">
        <w:rPr>
          <w:rFonts w:ascii="Arial" w:hAnsi="Arial" w:cs="Arial"/>
          <w:sz w:val="24"/>
          <w:szCs w:val="24"/>
        </w:rPr>
        <w:t>recaudos que realiza el Administrador del Sistema de Intercambios Comerciales – ASIC, conforme con la liquidación que realiza el Liquidador y Administrador de Cuentas-LAC, relacionados con los Fondos FAER, FAZNI y PRONE, en aplicación de lo dispuesto por el parágrafo 1º del artículo 190 de la Ley 1753 de 2015, se indexarán anualmente con el Índice de Precios al Productor (IPP), para lo cual se dará cumplimiento a las disposiciones regulatorias emanadas de la Comisión de Regulación de Energía y Gas - CREG.</w:t>
      </w:r>
    </w:p>
    <w:p w14:paraId="4B6C3E2F" w14:textId="77777777" w:rsidR="004B40A4" w:rsidRDefault="004B40A4" w:rsidP="008E39FD">
      <w:pPr>
        <w:tabs>
          <w:tab w:val="left" w:pos="4474"/>
        </w:tabs>
        <w:spacing w:after="0"/>
        <w:rPr>
          <w:rFonts w:ascii="Arial" w:hAnsi="Arial" w:cs="Arial"/>
        </w:rPr>
      </w:pPr>
    </w:p>
    <w:p w14:paraId="129A6DC3" w14:textId="77777777" w:rsidR="004B40A4" w:rsidRDefault="004B40A4" w:rsidP="008E39FD">
      <w:pPr>
        <w:tabs>
          <w:tab w:val="left" w:pos="4474"/>
        </w:tabs>
        <w:spacing w:after="0"/>
        <w:jc w:val="both"/>
        <w:rPr>
          <w:rFonts w:ascii="Arial" w:hAnsi="Arial" w:cs="Arial"/>
          <w:sz w:val="24"/>
          <w:szCs w:val="24"/>
        </w:rPr>
      </w:pPr>
      <w:r w:rsidRPr="00257B07">
        <w:rPr>
          <w:rFonts w:ascii="Arial" w:hAnsi="Arial" w:cs="Arial"/>
          <w:sz w:val="24"/>
          <w:szCs w:val="24"/>
        </w:rPr>
        <w:t>Estos recaudos continuarán vigentes por expresa disposición de la parte final del inciso 4 del artículo 247 de la Ley 2294 de 2023, teniendo en cuenta que los mismos fueron prorrogados hasta el 31 de diciembre del año 2030, por así disponerlo el artículo 21 de la Ley 1955 de 2019</w:t>
      </w:r>
    </w:p>
    <w:p w14:paraId="49719FC4" w14:textId="77777777" w:rsidR="004B40A4" w:rsidRDefault="004B40A4" w:rsidP="008E39FD">
      <w:pPr>
        <w:tabs>
          <w:tab w:val="left" w:pos="4474"/>
        </w:tabs>
        <w:spacing w:after="0"/>
        <w:jc w:val="both"/>
        <w:rPr>
          <w:rFonts w:ascii="Arial" w:hAnsi="Arial" w:cs="Arial"/>
          <w:sz w:val="24"/>
          <w:szCs w:val="24"/>
        </w:rPr>
      </w:pPr>
    </w:p>
    <w:p w14:paraId="0E974303" w14:textId="7463D5A2" w:rsidR="00812F8C" w:rsidRPr="00812F8C" w:rsidRDefault="00812F8C" w:rsidP="008E39FD">
      <w:pPr>
        <w:tabs>
          <w:tab w:val="left" w:pos="4474"/>
        </w:tabs>
        <w:spacing w:after="0"/>
        <w:jc w:val="both"/>
        <w:rPr>
          <w:rFonts w:ascii="Arial" w:hAnsi="Arial" w:cs="Arial"/>
          <w:b/>
          <w:bCs/>
          <w:sz w:val="24"/>
          <w:szCs w:val="24"/>
        </w:rPr>
      </w:pPr>
      <w:r w:rsidRPr="00812F8C">
        <w:rPr>
          <w:rFonts w:ascii="Arial" w:hAnsi="Arial" w:cs="Arial"/>
          <w:b/>
          <w:bCs/>
          <w:sz w:val="24"/>
          <w:szCs w:val="24"/>
        </w:rPr>
        <w:t xml:space="preserve">Nota Especial 3: </w:t>
      </w:r>
      <w:r w:rsidR="00371C64" w:rsidRPr="00371C64">
        <w:rPr>
          <w:rFonts w:ascii="Arial" w:hAnsi="Arial" w:cs="Arial"/>
          <w:sz w:val="24"/>
          <w:szCs w:val="24"/>
        </w:rPr>
        <w:t>En el evento en que se realicen modificaciones a los valores a recaudar</w:t>
      </w:r>
      <w:r w:rsidR="00371C64">
        <w:rPr>
          <w:rFonts w:ascii="Arial" w:hAnsi="Arial" w:cs="Arial"/>
          <w:sz w:val="24"/>
          <w:szCs w:val="24"/>
        </w:rPr>
        <w:t>, los mismos se aplicarán en la forma en que se establezca en la respectiva Ley.</w:t>
      </w:r>
    </w:p>
    <w:p w14:paraId="077EBA5A" w14:textId="77777777" w:rsidR="00812F8C" w:rsidRDefault="00812F8C" w:rsidP="008E39FD">
      <w:pPr>
        <w:tabs>
          <w:tab w:val="left" w:pos="4474"/>
        </w:tabs>
        <w:spacing w:after="0"/>
        <w:jc w:val="both"/>
        <w:rPr>
          <w:rFonts w:ascii="Arial" w:hAnsi="Arial" w:cs="Arial"/>
          <w:sz w:val="24"/>
          <w:szCs w:val="24"/>
        </w:rPr>
      </w:pPr>
    </w:p>
    <w:p w14:paraId="270AF873" w14:textId="1396FD8C" w:rsidR="004B40A4" w:rsidRDefault="005107FC" w:rsidP="003E028A">
      <w:pPr>
        <w:pStyle w:val="Ttulo5"/>
        <w:ind w:left="1008" w:hanging="1008"/>
      </w:pPr>
      <w:bookmarkStart w:id="39" w:name="_Toc205496134"/>
      <w:bookmarkStart w:id="40" w:name="_Toc219397246"/>
      <w:bookmarkStart w:id="41" w:name="_Toc224844293"/>
      <w:r>
        <w:rPr>
          <w:bCs/>
        </w:rPr>
        <w:t>I-</w:t>
      </w:r>
      <w:r w:rsidR="00286211" w:rsidRPr="00B03685">
        <w:t xml:space="preserve">4.2 </w:t>
      </w:r>
      <w:r w:rsidR="004B40A4" w:rsidRPr="00B03685">
        <w:t>Manejo de las subcuentas</w:t>
      </w:r>
      <w:bookmarkEnd w:id="39"/>
      <w:bookmarkEnd w:id="40"/>
      <w:bookmarkEnd w:id="41"/>
    </w:p>
    <w:p w14:paraId="5DACBF3F" w14:textId="77777777" w:rsidR="00284E9D" w:rsidRPr="00284E9D" w:rsidRDefault="00284E9D" w:rsidP="00371C64">
      <w:pPr>
        <w:spacing w:after="0"/>
      </w:pPr>
    </w:p>
    <w:p w14:paraId="2F89B5C3" w14:textId="6E969438" w:rsidR="004B40A4" w:rsidRPr="00C63186" w:rsidRDefault="004B40A4" w:rsidP="008E39FD">
      <w:pPr>
        <w:shd w:val="clear" w:color="auto" w:fill="FFFFFF" w:themeFill="background1"/>
        <w:spacing w:after="100" w:afterAutospacing="1"/>
        <w:jc w:val="both"/>
        <w:rPr>
          <w:rFonts w:ascii="Arial" w:hAnsi="Arial" w:cs="Arial"/>
          <w:sz w:val="24"/>
          <w:szCs w:val="24"/>
        </w:rPr>
      </w:pPr>
      <w:r w:rsidRPr="1A65CE1C">
        <w:rPr>
          <w:rFonts w:ascii="Arial" w:hAnsi="Arial" w:cs="Arial"/>
          <w:sz w:val="24"/>
          <w:szCs w:val="24"/>
        </w:rPr>
        <w:t xml:space="preserve">El artículo 247 de la Ley 2294 de 2023, modificatorio del artículo 41 de la Ley 2099 de 2021, estableció la obligatoriedad de constituir, para el manejo de los recursos inicialmente aportados a FONENERGÍA, las Subcuentas de i) energía eléctrica y ii) gas combustible, las cuales se deben utilizar exclusivamente en los asuntos propios de cada una de ellas aplicando las disposiciones contenidas en el Capítulo 2 del Decreto </w:t>
      </w:r>
      <w:r w:rsidRPr="00871C72">
        <w:rPr>
          <w:rFonts w:ascii="Arial" w:hAnsi="Arial" w:cs="Arial"/>
          <w:sz w:val="24"/>
          <w:szCs w:val="24"/>
          <w:highlight w:val="cyan"/>
        </w:rPr>
        <w:t>XXX</w:t>
      </w:r>
      <w:r w:rsidRPr="1A65CE1C">
        <w:rPr>
          <w:rFonts w:ascii="Arial" w:hAnsi="Arial" w:cs="Arial"/>
          <w:sz w:val="24"/>
          <w:szCs w:val="24"/>
        </w:rPr>
        <w:t xml:space="preserve"> de 202</w:t>
      </w:r>
      <w:r w:rsidR="00371C64">
        <w:rPr>
          <w:rFonts w:ascii="Arial" w:hAnsi="Arial" w:cs="Arial"/>
          <w:sz w:val="24"/>
          <w:szCs w:val="24"/>
        </w:rPr>
        <w:t>6</w:t>
      </w:r>
      <w:r w:rsidRPr="1A65CE1C">
        <w:rPr>
          <w:rFonts w:ascii="Arial" w:hAnsi="Arial" w:cs="Arial"/>
          <w:sz w:val="24"/>
          <w:szCs w:val="24"/>
        </w:rPr>
        <w:t>.</w:t>
      </w:r>
    </w:p>
    <w:p w14:paraId="510EB628" w14:textId="77777777" w:rsidR="004B40A4" w:rsidRPr="00C63186" w:rsidRDefault="004B40A4" w:rsidP="008E39FD">
      <w:pPr>
        <w:shd w:val="clear" w:color="auto" w:fill="FFFFFF" w:themeFill="background1"/>
        <w:spacing w:before="100" w:beforeAutospacing="1" w:after="100" w:afterAutospacing="1"/>
        <w:jc w:val="both"/>
        <w:rPr>
          <w:rFonts w:ascii="Arial" w:hAnsi="Arial" w:cs="Arial"/>
          <w:sz w:val="24"/>
          <w:szCs w:val="24"/>
        </w:rPr>
      </w:pPr>
      <w:r w:rsidRPr="5D146CA7">
        <w:rPr>
          <w:rFonts w:ascii="Arial" w:hAnsi="Arial" w:cs="Arial"/>
          <w:sz w:val="24"/>
          <w:szCs w:val="24"/>
        </w:rPr>
        <w:t>Estas subcuentas y aquellas otras que llegaren a requerirse, se crearán atendiendo el procedimiento establecido por la Dirección General de Crédito Público y Tesoro Nacional del Ministerio de Hacienda y Crédito Público.</w:t>
      </w:r>
    </w:p>
    <w:p w14:paraId="3C6EFED6" w14:textId="14C1816F" w:rsidR="004B40A4" w:rsidRPr="00A75167" w:rsidRDefault="005107FC" w:rsidP="003E028A">
      <w:pPr>
        <w:pStyle w:val="Ttulo5"/>
        <w:ind w:left="1008" w:hanging="1008"/>
        <w:rPr>
          <w:lang w:eastAsia="es-CO"/>
        </w:rPr>
      </w:pPr>
      <w:bookmarkStart w:id="42" w:name="_Toc205496135"/>
      <w:bookmarkStart w:id="43" w:name="_Toc219397247"/>
      <w:bookmarkStart w:id="44" w:name="_Toc224844294"/>
      <w:r>
        <w:rPr>
          <w:bCs/>
          <w:lang w:eastAsia="es-CO"/>
        </w:rPr>
        <w:t>I-</w:t>
      </w:r>
      <w:r w:rsidR="00582899" w:rsidRPr="00B03685">
        <w:rPr>
          <w:lang w:eastAsia="es-CO"/>
        </w:rPr>
        <w:t xml:space="preserve">4.3 </w:t>
      </w:r>
      <w:r w:rsidR="004B40A4" w:rsidRPr="00B03685">
        <w:rPr>
          <w:lang w:eastAsia="es-CO"/>
        </w:rPr>
        <w:t>Disponibilidad de recursos</w:t>
      </w:r>
      <w:bookmarkEnd w:id="42"/>
      <w:bookmarkEnd w:id="43"/>
      <w:bookmarkEnd w:id="44"/>
    </w:p>
    <w:p w14:paraId="09333D93" w14:textId="31F3137E" w:rsidR="004B40A4" w:rsidRPr="00C63186" w:rsidRDefault="004B40A4" w:rsidP="008E39FD">
      <w:pPr>
        <w:shd w:val="clear" w:color="auto" w:fill="FFFFFF" w:themeFill="background1"/>
        <w:spacing w:before="100" w:beforeAutospacing="1" w:after="100" w:afterAutospacing="1"/>
        <w:jc w:val="both"/>
        <w:rPr>
          <w:rFonts w:ascii="Arial" w:hAnsi="Arial" w:cs="Arial"/>
          <w:sz w:val="24"/>
          <w:szCs w:val="24"/>
        </w:rPr>
      </w:pPr>
      <w:r w:rsidRPr="5D146CA7">
        <w:rPr>
          <w:rFonts w:ascii="Arial" w:eastAsia="Times New Roman" w:hAnsi="Arial" w:cs="Arial"/>
          <w:sz w:val="24"/>
          <w:szCs w:val="24"/>
          <w:lang w:eastAsia="es-CO"/>
        </w:rPr>
        <w:t xml:space="preserve">La disponibilidad de recursos de la Nación </w:t>
      </w:r>
      <w:r w:rsidRPr="5D146CA7">
        <w:rPr>
          <w:rFonts w:ascii="Arial" w:hAnsi="Arial" w:cs="Arial"/>
          <w:sz w:val="24"/>
          <w:szCs w:val="24"/>
        </w:rPr>
        <w:t>para atender su ejecución en el gasto</w:t>
      </w:r>
      <w:r w:rsidRPr="5D146CA7">
        <w:rPr>
          <w:rFonts w:ascii="Arial" w:hAnsi="Arial" w:cs="Arial"/>
          <w:b/>
          <w:bCs/>
          <w:sz w:val="24"/>
          <w:szCs w:val="24"/>
        </w:rPr>
        <w:t xml:space="preserve"> </w:t>
      </w:r>
      <w:r w:rsidRPr="5D146CA7">
        <w:rPr>
          <w:rFonts w:ascii="Arial" w:hAnsi="Arial" w:cs="Arial"/>
          <w:sz w:val="24"/>
          <w:szCs w:val="24"/>
        </w:rPr>
        <w:t>estará sujeto a la apropiación asignada</w:t>
      </w:r>
      <w:r w:rsidR="20FD8E12" w:rsidRPr="5D146CA7">
        <w:rPr>
          <w:rFonts w:ascii="Arial" w:hAnsi="Arial" w:cs="Arial"/>
          <w:sz w:val="24"/>
          <w:szCs w:val="24"/>
        </w:rPr>
        <w:t xml:space="preserve"> o trasladada</w:t>
      </w:r>
      <w:r w:rsidRPr="5D146CA7">
        <w:rPr>
          <w:rFonts w:ascii="Arial" w:hAnsi="Arial" w:cs="Arial"/>
          <w:sz w:val="24"/>
          <w:szCs w:val="24"/>
        </w:rPr>
        <w:t xml:space="preserve"> en el presupuesto del Ministerio de Minas y Energía; y los pagos respectivos estarán </w:t>
      </w:r>
      <w:r w:rsidR="00371C64">
        <w:rPr>
          <w:rFonts w:ascii="Arial" w:hAnsi="Arial" w:cs="Arial"/>
          <w:sz w:val="24"/>
          <w:szCs w:val="24"/>
        </w:rPr>
        <w:t>acordes</w:t>
      </w:r>
      <w:r w:rsidRPr="5D146CA7">
        <w:rPr>
          <w:rFonts w:ascii="Arial" w:hAnsi="Arial" w:cs="Arial"/>
          <w:sz w:val="24"/>
          <w:szCs w:val="24"/>
        </w:rPr>
        <w:t xml:space="preserve"> a la programación y aprobación del Programa Anual Mensualizado de Caja - PAC y a la situación efectiva de los recursos por parte de la Dirección General de Crédito Público y Tesoro Nacional del Ministerio de Hacienda y Crédito Público; a su vez, se deberá tener en cuenta que la solicitud de recursos PAC se genera cuando se hayan recibido los bienes y/o servicios o se tengan cumplidos los requisitos que hagan exigible su pago según el cumplimiento de las Leyes 38 de 1989, 179 de 1994, 225 de 1995, 819 de 2003, 1473 de 2011, 1508 de 2012, 2342 </w:t>
      </w:r>
      <w:r w:rsidRPr="5D146CA7">
        <w:rPr>
          <w:rFonts w:ascii="Arial" w:hAnsi="Arial" w:cs="Arial"/>
          <w:sz w:val="24"/>
          <w:szCs w:val="24"/>
        </w:rPr>
        <w:lastRenderedPageBreak/>
        <w:t xml:space="preserve">de 2023 y subsiguientes que sean emitidas en el marco del Presupuesto General de la Nación y la administración de la Cuenta Única Nacional. </w:t>
      </w:r>
    </w:p>
    <w:p w14:paraId="0DCDDE1D" w14:textId="365D76FE" w:rsidR="004B40A4" w:rsidRPr="00A75167" w:rsidRDefault="005107FC" w:rsidP="003E028A">
      <w:pPr>
        <w:pStyle w:val="Ttulo5"/>
        <w:ind w:left="1008" w:hanging="1008"/>
        <w:rPr>
          <w:lang w:eastAsia="es-CO"/>
        </w:rPr>
      </w:pPr>
      <w:bookmarkStart w:id="45" w:name="_Toc205496136"/>
      <w:bookmarkStart w:id="46" w:name="_Toc219397248"/>
      <w:bookmarkStart w:id="47" w:name="_Toc224844295"/>
      <w:r>
        <w:rPr>
          <w:bCs/>
          <w:lang w:eastAsia="es-CO"/>
        </w:rPr>
        <w:t>I-</w:t>
      </w:r>
      <w:r w:rsidR="006F3836" w:rsidRPr="00B03685">
        <w:rPr>
          <w:lang w:eastAsia="es-CO"/>
        </w:rPr>
        <w:t xml:space="preserve">4.4 </w:t>
      </w:r>
      <w:r w:rsidR="004B40A4" w:rsidRPr="00B03685">
        <w:rPr>
          <w:lang w:eastAsia="es-CO"/>
        </w:rPr>
        <w:t>Reintegro de rendimientos financieros</w:t>
      </w:r>
      <w:bookmarkEnd w:id="45"/>
      <w:bookmarkEnd w:id="46"/>
      <w:bookmarkEnd w:id="47"/>
    </w:p>
    <w:p w14:paraId="2DCEAA5F" w14:textId="4C0F7E61" w:rsidR="004B40A4" w:rsidRPr="00C63186" w:rsidRDefault="004B40A4" w:rsidP="008E39FD">
      <w:pPr>
        <w:shd w:val="clear" w:color="auto" w:fill="FFFFFF"/>
        <w:spacing w:before="100" w:beforeAutospacing="1" w:after="100" w:afterAutospacing="1"/>
        <w:jc w:val="both"/>
        <w:rPr>
          <w:rFonts w:ascii="Arial" w:eastAsia="Times New Roman" w:hAnsi="Arial" w:cs="Arial"/>
          <w:sz w:val="24"/>
          <w:szCs w:val="24"/>
          <w:lang w:eastAsia="es-CO"/>
        </w:rPr>
      </w:pPr>
      <w:r w:rsidRPr="35A9FD5F">
        <w:rPr>
          <w:rFonts w:ascii="Arial" w:eastAsia="Times New Roman" w:hAnsi="Arial" w:cs="Arial"/>
          <w:sz w:val="24"/>
          <w:szCs w:val="24"/>
          <w:lang w:eastAsia="es-CO"/>
        </w:rPr>
        <w:t xml:space="preserve">Atendiendo la definición establecida el artículo 2.3.5.2. del Decreto Único Reglamentario del Sector Hacienda, 1853 de 2015 </w:t>
      </w:r>
      <w:r w:rsidRPr="35A9FD5F">
        <w:rPr>
          <w:rFonts w:ascii="Arial" w:eastAsia="Times New Roman" w:hAnsi="Arial" w:cs="Arial"/>
          <w:lang w:eastAsia="es-CO"/>
        </w:rPr>
        <w:t>“</w:t>
      </w:r>
      <w:r w:rsidRPr="35A9FD5F">
        <w:rPr>
          <w:rFonts w:ascii="Arial" w:eastAsia="Times New Roman" w:hAnsi="Arial" w:cs="Arial"/>
          <w:i/>
          <w:iCs/>
          <w:lang w:eastAsia="es-CO"/>
        </w:rPr>
        <w:t>se considera rendimiento financiero, cualquier recurso que exceda el capital originado en recursos de la Nación, producto de la gestión, manejo e inversión en los instrumentos autorizados según sea el régimen de inversión aplicable</w:t>
      </w:r>
      <w:r w:rsidRPr="35A9FD5F">
        <w:rPr>
          <w:rFonts w:ascii="Arial" w:eastAsia="Times New Roman" w:hAnsi="Arial" w:cs="Arial"/>
          <w:lang w:eastAsia="es-CO"/>
        </w:rPr>
        <w:t>”</w:t>
      </w:r>
      <w:r w:rsidRPr="35A9FD5F">
        <w:rPr>
          <w:rFonts w:ascii="Arial" w:eastAsia="Times New Roman" w:hAnsi="Arial" w:cs="Arial"/>
          <w:sz w:val="24"/>
          <w:szCs w:val="24"/>
          <w:lang w:eastAsia="es-CO"/>
        </w:rPr>
        <w:t>, los cuales deberán aplicar la metodología descrita para la liquidación en el artículo 2.3.5.3. del</w:t>
      </w:r>
      <w:r w:rsidR="00371C64">
        <w:rPr>
          <w:rFonts w:ascii="Arial" w:eastAsia="Times New Roman" w:hAnsi="Arial" w:cs="Arial"/>
          <w:sz w:val="24"/>
          <w:szCs w:val="24"/>
          <w:lang w:eastAsia="es-CO"/>
        </w:rPr>
        <w:t xml:space="preserve"> citado</w:t>
      </w:r>
      <w:r w:rsidRPr="35A9FD5F">
        <w:rPr>
          <w:rFonts w:ascii="Arial" w:eastAsia="Times New Roman" w:hAnsi="Arial" w:cs="Arial"/>
          <w:sz w:val="24"/>
          <w:szCs w:val="24"/>
          <w:lang w:eastAsia="es-CO"/>
        </w:rPr>
        <w:t xml:space="preserve"> Decreto</w:t>
      </w:r>
      <w:r w:rsidR="00371C64">
        <w:rPr>
          <w:rFonts w:ascii="Arial" w:eastAsia="Times New Roman" w:hAnsi="Arial" w:cs="Arial"/>
          <w:sz w:val="24"/>
          <w:szCs w:val="24"/>
          <w:lang w:eastAsia="es-CO"/>
        </w:rPr>
        <w:t xml:space="preserve"> </w:t>
      </w:r>
      <w:r w:rsidRPr="35A9FD5F">
        <w:rPr>
          <w:rFonts w:ascii="Arial" w:eastAsia="Times New Roman" w:hAnsi="Arial" w:cs="Arial"/>
          <w:sz w:val="24"/>
          <w:szCs w:val="24"/>
          <w:lang w:eastAsia="es-CO"/>
        </w:rPr>
        <w:t xml:space="preserve">y </w:t>
      </w:r>
      <w:r w:rsidR="00371C64">
        <w:rPr>
          <w:rFonts w:ascii="Arial" w:eastAsia="Times New Roman" w:hAnsi="Arial" w:cs="Arial"/>
          <w:sz w:val="24"/>
          <w:szCs w:val="24"/>
          <w:lang w:eastAsia="es-CO"/>
        </w:rPr>
        <w:t>artículos</w:t>
      </w:r>
      <w:r w:rsidR="007810E4">
        <w:rPr>
          <w:rFonts w:ascii="Arial" w:eastAsia="Times New Roman" w:hAnsi="Arial" w:cs="Arial"/>
          <w:sz w:val="24"/>
          <w:szCs w:val="24"/>
          <w:lang w:eastAsia="es-CO"/>
        </w:rPr>
        <w:t xml:space="preserve"> subsiguiente</w:t>
      </w:r>
      <w:r w:rsidR="00371C64">
        <w:rPr>
          <w:rFonts w:ascii="Arial" w:eastAsia="Times New Roman" w:hAnsi="Arial" w:cs="Arial"/>
          <w:sz w:val="24"/>
          <w:szCs w:val="24"/>
          <w:lang w:eastAsia="es-CO"/>
        </w:rPr>
        <w:t>s.</w:t>
      </w:r>
      <w:r w:rsidR="007810E4">
        <w:rPr>
          <w:rFonts w:ascii="Arial" w:eastAsia="Times New Roman" w:hAnsi="Arial" w:cs="Arial"/>
          <w:sz w:val="24"/>
          <w:szCs w:val="24"/>
          <w:lang w:eastAsia="es-CO"/>
        </w:rPr>
        <w:t xml:space="preserve"> </w:t>
      </w:r>
      <w:r w:rsidR="00371C64">
        <w:rPr>
          <w:rFonts w:ascii="Arial" w:eastAsia="Times New Roman" w:hAnsi="Arial" w:cs="Arial"/>
          <w:sz w:val="24"/>
          <w:szCs w:val="24"/>
          <w:lang w:eastAsia="es-CO"/>
        </w:rPr>
        <w:t>A</w:t>
      </w:r>
      <w:r w:rsidRPr="35A9FD5F">
        <w:rPr>
          <w:rFonts w:ascii="Arial" w:eastAsia="Times New Roman" w:hAnsi="Arial" w:cs="Arial"/>
          <w:sz w:val="24"/>
          <w:szCs w:val="24"/>
          <w:lang w:eastAsia="es-CO"/>
        </w:rPr>
        <w:t>l cierre de cada mes o cesación de las obligaciones contraídas se deberán reintegrar los rendimientos financieros de acuerdo con el procedimiento definido por el Ministerio de Hacienda y Crédito Público.</w:t>
      </w:r>
    </w:p>
    <w:p w14:paraId="6C6ABBF3" w14:textId="77777777" w:rsidR="004B40A4" w:rsidRPr="00C63186" w:rsidRDefault="004B40A4" w:rsidP="008E39FD">
      <w:pPr>
        <w:shd w:val="clear" w:color="auto" w:fill="FFFFFF" w:themeFill="background1"/>
        <w:spacing w:before="100" w:beforeAutospacing="1" w:after="100" w:afterAutospacing="1"/>
        <w:jc w:val="both"/>
        <w:rPr>
          <w:rFonts w:ascii="Arial" w:hAnsi="Arial" w:cs="Arial"/>
          <w:sz w:val="24"/>
          <w:szCs w:val="24"/>
        </w:rPr>
      </w:pPr>
      <w:r w:rsidRPr="00C63186">
        <w:rPr>
          <w:rFonts w:ascii="Arial" w:hAnsi="Arial" w:cs="Arial"/>
          <w:sz w:val="24"/>
          <w:szCs w:val="24"/>
        </w:rPr>
        <w:t>No obstante, debe tenerse presente que el artículo 41 de la Ley 2099 de 2021, modificado por el artículo 247 de la Ley 2294 de 2023, dispone:</w:t>
      </w:r>
    </w:p>
    <w:p w14:paraId="55B95761" w14:textId="77777777" w:rsidR="004B40A4" w:rsidRPr="00C63186" w:rsidRDefault="004B40A4" w:rsidP="008E39FD">
      <w:pPr>
        <w:shd w:val="clear" w:color="auto" w:fill="FFFFFF"/>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Los recursos del Fondo Único de Soluciones Energéticas - FONENERGÍA estarán constituidos por:</w:t>
      </w:r>
    </w:p>
    <w:p w14:paraId="425A190D" w14:textId="77777777" w:rsidR="004B40A4" w:rsidRPr="00C63186" w:rsidRDefault="004B40A4" w:rsidP="008E39FD">
      <w:pPr>
        <w:shd w:val="clear" w:color="auto" w:fill="FFFFFF"/>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w:t>
      </w:r>
    </w:p>
    <w:p w14:paraId="157FE862" w14:textId="77777777" w:rsidR="004B40A4" w:rsidRPr="00C63186" w:rsidRDefault="004B40A4" w:rsidP="008E39FD">
      <w:pPr>
        <w:shd w:val="clear" w:color="auto" w:fill="FFFFFF" w:themeFill="background1"/>
        <w:spacing w:before="100" w:beforeAutospacing="1" w:after="100" w:afterAutospacing="1"/>
        <w:ind w:left="567"/>
        <w:jc w:val="both"/>
        <w:rPr>
          <w:rFonts w:ascii="Arial" w:hAnsi="Arial" w:cs="Arial"/>
        </w:rPr>
      </w:pPr>
      <w:r w:rsidRPr="098F56B7">
        <w:rPr>
          <w:rFonts w:ascii="Arial" w:eastAsia="Times New Roman" w:hAnsi="Arial" w:cs="Arial"/>
          <w:i/>
          <w:iCs/>
          <w:lang w:eastAsia="es-CO"/>
        </w:rPr>
        <w:t>vii) los intereses y rendimientos financieros que produzcan cada una de las subcuentas, que pertenecerán a cada una de ellas, sin perjuicio de los costos de administración que correspondan a cada subcuenta;</w:t>
      </w:r>
    </w:p>
    <w:p w14:paraId="6702B737" w14:textId="4F374FDE" w:rsidR="004B40A4" w:rsidRPr="00C151B9" w:rsidRDefault="004B40A4" w:rsidP="008E39FD">
      <w:pPr>
        <w:shd w:val="clear" w:color="auto" w:fill="FFFFFF" w:themeFill="background1"/>
        <w:spacing w:beforeAutospacing="1" w:afterAutospacing="1"/>
        <w:jc w:val="both"/>
        <w:rPr>
          <w:rFonts w:ascii="Arial" w:eastAsia="Times New Roman" w:hAnsi="Arial" w:cs="Arial"/>
          <w:sz w:val="24"/>
          <w:szCs w:val="24"/>
          <w:lang w:eastAsia="es-CO"/>
        </w:rPr>
      </w:pPr>
      <w:r w:rsidRPr="5D146CA7">
        <w:rPr>
          <w:rFonts w:ascii="Arial" w:eastAsia="Times New Roman" w:hAnsi="Arial" w:cs="Arial"/>
          <w:sz w:val="24"/>
          <w:szCs w:val="24"/>
          <w:lang w:eastAsia="es-CO"/>
        </w:rPr>
        <w:t>Así las cosas, los rendimientos financieros producidos por los recursos de cada subcuenta pertenecen a las mismas, no requiriéndose el reintegro al Tesoro Nacional</w:t>
      </w:r>
      <w:r w:rsidR="74968D32" w:rsidRPr="5D146CA7">
        <w:rPr>
          <w:rFonts w:ascii="Arial" w:eastAsia="Times New Roman" w:hAnsi="Arial" w:cs="Arial"/>
          <w:sz w:val="24"/>
          <w:szCs w:val="24"/>
          <w:lang w:eastAsia="es-CO"/>
        </w:rPr>
        <w:t>, y deben considerarse un ingreso para cada una de las sub</w:t>
      </w:r>
      <w:r w:rsidR="00371C64">
        <w:rPr>
          <w:rFonts w:ascii="Arial" w:eastAsia="Times New Roman" w:hAnsi="Arial" w:cs="Arial"/>
          <w:sz w:val="24"/>
          <w:szCs w:val="24"/>
          <w:lang w:eastAsia="es-CO"/>
        </w:rPr>
        <w:t>cuentas</w:t>
      </w:r>
      <w:r w:rsidR="74968D32" w:rsidRPr="5D146CA7">
        <w:rPr>
          <w:rFonts w:ascii="Arial" w:eastAsia="Times New Roman" w:hAnsi="Arial" w:cs="Arial"/>
          <w:sz w:val="24"/>
          <w:szCs w:val="24"/>
          <w:lang w:eastAsia="es-CO"/>
        </w:rPr>
        <w:t>.</w:t>
      </w:r>
      <w:r w:rsidRPr="5D146CA7">
        <w:rPr>
          <w:rFonts w:ascii="Arial" w:eastAsia="Times New Roman" w:hAnsi="Arial" w:cs="Arial"/>
          <w:sz w:val="24"/>
          <w:szCs w:val="24"/>
          <w:lang w:eastAsia="es-CO"/>
        </w:rPr>
        <w:t xml:space="preserve"> </w:t>
      </w:r>
    </w:p>
    <w:p w14:paraId="6E3B9AFC" w14:textId="41117D25" w:rsidR="004B40A4" w:rsidRDefault="005107FC" w:rsidP="003E028A">
      <w:pPr>
        <w:pStyle w:val="Ttulo5"/>
        <w:ind w:left="1008" w:hanging="1008"/>
        <w:rPr>
          <w:lang w:eastAsia="es-CO"/>
        </w:rPr>
      </w:pPr>
      <w:bookmarkStart w:id="48" w:name="_Toc205496137"/>
      <w:bookmarkStart w:id="49" w:name="_Toc219397249"/>
      <w:bookmarkStart w:id="50" w:name="_Toc224844296"/>
      <w:r>
        <w:rPr>
          <w:bCs/>
          <w:lang w:eastAsia="es-CO"/>
        </w:rPr>
        <w:t>I-</w:t>
      </w:r>
      <w:r w:rsidR="008D2BAD" w:rsidRPr="00B03685">
        <w:rPr>
          <w:lang w:eastAsia="es-CO"/>
        </w:rPr>
        <w:t xml:space="preserve">4.5 </w:t>
      </w:r>
      <w:r w:rsidR="004B40A4" w:rsidRPr="00B03685">
        <w:rPr>
          <w:lang w:eastAsia="es-CO"/>
        </w:rPr>
        <w:t>Reintegro de recursos no ejecutados</w:t>
      </w:r>
      <w:bookmarkEnd w:id="48"/>
      <w:bookmarkEnd w:id="49"/>
      <w:bookmarkEnd w:id="50"/>
    </w:p>
    <w:p w14:paraId="4EB23BF3" w14:textId="77777777" w:rsidR="00371C64" w:rsidRPr="00371C64" w:rsidRDefault="00371C64" w:rsidP="003D65D8">
      <w:pPr>
        <w:spacing w:after="0"/>
        <w:rPr>
          <w:lang w:eastAsia="es-CO"/>
        </w:rPr>
      </w:pPr>
    </w:p>
    <w:p w14:paraId="76A8F3E9" w14:textId="17534542" w:rsidR="004B40A4" w:rsidRPr="00C63186" w:rsidRDefault="004B40A4" w:rsidP="008E39FD">
      <w:pPr>
        <w:shd w:val="clear" w:color="auto" w:fill="FFFFFF" w:themeFill="background1"/>
        <w:spacing w:afterAutospacing="1"/>
        <w:jc w:val="both"/>
        <w:rPr>
          <w:rFonts w:ascii="Arial" w:eastAsia="Times New Roman" w:hAnsi="Arial" w:cs="Arial"/>
          <w:sz w:val="24"/>
          <w:szCs w:val="24"/>
          <w:lang w:eastAsia="es-CO"/>
        </w:rPr>
      </w:pPr>
      <w:r w:rsidRPr="5D146CA7">
        <w:rPr>
          <w:rFonts w:ascii="Arial" w:eastAsia="Times New Roman" w:hAnsi="Arial" w:cs="Arial"/>
          <w:sz w:val="24"/>
          <w:szCs w:val="24"/>
          <w:lang w:eastAsia="es-CO"/>
        </w:rPr>
        <w:t xml:space="preserve">Los recursos no ejecutados o sobrantes de los contratos suscritos por el FONENERGIA se deben reintegrar a las </w:t>
      </w:r>
      <w:r w:rsidR="66300E10" w:rsidRPr="5D146CA7">
        <w:rPr>
          <w:rFonts w:ascii="Arial" w:eastAsia="Times New Roman" w:hAnsi="Arial" w:cs="Arial"/>
          <w:sz w:val="24"/>
          <w:szCs w:val="24"/>
          <w:lang w:eastAsia="es-CO"/>
        </w:rPr>
        <w:t xml:space="preserve">sub </w:t>
      </w:r>
      <w:r w:rsidRPr="5D146CA7">
        <w:rPr>
          <w:rFonts w:ascii="Arial" w:eastAsia="Times New Roman" w:hAnsi="Arial" w:cs="Arial"/>
          <w:sz w:val="24"/>
          <w:szCs w:val="24"/>
          <w:lang w:eastAsia="es-CO"/>
        </w:rPr>
        <w:t xml:space="preserve">cuentas conforme a las instrucciones dadas por el Grupo de Tesorería de la Subdirección Administrativa y Financiera del Ministerio de Minas y Energía o aquel que lo sustituya, de acuerdo con los procedimientos </w:t>
      </w:r>
      <w:r w:rsidR="003D65D8">
        <w:rPr>
          <w:rFonts w:ascii="Arial" w:eastAsia="Times New Roman" w:hAnsi="Arial" w:cs="Arial"/>
          <w:sz w:val="24"/>
          <w:szCs w:val="24"/>
          <w:lang w:eastAsia="es-CO"/>
        </w:rPr>
        <w:t>establecidos por</w:t>
      </w:r>
      <w:r w:rsidRPr="5D146CA7">
        <w:rPr>
          <w:rFonts w:ascii="Arial" w:eastAsia="Times New Roman" w:hAnsi="Arial" w:cs="Arial"/>
          <w:sz w:val="24"/>
          <w:szCs w:val="24"/>
          <w:lang w:eastAsia="es-CO"/>
        </w:rPr>
        <w:t xml:space="preserve"> la Dirección General de Crédito Público y Tesoro Nacional – DGCPTN.</w:t>
      </w:r>
    </w:p>
    <w:p w14:paraId="4AA22FC0" w14:textId="6CC8C8D8" w:rsidR="004B40A4" w:rsidRPr="003D65D8" w:rsidRDefault="005107FC" w:rsidP="003E028A">
      <w:pPr>
        <w:pStyle w:val="Ttulo5"/>
        <w:ind w:left="1008" w:hanging="1008"/>
        <w:rPr>
          <w:highlight w:val="yellow"/>
        </w:rPr>
      </w:pPr>
      <w:bookmarkStart w:id="51" w:name="_Toc205496138"/>
      <w:bookmarkStart w:id="52" w:name="_Toc219397250"/>
      <w:bookmarkStart w:id="53" w:name="_Toc224844297"/>
      <w:r w:rsidRPr="003D65D8">
        <w:rPr>
          <w:bCs/>
          <w:highlight w:val="yellow"/>
        </w:rPr>
        <w:t>I-</w:t>
      </w:r>
      <w:r w:rsidR="00B20C24" w:rsidRPr="003D65D8">
        <w:rPr>
          <w:highlight w:val="yellow"/>
        </w:rPr>
        <w:t>4.</w:t>
      </w:r>
      <w:r w:rsidR="008D2BAD" w:rsidRPr="003D65D8">
        <w:rPr>
          <w:bCs/>
          <w:highlight w:val="yellow"/>
        </w:rPr>
        <w:t>6</w:t>
      </w:r>
      <w:r w:rsidR="00B20C24" w:rsidRPr="003D65D8">
        <w:rPr>
          <w:highlight w:val="yellow"/>
        </w:rPr>
        <w:t xml:space="preserve"> </w:t>
      </w:r>
      <w:r w:rsidR="004B40A4" w:rsidRPr="003D65D8">
        <w:rPr>
          <w:highlight w:val="yellow"/>
        </w:rPr>
        <w:t>Reportes e informe de saldos en encargos fiduciarios</w:t>
      </w:r>
      <w:r w:rsidR="19761027" w:rsidRPr="003D65D8">
        <w:rPr>
          <w:highlight w:val="yellow"/>
        </w:rPr>
        <w:t>.</w:t>
      </w:r>
      <w:bookmarkEnd w:id="51"/>
      <w:bookmarkEnd w:id="52"/>
      <w:bookmarkEnd w:id="53"/>
    </w:p>
    <w:p w14:paraId="4B0EA733" w14:textId="5BF82784" w:rsidR="004B40A4" w:rsidRPr="00C63186" w:rsidRDefault="00CF4F29" w:rsidP="008E39FD">
      <w:pPr>
        <w:shd w:val="clear" w:color="auto" w:fill="FFFFFF" w:themeFill="background1"/>
        <w:spacing w:before="100" w:beforeAutospacing="1" w:after="100" w:afterAutospacing="1"/>
        <w:jc w:val="both"/>
        <w:rPr>
          <w:rFonts w:ascii="Arial" w:hAnsi="Arial" w:cs="Arial"/>
          <w:sz w:val="24"/>
          <w:szCs w:val="24"/>
        </w:rPr>
      </w:pPr>
      <w:r w:rsidRPr="003D65D8">
        <w:rPr>
          <w:rFonts w:ascii="Arial" w:hAnsi="Arial" w:cs="Arial"/>
          <w:sz w:val="24"/>
          <w:szCs w:val="24"/>
          <w:highlight w:val="yellow"/>
        </w:rPr>
        <w:t>En aquellos contratos en los cuales se establezca la constitución de encargos fiduciarios, e</w:t>
      </w:r>
      <w:r w:rsidR="004B40A4" w:rsidRPr="003D65D8">
        <w:rPr>
          <w:rFonts w:ascii="Arial" w:hAnsi="Arial" w:cs="Arial"/>
          <w:sz w:val="24"/>
          <w:szCs w:val="24"/>
          <w:highlight w:val="yellow"/>
        </w:rPr>
        <w:t>n la gestión contractual que adelante FONENERGÍA</w:t>
      </w:r>
      <w:r w:rsidR="00363D1E" w:rsidRPr="003D65D8">
        <w:rPr>
          <w:rFonts w:ascii="Arial" w:hAnsi="Arial" w:cs="Arial"/>
          <w:sz w:val="24"/>
          <w:szCs w:val="24"/>
          <w:highlight w:val="yellow"/>
        </w:rPr>
        <w:t xml:space="preserve">, </w:t>
      </w:r>
      <w:r w:rsidR="004B40A4" w:rsidRPr="003D65D8">
        <w:rPr>
          <w:rFonts w:ascii="Arial" w:hAnsi="Arial" w:cs="Arial"/>
          <w:sz w:val="24"/>
          <w:szCs w:val="24"/>
          <w:highlight w:val="yellow"/>
        </w:rPr>
        <w:t>para la ejecución de planes, programas y/o proyectos propios de su objeto, se deberá establecer la obligatoriedad del reporte mensual al Supervisor o Interventor</w:t>
      </w:r>
      <w:r w:rsidR="004852EC" w:rsidRPr="003D65D8">
        <w:rPr>
          <w:rFonts w:ascii="Arial" w:hAnsi="Arial" w:cs="Arial"/>
          <w:sz w:val="24"/>
          <w:szCs w:val="24"/>
          <w:highlight w:val="yellow"/>
        </w:rPr>
        <w:t xml:space="preserve"> </w:t>
      </w:r>
      <w:r w:rsidR="006016FB" w:rsidRPr="003D65D8">
        <w:rPr>
          <w:rFonts w:ascii="Arial" w:hAnsi="Arial" w:cs="Arial"/>
          <w:sz w:val="24"/>
          <w:szCs w:val="24"/>
          <w:highlight w:val="yellow"/>
        </w:rPr>
        <w:t>-</w:t>
      </w:r>
      <w:r w:rsidR="004852EC" w:rsidRPr="003D65D8">
        <w:rPr>
          <w:rFonts w:ascii="Arial" w:hAnsi="Arial" w:cs="Arial"/>
          <w:sz w:val="24"/>
          <w:szCs w:val="24"/>
          <w:highlight w:val="yellow"/>
        </w:rPr>
        <w:t>cuando para el respectivo contrato se haya previsto la interventoría</w:t>
      </w:r>
      <w:r w:rsidR="006016FB" w:rsidRPr="003D65D8">
        <w:rPr>
          <w:rFonts w:ascii="Arial" w:hAnsi="Arial" w:cs="Arial"/>
          <w:sz w:val="24"/>
          <w:szCs w:val="24"/>
          <w:highlight w:val="yellow"/>
        </w:rPr>
        <w:t xml:space="preserve">- </w:t>
      </w:r>
      <w:r w:rsidR="004B40A4" w:rsidRPr="003D65D8">
        <w:rPr>
          <w:rFonts w:ascii="Arial" w:hAnsi="Arial" w:cs="Arial"/>
          <w:sz w:val="24"/>
          <w:szCs w:val="24"/>
          <w:highlight w:val="yellow"/>
        </w:rPr>
        <w:t>del respectivo contrato, de los saldos en cuenta que a título de encargo fiduciario haya suscrito el correspondiente contratista, copia de cuyo reporte se deberá remitir al Grupo de Contabilidad y Grupo de Tesorería de la Subdirección Administrativa y Financiera del Ministerio de Minas y Energía o quien haga sus veces, en cumplimiento del correspondiente seguimiento financiero.</w:t>
      </w:r>
    </w:p>
    <w:p w14:paraId="5612610D" w14:textId="1483BEFE" w:rsidR="004B40A4" w:rsidRDefault="005107FC" w:rsidP="003E028A">
      <w:pPr>
        <w:pStyle w:val="Ttulo5"/>
        <w:ind w:left="1008" w:hanging="1008"/>
        <w:rPr>
          <w:lang w:eastAsia="es-CO"/>
        </w:rPr>
      </w:pPr>
      <w:bookmarkStart w:id="54" w:name="_Toc205496139"/>
      <w:bookmarkStart w:id="55" w:name="_Toc219397251"/>
      <w:bookmarkStart w:id="56" w:name="_Toc224844298"/>
      <w:r>
        <w:rPr>
          <w:bCs/>
          <w:lang w:eastAsia="es-CO"/>
        </w:rPr>
        <w:lastRenderedPageBreak/>
        <w:t>I-</w:t>
      </w:r>
      <w:r w:rsidR="008D2BAD" w:rsidRPr="00B03685">
        <w:rPr>
          <w:lang w:eastAsia="es-CO"/>
        </w:rPr>
        <w:t xml:space="preserve">4.7 </w:t>
      </w:r>
      <w:r w:rsidR="004B40A4" w:rsidRPr="00B03685">
        <w:rPr>
          <w:lang w:eastAsia="es-CO"/>
        </w:rPr>
        <w:t>Destinación de los recursos</w:t>
      </w:r>
      <w:bookmarkEnd w:id="54"/>
      <w:bookmarkEnd w:id="55"/>
      <w:bookmarkEnd w:id="56"/>
    </w:p>
    <w:p w14:paraId="4D99F3C0" w14:textId="77777777" w:rsidR="003D65D8" w:rsidRPr="003D65D8" w:rsidRDefault="003D65D8" w:rsidP="003D65D8">
      <w:pPr>
        <w:spacing w:after="0"/>
        <w:rPr>
          <w:lang w:eastAsia="es-CO"/>
        </w:rPr>
      </w:pPr>
    </w:p>
    <w:p w14:paraId="4328E9D1" w14:textId="4754C706" w:rsidR="001E2179" w:rsidRDefault="001E2179" w:rsidP="008E39FD">
      <w:pPr>
        <w:tabs>
          <w:tab w:val="left" w:pos="4474"/>
        </w:tabs>
        <w:spacing w:after="0"/>
        <w:jc w:val="both"/>
        <w:rPr>
          <w:rFonts w:ascii="Arial" w:hAnsi="Arial" w:cs="Arial"/>
          <w:sz w:val="24"/>
          <w:szCs w:val="24"/>
        </w:rPr>
      </w:pPr>
      <w:r>
        <w:rPr>
          <w:rFonts w:ascii="Arial" w:hAnsi="Arial" w:cs="Arial"/>
          <w:sz w:val="24"/>
          <w:szCs w:val="24"/>
        </w:rPr>
        <w:t xml:space="preserve">Los recursos de FONENERGÍA podrán utilizarse para atender los objetos de que tratan los numerales </w:t>
      </w:r>
      <w:r w:rsidR="00422FFD">
        <w:rPr>
          <w:rFonts w:ascii="Arial" w:hAnsi="Arial" w:cs="Arial"/>
          <w:sz w:val="24"/>
          <w:szCs w:val="24"/>
        </w:rPr>
        <w:t xml:space="preserve">II-1.1 </w:t>
      </w:r>
      <w:r>
        <w:rPr>
          <w:rFonts w:ascii="Arial" w:hAnsi="Arial" w:cs="Arial"/>
          <w:sz w:val="24"/>
          <w:szCs w:val="24"/>
        </w:rPr>
        <w:t>y III-2.2 del presente Manual.</w:t>
      </w:r>
    </w:p>
    <w:p w14:paraId="59EEE805" w14:textId="6F3C8C95" w:rsidR="004B40A4" w:rsidRPr="00C63186" w:rsidRDefault="004B40A4" w:rsidP="008E39FD">
      <w:pPr>
        <w:shd w:val="clear" w:color="auto" w:fill="FFFFFF" w:themeFill="background1"/>
        <w:spacing w:before="100" w:beforeAutospacing="1" w:after="100" w:afterAutospacing="1"/>
        <w:jc w:val="both"/>
        <w:rPr>
          <w:rFonts w:ascii="Arial" w:hAnsi="Arial" w:cs="Arial"/>
          <w:sz w:val="24"/>
          <w:szCs w:val="24"/>
        </w:rPr>
      </w:pPr>
      <w:r w:rsidRPr="72E81C08">
        <w:rPr>
          <w:rFonts w:ascii="Arial" w:hAnsi="Arial" w:cs="Arial"/>
          <w:b/>
          <w:bCs/>
          <w:sz w:val="24"/>
          <w:szCs w:val="24"/>
        </w:rPr>
        <w:t xml:space="preserve">Nota Especial </w:t>
      </w:r>
      <w:r w:rsidR="003D65D8">
        <w:rPr>
          <w:rFonts w:ascii="Arial" w:hAnsi="Arial" w:cs="Arial"/>
          <w:b/>
          <w:bCs/>
          <w:sz w:val="24"/>
          <w:szCs w:val="24"/>
        </w:rPr>
        <w:t>5</w:t>
      </w:r>
      <w:r w:rsidRPr="72E81C08">
        <w:rPr>
          <w:rFonts w:ascii="Arial" w:hAnsi="Arial" w:cs="Arial"/>
          <w:b/>
          <w:bCs/>
          <w:sz w:val="24"/>
          <w:szCs w:val="24"/>
        </w:rPr>
        <w:t xml:space="preserve">: </w:t>
      </w:r>
      <w:r w:rsidRPr="72E81C08">
        <w:rPr>
          <w:rFonts w:ascii="Arial" w:hAnsi="Arial" w:cs="Arial"/>
          <w:sz w:val="24"/>
          <w:szCs w:val="24"/>
        </w:rPr>
        <w:t xml:space="preserve">Los bienes y servicios que sean sufragados con los recursos correspondientes a costos de administración sólo se podrán destinar al cumplimiento de actividades directamente relacionadas con la ejecución, supervisión y seguimiento de los planes, programas y proyectos a ser financiados. </w:t>
      </w:r>
    </w:p>
    <w:p w14:paraId="0D9C8E2F" w14:textId="2541FF29" w:rsidR="004B40A4" w:rsidRPr="00AA2487" w:rsidRDefault="004B40A4" w:rsidP="008E39FD">
      <w:pPr>
        <w:shd w:val="clear" w:color="auto" w:fill="FFFFFF" w:themeFill="background1"/>
        <w:spacing w:beforeAutospacing="1" w:afterAutospacing="1"/>
        <w:jc w:val="both"/>
        <w:rPr>
          <w:rFonts w:ascii="Arial" w:hAnsi="Arial" w:cs="Arial"/>
          <w:sz w:val="24"/>
          <w:szCs w:val="24"/>
        </w:rPr>
      </w:pPr>
      <w:r w:rsidRPr="098F56B7">
        <w:rPr>
          <w:rFonts w:ascii="Arial" w:hAnsi="Arial" w:cs="Arial"/>
          <w:b/>
          <w:bCs/>
          <w:sz w:val="24"/>
          <w:szCs w:val="24"/>
        </w:rPr>
        <w:t xml:space="preserve">Nota Especial </w:t>
      </w:r>
      <w:r w:rsidR="00AD1194">
        <w:rPr>
          <w:rFonts w:ascii="Arial" w:hAnsi="Arial" w:cs="Arial"/>
          <w:b/>
          <w:bCs/>
          <w:sz w:val="24"/>
          <w:szCs w:val="24"/>
        </w:rPr>
        <w:t>6</w:t>
      </w:r>
      <w:r w:rsidRPr="098F56B7">
        <w:rPr>
          <w:rFonts w:ascii="Arial" w:hAnsi="Arial" w:cs="Arial"/>
          <w:b/>
          <w:bCs/>
          <w:sz w:val="24"/>
          <w:szCs w:val="24"/>
        </w:rPr>
        <w:t xml:space="preserve">: </w:t>
      </w:r>
      <w:r w:rsidRPr="098F56B7">
        <w:rPr>
          <w:rFonts w:ascii="Arial" w:hAnsi="Arial" w:cs="Arial"/>
          <w:sz w:val="24"/>
          <w:szCs w:val="24"/>
        </w:rPr>
        <w:t xml:space="preserve">No se podrán asumir con recursos de FONENERGÍA las modificaciones estructurales de los proyectos, resultado de la actividad de replanteo, que no hubieran sido contemplados en la etapa de estructuración, así como tampoco las obras civiles requeridas para las redes internas </w:t>
      </w:r>
      <w:r w:rsidRPr="00D95569">
        <w:rPr>
          <w:rFonts w:ascii="Arial" w:hAnsi="Arial" w:cs="Arial"/>
          <w:sz w:val="24"/>
          <w:szCs w:val="24"/>
        </w:rPr>
        <w:t>(</w:t>
      </w:r>
      <w:r w:rsidRPr="00C151B9">
        <w:rPr>
          <w:rFonts w:ascii="Arial" w:hAnsi="Arial" w:cs="Arial"/>
          <w:sz w:val="24"/>
          <w:szCs w:val="24"/>
        </w:rPr>
        <w:t>empotradas</w:t>
      </w:r>
      <w:r w:rsidRPr="00D95569">
        <w:rPr>
          <w:rFonts w:ascii="Arial" w:hAnsi="Arial" w:cs="Arial"/>
          <w:sz w:val="24"/>
          <w:szCs w:val="24"/>
        </w:rPr>
        <w:t>).</w:t>
      </w:r>
    </w:p>
    <w:p w14:paraId="4A075B4B" w14:textId="6E11A133" w:rsidR="004B40A4" w:rsidRPr="00A75167" w:rsidRDefault="008873FF" w:rsidP="003E028A">
      <w:pPr>
        <w:pStyle w:val="Ttulo6"/>
        <w:ind w:left="1152" w:hanging="1152"/>
      </w:pPr>
      <w:bookmarkStart w:id="57" w:name="_Toc205496140"/>
      <w:bookmarkStart w:id="58" w:name="_Toc219397252"/>
      <w:r>
        <w:rPr>
          <w:bCs/>
        </w:rPr>
        <w:t>I-</w:t>
      </w:r>
      <w:r w:rsidR="00437B97" w:rsidRPr="00B03685">
        <w:t xml:space="preserve">4.7.1 </w:t>
      </w:r>
      <w:r w:rsidR="004B40A4" w:rsidRPr="00B03685">
        <w:t>Esquemas empresariales.</w:t>
      </w:r>
      <w:bookmarkEnd w:id="57"/>
      <w:bookmarkEnd w:id="58"/>
    </w:p>
    <w:p w14:paraId="17462B42" w14:textId="1D0AAE8C" w:rsidR="004B40A4" w:rsidRPr="00C63186" w:rsidRDefault="004B40A4" w:rsidP="008E39FD">
      <w:pPr>
        <w:shd w:val="clear" w:color="auto" w:fill="FFFFFF" w:themeFill="background1"/>
        <w:spacing w:before="100" w:beforeAutospacing="1" w:after="100" w:afterAutospacing="1"/>
        <w:jc w:val="both"/>
        <w:rPr>
          <w:rFonts w:ascii="Arial" w:hAnsi="Arial" w:cs="Arial"/>
          <w:sz w:val="24"/>
          <w:szCs w:val="24"/>
        </w:rPr>
      </w:pPr>
      <w:r w:rsidRPr="5D146CA7">
        <w:rPr>
          <w:rFonts w:ascii="Arial" w:hAnsi="Arial" w:cs="Arial"/>
          <w:sz w:val="24"/>
          <w:szCs w:val="24"/>
        </w:rPr>
        <w:t>FONENERGÍA podrá aportar recursos para asegurar el cierre financiero de esquemas empresariales que se estructuren en ejercicio de sus funciones, incluyendo ASEs y Comunidades Energéticas</w:t>
      </w:r>
      <w:r w:rsidR="009C5E5F">
        <w:rPr>
          <w:rFonts w:ascii="Arial" w:hAnsi="Arial" w:cs="Arial"/>
          <w:sz w:val="24"/>
          <w:szCs w:val="24"/>
        </w:rPr>
        <w:t>.</w:t>
      </w:r>
    </w:p>
    <w:p w14:paraId="79F642BD" w14:textId="21199DD3" w:rsidR="004B40A4" w:rsidRPr="00C63186" w:rsidRDefault="004B40A4" w:rsidP="008E39FD">
      <w:pPr>
        <w:shd w:val="clear" w:color="auto" w:fill="FFFFFF" w:themeFill="background1"/>
        <w:spacing w:before="100" w:beforeAutospacing="1" w:after="100" w:afterAutospacing="1"/>
        <w:jc w:val="both"/>
        <w:rPr>
          <w:rFonts w:ascii="Arial" w:hAnsi="Arial" w:cs="Arial"/>
          <w:sz w:val="24"/>
          <w:szCs w:val="24"/>
        </w:rPr>
      </w:pPr>
      <w:r w:rsidRPr="5D146CA7">
        <w:rPr>
          <w:rFonts w:ascii="Arial" w:hAnsi="Arial" w:cs="Arial"/>
          <w:sz w:val="24"/>
          <w:szCs w:val="24"/>
        </w:rPr>
        <w:t>A través de tales esquemas, FONENERGÍA también podrá financiar o cofinanciar programas y proyectos de inversión en nueva infraestructura eléctrica, de reposición, rehabilitación y/o modernización de la existente, así como en gas combustible por redes de tubería</w:t>
      </w:r>
      <w:r w:rsidR="007A2BF0">
        <w:rPr>
          <w:rFonts w:ascii="Arial" w:hAnsi="Arial" w:cs="Arial"/>
          <w:sz w:val="24"/>
          <w:szCs w:val="24"/>
        </w:rPr>
        <w:t xml:space="preserve">. </w:t>
      </w:r>
      <w:r w:rsidR="007A2BF0" w:rsidRPr="007A2BF0">
        <w:rPr>
          <w:rFonts w:ascii="Arial" w:hAnsi="Arial" w:cs="Arial"/>
          <w:sz w:val="24"/>
          <w:szCs w:val="24"/>
        </w:rPr>
        <w:t>Dichos proyectos podrán estructurarse bajo esquemas que permitan la participación de capital privado, de conformidad con las disposiciones legales aplicables</w:t>
      </w:r>
      <w:r w:rsidRPr="5D146CA7" w:rsidDel="007A2BF0">
        <w:rPr>
          <w:rFonts w:ascii="Arial" w:hAnsi="Arial" w:cs="Arial"/>
          <w:sz w:val="24"/>
          <w:szCs w:val="24"/>
        </w:rPr>
        <w:t>.</w:t>
      </w:r>
      <w:bookmarkStart w:id="59" w:name="2.2.3.3.2.2.3.7"/>
      <w:bookmarkEnd w:id="59"/>
    </w:p>
    <w:p w14:paraId="532061B4" w14:textId="43200026" w:rsidR="004B40A4" w:rsidRPr="00586398" w:rsidRDefault="008873FF" w:rsidP="003E028A">
      <w:pPr>
        <w:pStyle w:val="Ttulo6"/>
        <w:ind w:left="1152" w:hanging="1152"/>
        <w:rPr>
          <w:rFonts w:ascii="Work Sans" w:eastAsia="Times New Roman" w:hAnsi="Work Sans" w:cs="Times New Roman"/>
          <w:sz w:val="25"/>
          <w:szCs w:val="25"/>
          <w:highlight w:val="yellow"/>
          <w:lang w:eastAsia="es-CO"/>
        </w:rPr>
      </w:pPr>
      <w:bookmarkStart w:id="60" w:name="_Toc205496143"/>
      <w:bookmarkStart w:id="61" w:name="_Toc219397255"/>
      <w:r w:rsidRPr="00586398">
        <w:rPr>
          <w:bCs/>
          <w:highlight w:val="yellow"/>
        </w:rPr>
        <w:t>I-</w:t>
      </w:r>
      <w:r w:rsidR="001A6D8E" w:rsidRPr="00586398">
        <w:rPr>
          <w:highlight w:val="yellow"/>
        </w:rPr>
        <w:t>4.7.</w:t>
      </w:r>
      <w:r w:rsidR="00586398">
        <w:rPr>
          <w:highlight w:val="yellow"/>
        </w:rPr>
        <w:t>2</w:t>
      </w:r>
      <w:r w:rsidR="001A6D8E" w:rsidRPr="00586398">
        <w:rPr>
          <w:highlight w:val="yellow"/>
        </w:rPr>
        <w:t xml:space="preserve"> </w:t>
      </w:r>
      <w:r w:rsidR="004B40A4" w:rsidRPr="00586398">
        <w:rPr>
          <w:highlight w:val="yellow"/>
        </w:rPr>
        <w:t>Costos de Preinversión</w:t>
      </w:r>
      <w:r w:rsidR="004B40A4" w:rsidRPr="00586398">
        <w:rPr>
          <w:rFonts w:ascii="Work Sans" w:eastAsia="Times New Roman" w:hAnsi="Work Sans" w:cs="Times New Roman"/>
          <w:sz w:val="25"/>
          <w:szCs w:val="25"/>
          <w:highlight w:val="yellow"/>
          <w:lang w:eastAsia="es-CO"/>
        </w:rPr>
        <w:t>.</w:t>
      </w:r>
      <w:bookmarkEnd w:id="60"/>
      <w:r w:rsidR="004B40A4" w:rsidRPr="00586398">
        <w:rPr>
          <w:rFonts w:ascii="Work Sans" w:eastAsia="Times New Roman" w:hAnsi="Work Sans" w:cs="Times New Roman"/>
          <w:sz w:val="25"/>
          <w:szCs w:val="25"/>
          <w:highlight w:val="yellow"/>
          <w:lang w:eastAsia="es-CO"/>
        </w:rPr>
        <w:t> </w:t>
      </w:r>
      <w:bookmarkEnd w:id="61"/>
    </w:p>
    <w:p w14:paraId="7046D24E" w14:textId="3EAE9E5E" w:rsidR="004B40A4" w:rsidRPr="00586398" w:rsidRDefault="004B40A4" w:rsidP="008E39FD">
      <w:pPr>
        <w:shd w:val="clear" w:color="auto" w:fill="FFFFFF" w:themeFill="background1"/>
        <w:spacing w:before="100" w:beforeAutospacing="1" w:after="100" w:afterAutospacing="1"/>
        <w:jc w:val="both"/>
        <w:rPr>
          <w:rFonts w:ascii="Arial" w:eastAsia="Times New Roman" w:hAnsi="Arial" w:cs="Arial"/>
          <w:sz w:val="24"/>
          <w:szCs w:val="24"/>
          <w:highlight w:val="yellow"/>
          <w:lang w:eastAsia="es-CO"/>
        </w:rPr>
      </w:pPr>
      <w:r w:rsidRPr="00586398">
        <w:rPr>
          <w:rFonts w:ascii="Arial" w:eastAsia="Times New Roman" w:hAnsi="Arial" w:cs="Arial"/>
          <w:sz w:val="24"/>
          <w:szCs w:val="24"/>
          <w:highlight w:val="yellow"/>
          <w:lang w:eastAsia="es-CO"/>
        </w:rPr>
        <w:t>Los costos de preinversión (estudios y diseños) en que hubiesen incurrido l</w:t>
      </w:r>
      <w:r w:rsidR="0070490D" w:rsidRPr="00586398">
        <w:rPr>
          <w:rFonts w:ascii="Arial" w:eastAsia="Times New Roman" w:hAnsi="Arial" w:cs="Arial"/>
          <w:sz w:val="24"/>
          <w:szCs w:val="24"/>
          <w:highlight w:val="yellow"/>
          <w:lang w:eastAsia="es-CO"/>
        </w:rPr>
        <w:t>o</w:t>
      </w:r>
      <w:r w:rsidRPr="00586398">
        <w:rPr>
          <w:rFonts w:ascii="Arial" w:eastAsia="Times New Roman" w:hAnsi="Arial" w:cs="Arial"/>
          <w:sz w:val="24"/>
          <w:szCs w:val="24"/>
          <w:highlight w:val="yellow"/>
          <w:lang w:eastAsia="es-CO"/>
        </w:rPr>
        <w:t>s</w:t>
      </w:r>
      <w:r w:rsidRPr="00586398" w:rsidDel="0070490D">
        <w:rPr>
          <w:rFonts w:ascii="Arial" w:eastAsia="Times New Roman" w:hAnsi="Arial" w:cs="Arial"/>
          <w:sz w:val="24"/>
          <w:szCs w:val="24"/>
          <w:highlight w:val="yellow"/>
          <w:lang w:eastAsia="es-CO"/>
        </w:rPr>
        <w:t xml:space="preserve"> </w:t>
      </w:r>
      <w:r w:rsidRPr="00586398">
        <w:rPr>
          <w:rFonts w:ascii="Arial" w:eastAsia="Times New Roman" w:hAnsi="Arial" w:cs="Arial"/>
          <w:sz w:val="24"/>
          <w:szCs w:val="24"/>
          <w:highlight w:val="yellow"/>
          <w:lang w:eastAsia="es-CO"/>
        </w:rPr>
        <w:t xml:space="preserve">proponentes de los planes, programas y/o proyectos </w:t>
      </w:r>
      <w:r w:rsidR="00586398" w:rsidRPr="00586398">
        <w:rPr>
          <w:rFonts w:ascii="Arial" w:eastAsia="Times New Roman" w:hAnsi="Arial" w:cs="Arial"/>
          <w:sz w:val="24"/>
          <w:szCs w:val="24"/>
          <w:highlight w:val="yellow"/>
          <w:lang w:eastAsia="es-CO"/>
        </w:rPr>
        <w:t xml:space="preserve">en materia de energía eléctrica, no serán reconocidos </w:t>
      </w:r>
      <w:r w:rsidRPr="00586398">
        <w:rPr>
          <w:rFonts w:ascii="Arial" w:eastAsia="Times New Roman" w:hAnsi="Arial" w:cs="Arial"/>
          <w:sz w:val="24"/>
          <w:szCs w:val="24"/>
          <w:highlight w:val="yellow"/>
          <w:lang w:eastAsia="es-CO"/>
        </w:rPr>
        <w:t xml:space="preserve">FONENERGÍA. </w:t>
      </w:r>
    </w:p>
    <w:p w14:paraId="797482B7" w14:textId="7D4A34EA" w:rsidR="00586398" w:rsidRDefault="00586398" w:rsidP="008E39FD">
      <w:pPr>
        <w:shd w:val="clear" w:color="auto" w:fill="FFFFFF" w:themeFill="background1"/>
        <w:spacing w:before="100" w:beforeAutospacing="1" w:after="100" w:afterAutospacing="1"/>
        <w:jc w:val="both"/>
        <w:rPr>
          <w:rFonts w:ascii="Arial" w:eastAsia="Times New Roman" w:hAnsi="Arial" w:cs="Arial"/>
          <w:sz w:val="24"/>
          <w:szCs w:val="24"/>
          <w:lang w:eastAsia="es-CO"/>
        </w:rPr>
      </w:pPr>
      <w:r w:rsidRPr="00586398">
        <w:rPr>
          <w:rFonts w:ascii="Arial" w:eastAsia="Times New Roman" w:hAnsi="Arial" w:cs="Arial"/>
          <w:sz w:val="24"/>
          <w:szCs w:val="24"/>
          <w:highlight w:val="yellow"/>
          <w:lang w:eastAsia="es-CO"/>
        </w:rPr>
        <w:t>En materia de gas combustible estos costos de preinversión (estudios y diseños) podrán ser reconocidos por FONENERGÍA.</w:t>
      </w:r>
    </w:p>
    <w:p w14:paraId="702F98E6" w14:textId="00ED7D05" w:rsidR="00586398" w:rsidRPr="00C63186" w:rsidRDefault="00586398" w:rsidP="008E39FD">
      <w:pPr>
        <w:shd w:val="clear" w:color="auto" w:fill="FFFFFF" w:themeFill="background1"/>
        <w:spacing w:before="100" w:beforeAutospacing="1" w:after="100" w:afterAutospacing="1"/>
        <w:jc w:val="both"/>
        <w:rPr>
          <w:rFonts w:ascii="Arial" w:hAnsi="Arial" w:cs="Arial"/>
          <w:sz w:val="24"/>
          <w:szCs w:val="24"/>
        </w:rPr>
      </w:pPr>
      <w:r>
        <w:rPr>
          <w:rFonts w:ascii="Arial" w:eastAsia="Times New Roman" w:hAnsi="Arial" w:cs="Arial"/>
          <w:sz w:val="24"/>
          <w:szCs w:val="24"/>
          <w:lang w:eastAsia="es-CO"/>
        </w:rPr>
        <w:t xml:space="preserve">Tanto en energía como en gas combustible, los diseños </w:t>
      </w:r>
      <w:r w:rsidRPr="00586398">
        <w:rPr>
          <w:rFonts w:ascii="Arial" w:eastAsia="Times New Roman" w:hAnsi="Arial" w:cs="Arial"/>
          <w:sz w:val="24"/>
          <w:szCs w:val="24"/>
          <w:lang w:eastAsia="es-CO"/>
        </w:rPr>
        <w:t>pasarán a ser de propiedad y uso exclusivo de</w:t>
      </w:r>
      <w:r>
        <w:rPr>
          <w:rFonts w:ascii="Arial" w:eastAsia="Times New Roman" w:hAnsi="Arial" w:cs="Arial"/>
          <w:sz w:val="24"/>
          <w:szCs w:val="24"/>
          <w:lang w:eastAsia="es-CO"/>
        </w:rPr>
        <w:t>l Ministerio de Minas y Energía</w:t>
      </w:r>
      <w:r w:rsidRPr="00586398">
        <w:rPr>
          <w:rFonts w:ascii="Arial" w:eastAsia="Times New Roman" w:hAnsi="Arial" w:cs="Arial"/>
          <w:sz w:val="24"/>
          <w:szCs w:val="24"/>
          <w:lang w:eastAsia="es-CO"/>
        </w:rPr>
        <w:t>.</w:t>
      </w:r>
    </w:p>
    <w:p w14:paraId="7F320C8B" w14:textId="4DA53C80" w:rsidR="004B40A4" w:rsidRPr="0054171C" w:rsidRDefault="008873FF" w:rsidP="003E028A">
      <w:pPr>
        <w:pStyle w:val="Ttulo6"/>
        <w:ind w:left="1152" w:hanging="1152"/>
      </w:pPr>
      <w:bookmarkStart w:id="62" w:name="_Toc205496145"/>
      <w:bookmarkStart w:id="63" w:name="_Toc219397257"/>
      <w:r>
        <w:rPr>
          <w:bCs/>
        </w:rPr>
        <w:t>I-</w:t>
      </w:r>
      <w:r w:rsidR="0000093C" w:rsidRPr="00B03685">
        <w:t>4.7.</w:t>
      </w:r>
      <w:r w:rsidR="00D86C91">
        <w:t>3</w:t>
      </w:r>
      <w:r w:rsidR="0000093C" w:rsidRPr="00B03685">
        <w:t xml:space="preserve"> </w:t>
      </w:r>
      <w:r w:rsidR="004B40A4" w:rsidRPr="00B03685">
        <w:t>Costos de replanteo</w:t>
      </w:r>
      <w:bookmarkEnd w:id="62"/>
      <w:bookmarkEnd w:id="63"/>
    </w:p>
    <w:p w14:paraId="1D0EE09D" w14:textId="36C36D0A" w:rsidR="00586398" w:rsidRDefault="004B40A4" w:rsidP="00D86C91">
      <w:pPr>
        <w:shd w:val="clear" w:color="auto" w:fill="FFFFFF" w:themeFill="background1"/>
        <w:spacing w:before="100" w:beforeAutospacing="1" w:after="100" w:afterAutospacing="1"/>
        <w:ind w:left="-1"/>
        <w:jc w:val="both"/>
        <w:rPr>
          <w:rFonts w:ascii="Arial" w:hAnsi="Arial" w:cs="Arial"/>
          <w:sz w:val="24"/>
          <w:szCs w:val="24"/>
        </w:rPr>
      </w:pPr>
      <w:r>
        <w:rPr>
          <w:rFonts w:ascii="Arial" w:hAnsi="Arial" w:cs="Arial"/>
          <w:sz w:val="24"/>
          <w:szCs w:val="24"/>
        </w:rPr>
        <w:t>Las cifras correspondientes a las actividades relacionadas con la</w:t>
      </w:r>
      <w:r w:rsidR="00586398">
        <w:rPr>
          <w:rFonts w:ascii="Arial" w:hAnsi="Arial" w:cs="Arial"/>
          <w:sz w:val="24"/>
          <w:szCs w:val="24"/>
        </w:rPr>
        <w:t xml:space="preserve"> verificación de usuarios,</w:t>
      </w:r>
      <w:r>
        <w:rPr>
          <w:rFonts w:ascii="Arial" w:hAnsi="Arial" w:cs="Arial"/>
          <w:sz w:val="24"/>
          <w:szCs w:val="24"/>
        </w:rPr>
        <w:t xml:space="preserve"> revisión de los componentes sociales, ambientales, prediales y cualesquiera otros necesarios para la debida ejecución del proyecto y que ya fueron objeto de análisis dentro de la estructuración del proyecto correspondiente</w:t>
      </w:r>
      <w:r w:rsidR="00586398">
        <w:rPr>
          <w:rFonts w:ascii="Arial" w:hAnsi="Arial" w:cs="Arial"/>
          <w:sz w:val="24"/>
          <w:szCs w:val="24"/>
        </w:rPr>
        <w:t xml:space="preserve">, no serán asumidos por FONENERGÍA si </w:t>
      </w:r>
      <w:r w:rsidR="00586398" w:rsidRPr="35A9FD5F">
        <w:rPr>
          <w:rFonts w:ascii="Arial" w:hAnsi="Arial" w:cs="Arial"/>
          <w:sz w:val="24"/>
          <w:szCs w:val="24"/>
        </w:rPr>
        <w:t>se evidencie la imposibilidad técnica y financiera de ejecutar el objeto del contrato.</w:t>
      </w:r>
    </w:p>
    <w:p w14:paraId="417E4FDC" w14:textId="40588F6A" w:rsidR="004B40A4" w:rsidRPr="00AA2487" w:rsidRDefault="004B40A4" w:rsidP="008E39FD">
      <w:pPr>
        <w:shd w:val="clear" w:color="auto" w:fill="FFFFFF"/>
        <w:spacing w:before="100" w:beforeAutospacing="1" w:after="100" w:afterAutospacing="1"/>
        <w:ind w:left="-1"/>
        <w:jc w:val="both"/>
        <w:rPr>
          <w:rFonts w:ascii="Arial" w:hAnsi="Arial" w:cs="Arial"/>
          <w:sz w:val="24"/>
          <w:szCs w:val="24"/>
        </w:rPr>
      </w:pPr>
      <w:r>
        <w:rPr>
          <w:rFonts w:ascii="Arial" w:hAnsi="Arial" w:cs="Arial"/>
          <w:sz w:val="24"/>
          <w:szCs w:val="24"/>
        </w:rPr>
        <w:t xml:space="preserve">Lo anterior quiere decir que dentro de los valores </w:t>
      </w:r>
      <w:r w:rsidR="00D86C91">
        <w:rPr>
          <w:rFonts w:ascii="Arial" w:hAnsi="Arial" w:cs="Arial"/>
          <w:sz w:val="24"/>
          <w:szCs w:val="24"/>
        </w:rPr>
        <w:t xml:space="preserve">objeto de la estructuración y plasmados en el respectivo contrato, </w:t>
      </w:r>
      <w:r>
        <w:rPr>
          <w:rFonts w:ascii="Arial" w:hAnsi="Arial" w:cs="Arial"/>
          <w:sz w:val="24"/>
          <w:szCs w:val="24"/>
        </w:rPr>
        <w:t>ya se encuentran incluidos dichos emolumentos.</w:t>
      </w:r>
    </w:p>
    <w:p w14:paraId="25CA8822" w14:textId="2577A2EF" w:rsidR="004B40A4" w:rsidRDefault="008873FF" w:rsidP="003E028A">
      <w:pPr>
        <w:pStyle w:val="Ttulo5"/>
        <w:ind w:left="1008" w:hanging="1008"/>
      </w:pPr>
      <w:bookmarkStart w:id="64" w:name="_Toc205496146"/>
      <w:bookmarkStart w:id="65" w:name="_Toc219397258"/>
      <w:bookmarkStart w:id="66" w:name="_Toc224844299"/>
      <w:r>
        <w:rPr>
          <w:bCs/>
        </w:rPr>
        <w:lastRenderedPageBreak/>
        <w:t>I-</w:t>
      </w:r>
      <w:r w:rsidR="0000093C" w:rsidRPr="00B03685">
        <w:t xml:space="preserve">4.8 </w:t>
      </w:r>
      <w:r w:rsidR="004B40A4" w:rsidRPr="00B03685">
        <w:t>Cofinanciación de proyectos de gas combustible</w:t>
      </w:r>
      <w:bookmarkEnd w:id="64"/>
      <w:bookmarkEnd w:id="65"/>
      <w:bookmarkEnd w:id="66"/>
    </w:p>
    <w:p w14:paraId="37E1DDAA" w14:textId="77777777" w:rsidR="00422FFD" w:rsidRPr="00422FFD" w:rsidRDefault="00422FFD" w:rsidP="00422FFD"/>
    <w:p w14:paraId="4CDE2D4E" w14:textId="77777777" w:rsidR="00422FFD" w:rsidRPr="00C63186" w:rsidRDefault="00422FFD" w:rsidP="00823B9A">
      <w:pPr>
        <w:pStyle w:val="Textoindependiente"/>
        <w:widowControl w:val="0"/>
        <w:tabs>
          <w:tab w:val="left" w:pos="1276"/>
        </w:tabs>
        <w:suppressAutoHyphens w:val="0"/>
        <w:autoSpaceDE w:val="0"/>
        <w:autoSpaceDN w:val="0"/>
        <w:spacing w:before="1" w:line="276" w:lineRule="auto"/>
        <w:rPr>
          <w:rFonts w:cs="Arial"/>
          <w:lang w:val="es-ES"/>
        </w:rPr>
      </w:pPr>
      <w:r>
        <w:rPr>
          <w:rFonts w:cs="Arial"/>
          <w:lang w:val="es-ES"/>
        </w:rPr>
        <w:t xml:space="preserve">(i) </w:t>
      </w:r>
      <w:r w:rsidRPr="00C63186">
        <w:rPr>
          <w:rFonts w:cs="Arial"/>
          <w:lang w:val="es-ES"/>
        </w:rPr>
        <w:t xml:space="preserve">Proyectos que alleguen declaración juramentada suscrita por el representante legal del solicitante, con vigencia no mayor a un (1) mes a la fecha de radicación ante el FONENERGÍA donde certifique que, consultada la documentación o información pública o privada de </w:t>
      </w:r>
      <w:r>
        <w:rPr>
          <w:rFonts w:cs="Arial"/>
          <w:lang w:val="es-ES"/>
        </w:rPr>
        <w:t>otras</w:t>
      </w:r>
      <w:r w:rsidRPr="00C63186">
        <w:rPr>
          <w:rFonts w:cs="Arial"/>
          <w:lang w:val="es-ES"/>
        </w:rPr>
        <w:t xml:space="preserve"> empresas</w:t>
      </w:r>
      <w:r>
        <w:rPr>
          <w:rFonts w:cs="Arial"/>
          <w:lang w:val="es-ES"/>
        </w:rPr>
        <w:t xml:space="preserve"> del sector</w:t>
      </w:r>
      <w:r w:rsidRPr="00C63186">
        <w:rPr>
          <w:rFonts w:cs="Arial"/>
          <w:lang w:val="es-ES"/>
        </w:rPr>
        <w:t>, la población a beneficiar no se encuentra dentro de</w:t>
      </w:r>
      <w:r>
        <w:rPr>
          <w:rFonts w:cs="Arial"/>
          <w:lang w:val="es-ES"/>
        </w:rPr>
        <w:t>l</w:t>
      </w:r>
      <w:r w:rsidRPr="00C63186">
        <w:rPr>
          <w:rFonts w:cs="Arial"/>
          <w:lang w:val="es-ES"/>
        </w:rPr>
        <w:t xml:space="preserve"> plan de expansión</w:t>
      </w:r>
      <w:r>
        <w:rPr>
          <w:rFonts w:cs="Arial"/>
          <w:lang w:val="es-ES"/>
        </w:rPr>
        <w:t xml:space="preserve"> de estas últimas</w:t>
      </w:r>
      <w:r w:rsidRPr="00C63186">
        <w:rPr>
          <w:rFonts w:cs="Arial"/>
          <w:lang w:val="es-ES"/>
        </w:rPr>
        <w:t>.</w:t>
      </w:r>
    </w:p>
    <w:p w14:paraId="027CF2FD" w14:textId="77777777" w:rsidR="00422FFD" w:rsidRPr="00C63186" w:rsidRDefault="00422FFD" w:rsidP="00823B9A">
      <w:pPr>
        <w:spacing w:after="0"/>
        <w:jc w:val="both"/>
        <w:rPr>
          <w:rFonts w:ascii="Arial" w:hAnsi="Arial" w:cs="Arial"/>
          <w:sz w:val="24"/>
          <w:szCs w:val="24"/>
          <w:lang w:eastAsia="es-MX"/>
        </w:rPr>
      </w:pPr>
    </w:p>
    <w:p w14:paraId="0E828BBC" w14:textId="77777777" w:rsidR="00422FFD" w:rsidRDefault="00422FFD" w:rsidP="00823B9A">
      <w:pPr>
        <w:pStyle w:val="Textoindependiente"/>
        <w:widowControl w:val="0"/>
        <w:tabs>
          <w:tab w:val="left" w:pos="1276"/>
        </w:tabs>
        <w:suppressAutoHyphens w:val="0"/>
        <w:autoSpaceDE w:val="0"/>
        <w:autoSpaceDN w:val="0"/>
        <w:spacing w:before="1" w:line="276" w:lineRule="auto"/>
        <w:rPr>
          <w:rFonts w:cs="Arial"/>
          <w:lang w:val="es-ES"/>
        </w:rPr>
      </w:pPr>
      <w:r>
        <w:rPr>
          <w:rFonts w:cs="Arial"/>
          <w:lang w:val="es-ES"/>
        </w:rPr>
        <w:t xml:space="preserve">(ii) </w:t>
      </w:r>
      <w:r w:rsidRPr="00C63186">
        <w:rPr>
          <w:rFonts w:cs="Arial"/>
          <w:lang w:val="es-ES"/>
        </w:rPr>
        <w:t>Proyectos que beneficien poblaciones que se encuentren incluidas dentro del plan de expansión de empresas prestadoras de servicios públicos, pero que transcurridos veinticuatro (24) meses, no exista evidencia de la prestación efectiva del servicio de acuerdo con la certificación expedida por el incumbente.</w:t>
      </w:r>
    </w:p>
    <w:p w14:paraId="44184111" w14:textId="77777777" w:rsidR="00E54419" w:rsidRDefault="00E54419" w:rsidP="00E54419">
      <w:pPr>
        <w:spacing w:after="0"/>
        <w:jc w:val="both"/>
        <w:rPr>
          <w:rFonts w:ascii="Arial" w:hAnsi="Arial" w:cs="Arial"/>
          <w:sz w:val="24"/>
          <w:szCs w:val="24"/>
          <w:lang w:eastAsia="es-MX"/>
        </w:rPr>
      </w:pPr>
    </w:p>
    <w:p w14:paraId="4637E7CC" w14:textId="795B7158" w:rsidR="00E54419" w:rsidRPr="009F7447" w:rsidRDefault="00E54419" w:rsidP="00E54419">
      <w:pPr>
        <w:spacing w:after="0"/>
        <w:jc w:val="both"/>
        <w:rPr>
          <w:rFonts w:ascii="Arial" w:hAnsi="Arial" w:cs="Arial"/>
          <w:sz w:val="24"/>
          <w:szCs w:val="24"/>
          <w:lang w:eastAsia="es-MX"/>
        </w:rPr>
      </w:pPr>
      <w:r w:rsidRPr="00E54419">
        <w:rPr>
          <w:rFonts w:ascii="Arial" w:hAnsi="Arial" w:cs="Arial"/>
          <w:sz w:val="24"/>
          <w:szCs w:val="24"/>
          <w:highlight w:val="yellow"/>
          <w:lang w:eastAsia="es-MX"/>
        </w:rPr>
        <w:t>No obstante, se podrán cofinanciar proyectos que beneficien poblaciones que se encuentren incluidas dentro del plan de expansión de empresas prestadoras de servicios públicos, pero que transcurridos veinticuatro (24) meses desde la radicación del expediente tarifario no exista evidencia de la prestación efectiva del servicio de acuerdo con la certificación expedida por el incumbente.</w:t>
      </w:r>
      <w:r w:rsidRPr="5AB7284D">
        <w:rPr>
          <w:rFonts w:ascii="Arial" w:hAnsi="Arial" w:cs="Arial"/>
          <w:sz w:val="24"/>
          <w:szCs w:val="24"/>
          <w:lang w:eastAsia="es-MX"/>
        </w:rPr>
        <w:t xml:space="preserve"> Para estos efectos y conforme a dicho término, se tendrán en cuenta aquellos proyectos en los que, transcurridos 12 meses desde la manifestación de intención de prestación del servicio por parte de una empresa de servicios públicos, no se haya iniciado la construcción del sistema de distribución o que transcurrido12 meses de haberse aprobado los cargos de distribución para el mercado relevante el Distribuidor no haya iniciado la prestación del servicio.  </w:t>
      </w:r>
    </w:p>
    <w:p w14:paraId="65D558B1" w14:textId="0DC7FF52" w:rsidR="004B40A4" w:rsidRPr="00C63186" w:rsidRDefault="004B40A4" w:rsidP="008E39FD">
      <w:pPr>
        <w:shd w:val="clear" w:color="auto" w:fill="FFFFFF" w:themeFill="background1"/>
        <w:spacing w:before="100" w:beforeAutospacing="1" w:after="100" w:afterAutospacing="1"/>
        <w:jc w:val="both"/>
        <w:rPr>
          <w:rFonts w:ascii="Arial" w:eastAsia="Times New Roman" w:hAnsi="Arial" w:cs="Arial"/>
          <w:sz w:val="24"/>
          <w:szCs w:val="24"/>
          <w:lang w:eastAsia="es-MX"/>
        </w:rPr>
      </w:pPr>
      <w:r w:rsidRPr="5D146CA7">
        <w:rPr>
          <w:rFonts w:ascii="Arial" w:hAnsi="Arial" w:cs="Arial"/>
          <w:sz w:val="24"/>
          <w:szCs w:val="24"/>
        </w:rPr>
        <w:t>El valor de la solicitud de cofinanciación no deberá exceder de 25.000 salarios mínimos legales mensuales vigentes (SMLMV), monto máximo a cofinanciar por el FONENERGÍA para cualquier proyecto de infraestructura</w:t>
      </w:r>
      <w:r w:rsidRPr="00823B9A">
        <w:rPr>
          <w:rFonts w:ascii="Arial" w:hAnsi="Arial" w:cs="Arial"/>
          <w:sz w:val="24"/>
          <w:szCs w:val="24"/>
        </w:rPr>
        <w:t>; ni superar el 70% del valor total del proyecto a cofinanciar. El solicitante deberá financiar al menos el 30% del costo de inversión del sistema de distribución y/o almacenamiento estratégico, con recursos provenientes de financiación propia.</w:t>
      </w:r>
    </w:p>
    <w:p w14:paraId="44B85E0F" w14:textId="77777777" w:rsidR="004B40A4" w:rsidRPr="00C63186" w:rsidRDefault="004B40A4"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Para efectos de garantizar la viabilidad financiera del proyecto, y cubrir el porcentaje que le corresponde de la cofinanciación, el solicitante podrá recurrir a los mecanismos de financiación que considere pertinentes, incluida la cofinanciación por entidades territoriales y demás fuentes existentes </w:t>
      </w:r>
      <w:r w:rsidRPr="00C63186">
        <w:rPr>
          <w:rFonts w:ascii="Arial" w:eastAsia="Times New Roman" w:hAnsi="Arial" w:cs="Arial"/>
          <w:sz w:val="24"/>
          <w:szCs w:val="24"/>
        </w:rPr>
        <w:t>de conformidad con la normatividad aplicable para este efecto (</w:t>
      </w:r>
      <w:r>
        <w:rPr>
          <w:rFonts w:ascii="Arial" w:eastAsia="Times New Roman" w:hAnsi="Arial" w:cs="Arial"/>
          <w:sz w:val="24"/>
          <w:szCs w:val="24"/>
        </w:rPr>
        <w:t xml:space="preserve">cooperación internacional, </w:t>
      </w:r>
      <w:r w:rsidRPr="00C63186">
        <w:rPr>
          <w:rFonts w:ascii="Arial" w:eastAsia="Times New Roman" w:hAnsi="Arial" w:cs="Arial"/>
          <w:sz w:val="24"/>
          <w:szCs w:val="24"/>
        </w:rPr>
        <w:t>aportes de empresas de economía mixta, privadas o públicas</w:t>
      </w:r>
      <w:r>
        <w:rPr>
          <w:rFonts w:ascii="Arial" w:eastAsia="Times New Roman" w:hAnsi="Arial" w:cs="Arial"/>
          <w:sz w:val="24"/>
          <w:szCs w:val="24"/>
        </w:rPr>
        <w:t>, entre otros</w:t>
      </w:r>
      <w:r w:rsidRPr="00C63186">
        <w:rPr>
          <w:rFonts w:ascii="Arial" w:eastAsia="Times New Roman" w:hAnsi="Arial" w:cs="Arial"/>
          <w:sz w:val="24"/>
          <w:szCs w:val="24"/>
        </w:rPr>
        <w:t>). En ningún caso el FONENERGÍA suscribirá, o avalará, los negocios jurídicos con los financiadores, en cualquier caso, el solicitante asumirá los costos y riesgo del mecanismo de financiación utilizados frente a lo establecido en el presente artículo.</w:t>
      </w:r>
    </w:p>
    <w:p w14:paraId="6FFD4488" w14:textId="77777777" w:rsidR="004B40A4" w:rsidRPr="00C63186" w:rsidRDefault="004B40A4" w:rsidP="00B03685">
      <w:pPr>
        <w:shd w:val="clear" w:color="auto" w:fill="FFFFFF" w:themeFill="background1"/>
        <w:spacing w:after="0"/>
        <w:jc w:val="both"/>
        <w:rPr>
          <w:rFonts w:ascii="Arial" w:eastAsia="Times New Roman" w:hAnsi="Arial" w:cs="Arial"/>
          <w:sz w:val="24"/>
          <w:szCs w:val="24"/>
        </w:rPr>
      </w:pPr>
    </w:p>
    <w:p w14:paraId="623B0280" w14:textId="77777777" w:rsidR="004B40A4" w:rsidRPr="00C63186" w:rsidRDefault="004B40A4" w:rsidP="008E39FD">
      <w:pPr>
        <w:pStyle w:val="NormalWeb"/>
        <w:spacing w:before="0" w:beforeAutospacing="0" w:after="0" w:afterAutospacing="0" w:line="276" w:lineRule="auto"/>
        <w:jc w:val="both"/>
        <w:rPr>
          <w:rFonts w:ascii="Arial" w:hAnsi="Arial" w:cs="Arial"/>
          <w:lang w:eastAsia="es-MX"/>
        </w:rPr>
      </w:pPr>
      <w:r w:rsidRPr="00C63186">
        <w:rPr>
          <w:rFonts w:ascii="Arial" w:hAnsi="Arial" w:cs="Arial"/>
          <w:lang w:eastAsia="es-MX"/>
        </w:rPr>
        <w:t>El monto máximo que se cofinanciará para cada conexión de usuarios de menores ingresos corresponderá al 70% del cargo por conexión establecido por la Comisión de Regulación de Energía y Gas (CREG). Para la red interna, se cofinanciará como máximo el 70% del valor de la misma; la valoración de esta no podrá ser mayor al cargo por conexión regulado por la CREG.</w:t>
      </w:r>
    </w:p>
    <w:p w14:paraId="0CDBD453" w14:textId="77777777" w:rsidR="004B40A4" w:rsidRPr="00C63186" w:rsidRDefault="004B40A4" w:rsidP="008E39FD">
      <w:pPr>
        <w:pStyle w:val="NormalWeb"/>
        <w:spacing w:before="0" w:beforeAutospacing="0" w:after="0" w:afterAutospacing="0" w:line="276" w:lineRule="auto"/>
        <w:jc w:val="both"/>
        <w:rPr>
          <w:rFonts w:ascii="Arial" w:hAnsi="Arial" w:cs="Arial"/>
          <w:lang w:eastAsia="es-MX"/>
        </w:rPr>
      </w:pPr>
    </w:p>
    <w:p w14:paraId="686D363D" w14:textId="77777777" w:rsidR="004B40A4" w:rsidRPr="00C63186" w:rsidRDefault="004B40A4" w:rsidP="008E39FD">
      <w:pPr>
        <w:pStyle w:val="NormalWeb"/>
        <w:spacing w:before="0" w:beforeAutospacing="0" w:after="0" w:afterAutospacing="0" w:line="276" w:lineRule="auto"/>
        <w:jc w:val="both"/>
        <w:rPr>
          <w:rFonts w:ascii="Arial" w:hAnsi="Arial" w:cs="Arial"/>
          <w:lang w:eastAsia="es-MX"/>
        </w:rPr>
      </w:pPr>
      <w:r w:rsidRPr="00C63186">
        <w:rPr>
          <w:rFonts w:ascii="Arial" w:hAnsi="Arial" w:cs="Arial"/>
          <w:lang w:eastAsia="es-MX"/>
        </w:rPr>
        <w:lastRenderedPageBreak/>
        <w:t>Para la estimación del porcentaje de cofinanciación del proyecto NO se debe considerar el valor de las conexiones ni de las redes internas distintas a las de los usuarios de menores ingresos.</w:t>
      </w:r>
    </w:p>
    <w:p w14:paraId="40C6A3F1" w14:textId="77777777" w:rsidR="004B40A4" w:rsidRPr="00C63186" w:rsidRDefault="004B40A4" w:rsidP="008E39FD">
      <w:pPr>
        <w:tabs>
          <w:tab w:val="left" w:pos="4474"/>
        </w:tabs>
        <w:spacing w:after="0"/>
        <w:jc w:val="both"/>
        <w:rPr>
          <w:rFonts w:ascii="Arial" w:hAnsi="Arial" w:cs="Arial"/>
          <w:b/>
          <w:bCs/>
          <w:sz w:val="24"/>
          <w:szCs w:val="24"/>
          <w:lang w:val="es-ES"/>
        </w:rPr>
      </w:pPr>
    </w:p>
    <w:p w14:paraId="1F8C2FF7" w14:textId="4CEAF3BD" w:rsidR="004B40A4" w:rsidRPr="00C63186" w:rsidRDefault="004B40A4" w:rsidP="00B03685">
      <w:pPr>
        <w:shd w:val="clear" w:color="auto" w:fill="FFFFFF" w:themeFill="background1"/>
        <w:spacing w:after="0"/>
        <w:jc w:val="both"/>
        <w:rPr>
          <w:rFonts w:ascii="Arial" w:hAnsi="Arial" w:cs="Arial"/>
          <w:sz w:val="24"/>
          <w:szCs w:val="24"/>
        </w:rPr>
      </w:pPr>
      <w:r w:rsidRPr="00C63186">
        <w:rPr>
          <w:rFonts w:ascii="Arial" w:hAnsi="Arial" w:cs="Arial"/>
          <w:b/>
          <w:bCs/>
          <w:sz w:val="24"/>
          <w:szCs w:val="24"/>
        </w:rPr>
        <w:t>Nota Especial</w:t>
      </w:r>
      <w:r w:rsidR="00805BF8">
        <w:rPr>
          <w:rFonts w:ascii="Arial" w:hAnsi="Arial" w:cs="Arial"/>
          <w:b/>
          <w:bCs/>
          <w:sz w:val="24"/>
          <w:szCs w:val="24"/>
        </w:rPr>
        <w:t xml:space="preserve"> 6</w:t>
      </w:r>
      <w:r w:rsidRPr="00C63186">
        <w:rPr>
          <w:rFonts w:ascii="Arial" w:hAnsi="Arial" w:cs="Arial"/>
          <w:b/>
          <w:bCs/>
          <w:sz w:val="24"/>
          <w:szCs w:val="24"/>
        </w:rPr>
        <w:t xml:space="preserve">: </w:t>
      </w:r>
      <w:r w:rsidRPr="00C63186">
        <w:rPr>
          <w:rFonts w:ascii="Arial" w:hAnsi="Arial" w:cs="Arial"/>
          <w:sz w:val="24"/>
          <w:szCs w:val="24"/>
        </w:rPr>
        <w:t>Los sobrecostos del proyecto cofinanciado deberán ser asumidos por la empresa ejecutora con cargo a sus propios recursos, asimismo, los valores no cubiertos por los recursos asignados deberán ser asumidos por la empresa ejecutora.</w:t>
      </w:r>
    </w:p>
    <w:p w14:paraId="0C2DAEDA" w14:textId="77777777" w:rsidR="000A3136" w:rsidRDefault="000A3136" w:rsidP="008E39FD">
      <w:pPr>
        <w:spacing w:after="0"/>
        <w:jc w:val="both"/>
        <w:rPr>
          <w:rFonts w:ascii="Arial" w:hAnsi="Arial" w:cs="Arial"/>
          <w:b/>
          <w:bCs/>
          <w:sz w:val="24"/>
          <w:szCs w:val="24"/>
          <w:lang w:eastAsia="es-MX"/>
        </w:rPr>
      </w:pPr>
    </w:p>
    <w:p w14:paraId="66542533" w14:textId="20A4E999" w:rsidR="008945AF" w:rsidRPr="00FC3574" w:rsidRDefault="008945AF" w:rsidP="003E028A">
      <w:pPr>
        <w:pStyle w:val="Ttulo3"/>
        <w:ind w:left="720" w:hanging="720"/>
        <w:jc w:val="center"/>
      </w:pPr>
      <w:bookmarkStart w:id="67" w:name="_Toc224844301"/>
      <w:r w:rsidRPr="00FC3574">
        <w:t xml:space="preserve">CAPITULO </w:t>
      </w:r>
      <w:r w:rsidRPr="00823B9A">
        <w:t>V</w:t>
      </w:r>
      <w:bookmarkEnd w:id="67"/>
    </w:p>
    <w:p w14:paraId="4523F7AF" w14:textId="77777777" w:rsidR="008945AF" w:rsidRDefault="008945AF" w:rsidP="003E028A">
      <w:pPr>
        <w:pStyle w:val="Ttulo4"/>
        <w:ind w:left="864" w:hanging="864"/>
        <w:jc w:val="center"/>
      </w:pPr>
      <w:bookmarkStart w:id="68" w:name="_Toc224844302"/>
      <w:r w:rsidRPr="00FC3574">
        <w:t>RÉGIMEN CONTRACTUAL FONENERGÍA</w:t>
      </w:r>
      <w:bookmarkEnd w:id="68"/>
    </w:p>
    <w:p w14:paraId="7F801DEE" w14:textId="77777777" w:rsidR="00BA31DB" w:rsidRPr="00BA31DB" w:rsidRDefault="00BA31DB" w:rsidP="00BA31DB"/>
    <w:p w14:paraId="646DCD8A" w14:textId="64D871BD" w:rsidR="008945AF" w:rsidRDefault="008873FF" w:rsidP="003E028A">
      <w:pPr>
        <w:pStyle w:val="Ttulo5"/>
        <w:ind w:left="1008" w:hanging="1008"/>
      </w:pPr>
      <w:bookmarkStart w:id="69" w:name="_Toc224844303"/>
      <w:r>
        <w:rPr>
          <w:bCs/>
        </w:rPr>
        <w:t>I-</w:t>
      </w:r>
      <w:r w:rsidR="00530808" w:rsidRPr="00B03685">
        <w:t xml:space="preserve">5.1 </w:t>
      </w:r>
      <w:r w:rsidR="008945AF" w:rsidRPr="00B03685">
        <w:t>Antecedentes normativos y jurisprudenciales</w:t>
      </w:r>
      <w:bookmarkEnd w:id="69"/>
    </w:p>
    <w:p w14:paraId="07FBDEEC" w14:textId="77777777" w:rsidR="00BA31DB" w:rsidRPr="00BA31DB" w:rsidRDefault="00BA31DB" w:rsidP="00BA31DB"/>
    <w:p w14:paraId="5276EE66"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El artículo 365 de la Constitución Nacional establece:</w:t>
      </w:r>
    </w:p>
    <w:p w14:paraId="37A499A5" w14:textId="77777777" w:rsidR="008945AF" w:rsidRPr="00C63186" w:rsidRDefault="008945AF" w:rsidP="008945AF">
      <w:pPr>
        <w:ind w:left="567"/>
        <w:jc w:val="both"/>
        <w:rPr>
          <w:rFonts w:ascii="Arial" w:hAnsi="Arial" w:cs="Arial"/>
          <w:i/>
          <w:iCs/>
        </w:rPr>
      </w:pPr>
      <w:r w:rsidRPr="00C63186">
        <w:rPr>
          <w:rFonts w:ascii="Arial" w:hAnsi="Arial" w:cs="Arial"/>
          <w:i/>
          <w:iCs/>
        </w:rPr>
        <w:t>Los servicios públicos son inherentes a la finalidad social del Estado. Es deber del Estado asegurar su prestación eficiente a todos los habitantes del territorio nacional.</w:t>
      </w:r>
    </w:p>
    <w:p w14:paraId="40A71992" w14:textId="77777777" w:rsidR="008945AF" w:rsidRPr="00C63186" w:rsidRDefault="008945AF" w:rsidP="008945AF">
      <w:pPr>
        <w:ind w:left="567"/>
        <w:jc w:val="both"/>
        <w:rPr>
          <w:rFonts w:ascii="Arial" w:hAnsi="Arial" w:cs="Arial"/>
          <w:i/>
          <w:iCs/>
        </w:rPr>
      </w:pPr>
      <w:r w:rsidRPr="54B2E939">
        <w:rPr>
          <w:rFonts w:ascii="Arial" w:hAnsi="Arial" w:cs="Arial"/>
          <w:i/>
          <w:iC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 Si por razones de soberanía o de interés social, el Estado, mediante ley aprobada por la mayoría de los miembros de una y otra cámara, por iniciativa del Gobierno decide reservarse determinadas actividades estratégicas o servicios públicos, deberá indemnizar previa y plenamente a las personas que en virtud de dicha ley, queden privadas del ejercicio de una actividad lícita.</w:t>
      </w:r>
    </w:p>
    <w:p w14:paraId="658CCC94"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Así mismo, el artículo 367 de la Carta señala:</w:t>
      </w:r>
    </w:p>
    <w:p w14:paraId="65914219" w14:textId="77777777" w:rsidR="008945AF" w:rsidRPr="00C63186" w:rsidRDefault="008945AF" w:rsidP="008945AF">
      <w:pPr>
        <w:ind w:left="567"/>
        <w:jc w:val="both"/>
        <w:rPr>
          <w:rFonts w:ascii="Arial" w:hAnsi="Arial" w:cs="Arial"/>
          <w:i/>
          <w:iCs/>
        </w:rPr>
      </w:pPr>
      <w:r w:rsidRPr="00C63186">
        <w:rPr>
          <w:rFonts w:ascii="Arial" w:hAnsi="Arial" w:cs="Arial"/>
          <w:i/>
          <w:iCs/>
        </w:rPr>
        <w:t>La ley fijará las competencias y responsabilidades relativas a la prestación de los servicios públicos domiciliarios, su cobertura, calidad y financiación, y el régimen tarifario que tendrá en cuenta además de los criterios de costos, los de solidaridad y redistribución de ingresos.</w:t>
      </w:r>
    </w:p>
    <w:p w14:paraId="10A1AE59" w14:textId="77777777" w:rsidR="008945AF" w:rsidRPr="00C63186" w:rsidRDefault="008945AF" w:rsidP="008945AF">
      <w:pPr>
        <w:ind w:left="567"/>
        <w:jc w:val="both"/>
        <w:rPr>
          <w:rFonts w:ascii="Arial" w:hAnsi="Arial" w:cs="Arial"/>
          <w:i/>
          <w:iCs/>
        </w:rPr>
      </w:pPr>
      <w:r w:rsidRPr="00C63186">
        <w:rPr>
          <w:rFonts w:ascii="Arial" w:hAnsi="Arial" w:cs="Arial"/>
          <w:i/>
          <w:iCs/>
        </w:rPr>
        <w:t>Los servicios públicos domiciliarios se prestarán directamente por cada municipio cuando las características técnicas y económicas del servicio y las conveniencias generales lo permitan y aconsejen, y los departamentos cumplirán funciones de apoyo y coordinación.</w:t>
      </w:r>
    </w:p>
    <w:p w14:paraId="25AA4A13" w14:textId="77777777" w:rsidR="008945AF" w:rsidRPr="00C63186" w:rsidRDefault="008945AF" w:rsidP="008945AF">
      <w:pPr>
        <w:ind w:left="567"/>
        <w:jc w:val="both"/>
        <w:rPr>
          <w:rFonts w:ascii="Arial" w:hAnsi="Arial" w:cs="Arial"/>
          <w:i/>
          <w:iCs/>
        </w:rPr>
      </w:pPr>
      <w:r w:rsidRPr="00C63186">
        <w:rPr>
          <w:rFonts w:ascii="Arial" w:hAnsi="Arial" w:cs="Arial"/>
          <w:i/>
          <w:iCs/>
        </w:rPr>
        <w:t>La ley determinará las entidades competentes para fijar las tarifas.</w:t>
      </w:r>
    </w:p>
    <w:p w14:paraId="10E88828"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Por su parte, la Ley 80 de 1993, expidió el Estatuto General de Contratación de la Administración Pública, indicando:</w:t>
      </w:r>
    </w:p>
    <w:p w14:paraId="43BC246C" w14:textId="77777777" w:rsidR="008945AF" w:rsidRPr="00C63186" w:rsidRDefault="008945AF" w:rsidP="008945AF">
      <w:pPr>
        <w:spacing w:after="160"/>
        <w:ind w:left="567"/>
        <w:jc w:val="both"/>
        <w:rPr>
          <w:rFonts w:ascii="Arial" w:hAnsi="Arial" w:cs="Arial"/>
          <w:i/>
          <w:iCs/>
        </w:rPr>
      </w:pPr>
      <w:r w:rsidRPr="00C63186">
        <w:rPr>
          <w:rFonts w:ascii="Arial" w:hAnsi="Arial" w:cs="Arial"/>
          <w:b/>
          <w:bCs/>
          <w:i/>
          <w:iCs/>
        </w:rPr>
        <w:t>ARTÍCULO 32. </w:t>
      </w:r>
      <w:r w:rsidRPr="00C63186">
        <w:rPr>
          <w:rFonts w:ascii="Arial" w:hAnsi="Arial" w:cs="Arial"/>
          <w:b/>
          <w:bCs/>
        </w:rPr>
        <w:t>De los Contratos Estatales</w:t>
      </w:r>
      <w:r w:rsidRPr="00C63186">
        <w:rPr>
          <w:rFonts w:ascii="Arial" w:hAnsi="Arial" w:cs="Arial"/>
          <w:b/>
          <w:bCs/>
          <w:i/>
          <w:iCs/>
        </w:rPr>
        <w:t>.</w:t>
      </w:r>
      <w:r w:rsidRPr="00C63186">
        <w:rPr>
          <w:rFonts w:ascii="Arial" w:hAnsi="Arial" w:cs="Arial"/>
          <w:i/>
          <w:iCs/>
        </w:rPr>
        <w:t> Son contratos estatales todos los actos jurídicos generadores de obligaciones que celebren las entidades a que se refiere el presente estatuto, previstos en el derecho privado o en disposiciones especiales, o derivados del ejercicio de la autonomía de la voluntad, así como los que, a título enunciativo, se definen a continuación</w:t>
      </w:r>
    </w:p>
    <w:p w14:paraId="23CE1E6D"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Obsérvese que los contratos suscritos por las entidades estatales, así se rijan por el derecho privado, son considerados contratos estatales, lo que no quiere decir que se encuentren sometidos a los parámetros de la Ley 80 de 1993.</w:t>
      </w:r>
    </w:p>
    <w:p w14:paraId="3571F13F"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La Ley 153 de 1887, vigente, dispone:</w:t>
      </w:r>
    </w:p>
    <w:p w14:paraId="6F40D9D2" w14:textId="77777777" w:rsidR="008945AF" w:rsidRPr="00C63186" w:rsidRDefault="008945AF" w:rsidP="008945AF">
      <w:pPr>
        <w:ind w:left="567"/>
        <w:jc w:val="both"/>
        <w:rPr>
          <w:rFonts w:ascii="Arial" w:hAnsi="Arial" w:cs="Arial"/>
          <w:i/>
          <w:iCs/>
        </w:rPr>
      </w:pPr>
      <w:r w:rsidRPr="00C63186">
        <w:rPr>
          <w:rFonts w:ascii="Arial" w:hAnsi="Arial" w:cs="Arial"/>
          <w:b/>
          <w:bCs/>
          <w:i/>
          <w:iCs/>
        </w:rPr>
        <w:lastRenderedPageBreak/>
        <w:t>Artículo 1.</w:t>
      </w:r>
      <w:r w:rsidRPr="00C63186">
        <w:rPr>
          <w:rFonts w:ascii="Arial" w:hAnsi="Arial" w:cs="Arial"/>
          <w:i/>
          <w:iCs/>
        </w:rPr>
        <w:t xml:space="preserve"> Siempre que se advierta incongruencia en las leyes, u ocurrencia u oposición entre ley anterior y ley posterior, o trate de establecerse el transito legal de derecho antiguo a derecho nuevo, las autoridades de la república, y especialmente las judiciales, observarán las reglas contenidas en los artículos siguientes. </w:t>
      </w:r>
    </w:p>
    <w:p w14:paraId="25F1489F" w14:textId="77777777" w:rsidR="008945AF" w:rsidRPr="00C63186" w:rsidRDefault="008945AF" w:rsidP="008945AF">
      <w:pPr>
        <w:ind w:left="567"/>
        <w:jc w:val="both"/>
        <w:rPr>
          <w:rFonts w:ascii="Arial" w:hAnsi="Arial" w:cs="Arial"/>
          <w:i/>
          <w:iCs/>
        </w:rPr>
      </w:pPr>
      <w:r w:rsidRPr="00C63186">
        <w:rPr>
          <w:rFonts w:ascii="Arial" w:hAnsi="Arial" w:cs="Arial"/>
          <w:b/>
          <w:bCs/>
          <w:i/>
          <w:iCs/>
        </w:rPr>
        <w:t>Artículo 2.</w:t>
      </w:r>
      <w:r w:rsidRPr="00C63186">
        <w:rPr>
          <w:rFonts w:ascii="Arial" w:hAnsi="Arial" w:cs="Arial"/>
          <w:i/>
          <w:iCs/>
        </w:rPr>
        <w:t xml:space="preserve"> La ley posterior prevalece sobre la ley anterior. En caso de que una ley posterior sea contraria a otra anterior, y ambas preexistentes al hecho que se juzga, se aplicara la ley posterior. </w:t>
      </w:r>
    </w:p>
    <w:p w14:paraId="347BD501" w14:textId="77777777" w:rsidR="008945AF" w:rsidRPr="00C63186" w:rsidRDefault="008945AF" w:rsidP="008945AF">
      <w:pPr>
        <w:shd w:val="clear" w:color="auto" w:fill="FFFFFF"/>
        <w:spacing w:after="0"/>
        <w:ind w:left="567"/>
        <w:jc w:val="both"/>
        <w:rPr>
          <w:rFonts w:ascii="Arial" w:hAnsi="Arial" w:cs="Arial"/>
          <w:i/>
          <w:iCs/>
        </w:rPr>
      </w:pPr>
      <w:r w:rsidRPr="00C63186">
        <w:rPr>
          <w:rFonts w:ascii="Arial" w:hAnsi="Arial" w:cs="Arial"/>
          <w:b/>
          <w:bCs/>
          <w:i/>
          <w:iCs/>
        </w:rPr>
        <w:t>Artículo 3.</w:t>
      </w:r>
      <w:r w:rsidRPr="00C63186">
        <w:rPr>
          <w:rFonts w:ascii="Arial" w:hAnsi="Arial" w:cs="Arial"/>
          <w:i/>
          <w:iCs/>
        </w:rPr>
        <w:t xml:space="preserve"> Estímase insubsistente una disposición legal por declaración expresa del legislador, o por incompatibilidad con disposiciones especiales posteriores, o por existir una ley nueva que regula íntegramente la materia a que la anterior disposición se refería. </w:t>
      </w:r>
    </w:p>
    <w:p w14:paraId="0DA747A8" w14:textId="77777777" w:rsidR="008945AF" w:rsidRPr="00C63186" w:rsidRDefault="008945AF" w:rsidP="008945AF">
      <w:pPr>
        <w:shd w:val="clear" w:color="auto" w:fill="FFFFFF"/>
        <w:spacing w:after="0" w:line="240" w:lineRule="auto"/>
        <w:jc w:val="both"/>
        <w:rPr>
          <w:rFonts w:ascii="Arial" w:hAnsi="Arial" w:cs="Arial"/>
          <w:sz w:val="24"/>
          <w:szCs w:val="24"/>
        </w:rPr>
      </w:pPr>
    </w:p>
    <w:p w14:paraId="6574A5A9"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Así, la Ley 142 de 1994</w:t>
      </w:r>
      <w:r w:rsidRPr="00C63186">
        <w:rPr>
          <w:rStyle w:val="Refdenotaalpie"/>
          <w:rFonts w:ascii="Arial" w:hAnsi="Arial" w:cs="Arial"/>
          <w:sz w:val="24"/>
          <w:szCs w:val="24"/>
        </w:rPr>
        <w:footnoteReference w:id="30"/>
      </w:r>
      <w:r w:rsidRPr="00C63186">
        <w:rPr>
          <w:rFonts w:ascii="Arial" w:hAnsi="Arial" w:cs="Arial"/>
          <w:sz w:val="24"/>
          <w:szCs w:val="24"/>
        </w:rPr>
        <w:t>, mediante la cual se establecieron los parámetros aplicables a los servicios públicos domiciliarios, adoptó un régimen especial de contratación disponiendo en el Capítulo II “Contratos Especiales para la Gestión de los Servicios Públicos”, del Titulo II “Régimen de Actos y Contratos de las Empresas”, lo siguiente:</w:t>
      </w:r>
    </w:p>
    <w:p w14:paraId="470435FC" w14:textId="77777777" w:rsidR="008945AF" w:rsidRPr="00C63186" w:rsidRDefault="008945AF" w:rsidP="008945AF">
      <w:pPr>
        <w:ind w:left="705"/>
        <w:jc w:val="both"/>
        <w:rPr>
          <w:rFonts w:ascii="Arial" w:hAnsi="Arial" w:cs="Arial"/>
          <w:b/>
          <w:bCs/>
          <w:i/>
          <w:iCs/>
        </w:rPr>
      </w:pPr>
      <w:r w:rsidRPr="00C63186">
        <w:rPr>
          <w:rFonts w:ascii="Arial" w:hAnsi="Arial" w:cs="Arial"/>
          <w:b/>
          <w:bCs/>
          <w:i/>
          <w:iCs/>
        </w:rPr>
        <w:t xml:space="preserve">Artículo 39. CONTRATOS ESPECIALES. </w:t>
      </w:r>
      <w:r w:rsidRPr="00C63186">
        <w:rPr>
          <w:rFonts w:ascii="Arial" w:hAnsi="Arial" w:cs="Arial"/>
          <w:i/>
          <w:iCs/>
        </w:rPr>
        <w:t>Para los efectos de la gestión de los servicios públicos se autoriza la celebración, entre otros, de los siguientes contratos especiales:…</w:t>
      </w:r>
      <w:r w:rsidRPr="00C63186">
        <w:rPr>
          <w:rFonts w:ascii="Arial" w:hAnsi="Arial" w:cs="Arial"/>
          <w:b/>
          <w:bCs/>
          <w:i/>
          <w:iCs/>
        </w:rPr>
        <w:t xml:space="preserve"> </w:t>
      </w:r>
    </w:p>
    <w:p w14:paraId="0797EC7A"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 xml:space="preserve">Obsérvese como la citada disposición establece una numeración no taxativa de ciertos tipos contractuales, disponiendo que, </w:t>
      </w:r>
      <w:r w:rsidRPr="00C63186">
        <w:rPr>
          <w:rFonts w:ascii="Arial" w:hAnsi="Arial" w:cs="Arial"/>
          <w:b/>
          <w:bCs/>
          <w:sz w:val="24"/>
          <w:szCs w:val="24"/>
        </w:rPr>
        <w:t>entre otros</w:t>
      </w:r>
      <w:r w:rsidRPr="00C63186">
        <w:rPr>
          <w:rFonts w:ascii="Arial" w:hAnsi="Arial" w:cs="Arial"/>
          <w:sz w:val="24"/>
          <w:szCs w:val="24"/>
        </w:rPr>
        <w:t>, podrán adelantarse los allí mencionados, con lo que deja abierta la posibilidad de crear otros nuevos tipos, siempre que lo sean para la gestión de los servicios públicos.</w:t>
      </w:r>
    </w:p>
    <w:p w14:paraId="6A57B552"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En la Sentencia C-066 de 1997 la Corte Constitucional al analizar una demanda de inconstitucionalidad presentada en contra de algunas disposiciones de la Ley 142 de 1994, entre ellas sobre el parágrafo del artículo 39, señaló:</w:t>
      </w:r>
    </w:p>
    <w:p w14:paraId="41D4030D" w14:textId="77777777" w:rsidR="008945AF" w:rsidRPr="00C63186" w:rsidRDefault="008945AF" w:rsidP="008945AF">
      <w:pPr>
        <w:spacing w:after="160"/>
        <w:ind w:left="567"/>
        <w:jc w:val="both"/>
        <w:rPr>
          <w:rFonts w:ascii="Arial" w:hAnsi="Arial" w:cs="Arial"/>
          <w:i/>
          <w:iCs/>
          <w:kern w:val="2"/>
          <w14:ligatures w14:val="standardContextual"/>
        </w:rPr>
      </w:pPr>
      <w:r w:rsidRPr="00C63186">
        <w:rPr>
          <w:rFonts w:ascii="Arial" w:hAnsi="Arial" w:cs="Arial"/>
          <w:i/>
          <w:iCs/>
          <w:kern w:val="2"/>
          <w14:ligatures w14:val="standardContextual"/>
        </w:rPr>
        <w:t>Si los servicios públicos en general son actividades inconfundibles e inherentes a la finalidad del estado social de derecho colombiano (artículo 365 Superior), que busca servir a la comunidad, promover la prosperidad general y garantizar la efectividad de los principios, derechos y deberes consagrados en la Constitución (artículo 2° ibídem), no cabe duda de que aquéllos que persiguen un completo acercamiento entre los individuos y el Estado, deben ser objeto de su más honda preocupación. Son los servicios públicos domiciliarios, entendidos como una especie del género servicio público, que pretende satisfacer las necesidades más básicas de los asociados, ocupando un alto nivel de importancia dentro de las tareas y objetivos que componen la gestión estatal, al punto de convertirse en una de sus razones fundamentales.</w:t>
      </w:r>
    </w:p>
    <w:p w14:paraId="7D85D1A6" w14:textId="77777777" w:rsidR="008945AF" w:rsidRPr="00C63186" w:rsidRDefault="008945AF" w:rsidP="008945AF">
      <w:pPr>
        <w:spacing w:after="160"/>
        <w:ind w:left="567"/>
        <w:jc w:val="both"/>
        <w:rPr>
          <w:rFonts w:ascii="Arial" w:hAnsi="Arial" w:cs="Arial"/>
          <w:i/>
          <w:iCs/>
          <w:kern w:val="2"/>
          <w14:ligatures w14:val="standardContextual"/>
        </w:rPr>
      </w:pPr>
      <w:r w:rsidRPr="00C63186">
        <w:rPr>
          <w:rFonts w:ascii="Arial" w:hAnsi="Arial" w:cs="Arial"/>
          <w:i/>
          <w:iCs/>
          <w:kern w:val="2"/>
          <w14:ligatures w14:val="standardContextual"/>
        </w:rPr>
        <w:t>La idea de tales servicios no puede concebirse en otra forma, teniendo en cuenta el inescindible vínculo existente entre la prestación de los mismos y la efectividad de ciertas garantías y derechos constitucionales fundamentales de las personas, que constituyen razón de la existencia de la parte orgánica de la Carta y de la estructura y ejercicio del poder público. Indudablemente, una ineficiente prestación de los servicios públicos puede acarrear perjuicio para derechos de alta significación como la vida, la integridad personal, la salud, etc.</w:t>
      </w:r>
    </w:p>
    <w:p w14:paraId="11C8DBE5" w14:textId="77777777" w:rsidR="008945AF" w:rsidRPr="00C63186" w:rsidRDefault="008945AF" w:rsidP="008945AF">
      <w:pPr>
        <w:ind w:left="567"/>
        <w:jc w:val="both"/>
        <w:rPr>
          <w:rFonts w:ascii="Arial" w:hAnsi="Arial" w:cs="Arial"/>
          <w:i/>
          <w:iCs/>
        </w:rPr>
      </w:pPr>
      <w:r w:rsidRPr="00C63186">
        <w:rPr>
          <w:rFonts w:ascii="Arial" w:hAnsi="Arial" w:cs="Arial"/>
          <w:i/>
          <w:iCs/>
        </w:rPr>
        <w:t>(…)</w:t>
      </w:r>
    </w:p>
    <w:p w14:paraId="61A8AD24" w14:textId="77777777" w:rsidR="008945AF" w:rsidRPr="00C63186" w:rsidRDefault="008945AF" w:rsidP="008945AF">
      <w:pPr>
        <w:spacing w:after="160"/>
        <w:ind w:left="567"/>
        <w:jc w:val="both"/>
        <w:rPr>
          <w:rFonts w:ascii="Arial" w:hAnsi="Arial" w:cs="Arial"/>
          <w:i/>
          <w:iCs/>
          <w:kern w:val="2"/>
          <w14:ligatures w14:val="standardContextual"/>
        </w:rPr>
      </w:pPr>
      <w:r w:rsidRPr="00C63186">
        <w:rPr>
          <w:rFonts w:ascii="Arial" w:hAnsi="Arial" w:cs="Arial"/>
          <w:i/>
          <w:iCs/>
          <w:kern w:val="2"/>
          <w14:ligatures w14:val="standardContextual"/>
        </w:rPr>
        <w:t>Así</w:t>
      </w:r>
      <w:r w:rsidRPr="00C63186">
        <w:rPr>
          <w:rFonts w:ascii="Arial" w:hAnsi="Arial" w:cs="Arial"/>
          <w:i/>
          <w:iCs/>
        </w:rPr>
        <w:t xml:space="preserve"> </w:t>
      </w:r>
      <w:r w:rsidRPr="00C63186">
        <w:rPr>
          <w:rFonts w:ascii="Arial" w:hAnsi="Arial" w:cs="Arial"/>
          <w:i/>
          <w:iCs/>
          <w:kern w:val="2"/>
          <w14:ligatures w14:val="standardContextual"/>
        </w:rPr>
        <w:t xml:space="preserve">mismo, dedicó una disposición especial al tema de los servicios públicos domiciliarios, como aplicación más concreta del género servicios públicos, para dejar en manos de la ley </w:t>
      </w:r>
      <w:r w:rsidRPr="00C63186">
        <w:rPr>
          <w:rFonts w:ascii="Arial" w:hAnsi="Arial" w:cs="Arial"/>
          <w:i/>
          <w:iCs/>
          <w:kern w:val="2"/>
          <w14:ligatures w14:val="standardContextual"/>
        </w:rPr>
        <w:lastRenderedPageBreak/>
        <w:t>las competencias y responsabilidades relativas a su prestación, cobertura, calidad y financiación, a la luz de criterios de solidaridad y redistribución de ingresos, en busca de asegurar la igualdad y el marco jurídico-político democrático, participativo y justo que esta república unitaria se propuso en el Preámbulo de su Constitución.</w:t>
      </w:r>
    </w:p>
    <w:p w14:paraId="1F072CD3" w14:textId="77777777" w:rsidR="008945AF" w:rsidRPr="00C63186" w:rsidRDefault="008945AF" w:rsidP="008945AF">
      <w:pPr>
        <w:ind w:left="567"/>
        <w:jc w:val="both"/>
        <w:rPr>
          <w:rFonts w:ascii="Arial" w:hAnsi="Arial" w:cs="Arial"/>
          <w:i/>
          <w:iCs/>
        </w:rPr>
      </w:pPr>
      <w:r w:rsidRPr="00C63186">
        <w:rPr>
          <w:rFonts w:ascii="Arial" w:hAnsi="Arial" w:cs="Arial"/>
          <w:i/>
          <w:iCs/>
        </w:rPr>
        <w:t>(…)</w:t>
      </w:r>
    </w:p>
    <w:p w14:paraId="714F5FF5" w14:textId="77777777" w:rsidR="008945AF" w:rsidRPr="00C63186" w:rsidRDefault="008945AF" w:rsidP="008945AF">
      <w:pPr>
        <w:ind w:left="567"/>
        <w:jc w:val="both"/>
        <w:rPr>
          <w:rFonts w:ascii="Arial" w:hAnsi="Arial" w:cs="Arial"/>
          <w:i/>
          <w:iCs/>
        </w:rPr>
      </w:pPr>
      <w:r w:rsidRPr="00C63186">
        <w:rPr>
          <w:rFonts w:ascii="Arial" w:hAnsi="Arial" w:cs="Arial"/>
          <w:i/>
          <w:iCs/>
        </w:rPr>
        <w:t>Tampoco desbordó el legislador la competencia dada por el Constituyente para expedir el estatuto general de la contratación de la administración pública, toda vez que el régimen de contratos organizado en la ley 142 de 1994 no es de la administración pública, sino de los servicios públicos domiciliarios que pueden ser prestados bien por ella, bien por sociedades por acciones, personas naturales o jurídicas privadas, organizaciones y entidades autorizadas, entidades descentralizadas, etc. (ver artículo 15 de la ley). Entonces, la ley 80 de 1993 no podía cubrir a todas las personas en posibilidad de prestar los servicios públicos domiciliarios, por ello fue necesario dictar una reglamentación especial sobre la materia y ésta nada tiene que ver con el inciso final del artículo 150 de la Carta, sino con los artículos 365 y 367 de la misma, directos depositantes de tal facultad en el legislador.</w:t>
      </w:r>
    </w:p>
    <w:p w14:paraId="0D213AE2" w14:textId="77777777" w:rsidR="008945AF" w:rsidRPr="00C63186" w:rsidRDefault="008945AF" w:rsidP="008945AF">
      <w:pPr>
        <w:ind w:left="567"/>
        <w:jc w:val="both"/>
        <w:rPr>
          <w:rFonts w:ascii="Arial" w:hAnsi="Arial" w:cs="Arial"/>
        </w:rPr>
      </w:pPr>
      <w:r w:rsidRPr="00C63186">
        <w:rPr>
          <w:rFonts w:ascii="Arial" w:hAnsi="Arial" w:cs="Arial"/>
        </w:rPr>
        <w:t>(…)</w:t>
      </w:r>
    </w:p>
    <w:p w14:paraId="4EDCB3C3" w14:textId="77777777" w:rsidR="008945AF" w:rsidRPr="00C63186" w:rsidRDefault="008945AF" w:rsidP="008945AF">
      <w:pPr>
        <w:ind w:left="567"/>
        <w:jc w:val="both"/>
        <w:rPr>
          <w:rFonts w:ascii="Arial" w:hAnsi="Arial" w:cs="Arial"/>
          <w:i/>
          <w:iCs/>
        </w:rPr>
      </w:pPr>
      <w:r w:rsidRPr="00C63186">
        <w:rPr>
          <w:rFonts w:ascii="Arial" w:hAnsi="Arial" w:cs="Arial"/>
          <w:i/>
          <w:iCs/>
        </w:rPr>
        <w:t>… la ley y ésta fue facultada por los artículos 365 y 367 de la Constitución para organizar lo relativo a los servicios públicos en general, y a los domiciliarios en particular, lo cual incluye, desde luego, la posibilidad de desarrollar dentro del marco legal lo referente a los contratos de manera independiente de la ley 80 de 1993,…</w:t>
      </w:r>
    </w:p>
    <w:p w14:paraId="03E91A82" w14:textId="77777777" w:rsidR="008945AF" w:rsidRPr="00C63186" w:rsidRDefault="008945AF" w:rsidP="008945AF">
      <w:pPr>
        <w:jc w:val="both"/>
        <w:rPr>
          <w:rFonts w:ascii="Arial" w:hAnsi="Arial" w:cs="Arial"/>
          <w:sz w:val="24"/>
          <w:szCs w:val="24"/>
        </w:rPr>
      </w:pPr>
      <w:r w:rsidRPr="54B2E939">
        <w:rPr>
          <w:rFonts w:ascii="Arial" w:hAnsi="Arial" w:cs="Arial"/>
          <w:sz w:val="24"/>
          <w:szCs w:val="24"/>
        </w:rPr>
        <w:t>El Consejo de Estado, en Sentencia del 09 de mayo de 2024, Radicado 76001233100020060332003 (53.962), Consejero Ponente José Roberto Sáchica Méndez, indicó:</w:t>
      </w:r>
    </w:p>
    <w:p w14:paraId="20AA9876" w14:textId="77777777" w:rsidR="008945AF" w:rsidRPr="00C63186" w:rsidRDefault="008945AF" w:rsidP="008945AF">
      <w:pPr>
        <w:ind w:left="567"/>
        <w:jc w:val="both"/>
        <w:rPr>
          <w:rFonts w:ascii="Arial" w:hAnsi="Arial" w:cs="Arial"/>
          <w:i/>
          <w:iCs/>
        </w:rPr>
      </w:pPr>
      <w:r w:rsidRPr="00C63186">
        <w:rPr>
          <w:rFonts w:ascii="Arial" w:hAnsi="Arial" w:cs="Arial"/>
          <w:i/>
          <w:iCs/>
        </w:rPr>
        <w:t>35. De manera que bajo el actual modelo constitucional de los servicios públicos, el Estado retuvo las funciones de dirección e intervención, y conforme al capítulo relativo a “LA FINALIDAD SOCIAL DEL ESTADO Y DE LOS SERVICIOS PÚBLICOS” le corresponde asegurar su prestación eficiente, sea que para ello participe directamente o no (art. 365), pues se trata de un régimen atado al servicio y no al criterio orgánico, y menos es relevante la naturaleza privada o pública del prestador.</w:t>
      </w:r>
    </w:p>
    <w:p w14:paraId="4BA7B94A" w14:textId="77777777" w:rsidR="008945AF" w:rsidRPr="00C63186" w:rsidRDefault="008945AF" w:rsidP="008945AF">
      <w:pPr>
        <w:ind w:left="567"/>
        <w:jc w:val="both"/>
        <w:rPr>
          <w:rFonts w:ascii="Arial" w:hAnsi="Arial" w:cs="Arial"/>
          <w:i/>
          <w:iCs/>
        </w:rPr>
      </w:pPr>
      <w:r w:rsidRPr="00C63186">
        <w:rPr>
          <w:rFonts w:ascii="Arial" w:hAnsi="Arial" w:cs="Arial"/>
          <w:i/>
          <w:iCs/>
        </w:rPr>
        <w:t>(…)</w:t>
      </w:r>
    </w:p>
    <w:p w14:paraId="7C7C1E3A" w14:textId="77777777" w:rsidR="008945AF" w:rsidRPr="00C63186" w:rsidRDefault="008945AF" w:rsidP="008945AF">
      <w:pPr>
        <w:spacing w:after="0"/>
        <w:ind w:left="567"/>
        <w:jc w:val="both"/>
        <w:rPr>
          <w:rFonts w:ascii="Arial" w:hAnsi="Arial" w:cs="Arial"/>
          <w:i/>
          <w:iCs/>
        </w:rPr>
      </w:pPr>
      <w:r w:rsidRPr="00C63186">
        <w:rPr>
          <w:rFonts w:ascii="Arial" w:hAnsi="Arial" w:cs="Arial"/>
          <w:i/>
          <w:iCs/>
        </w:rPr>
        <w:t>40. La autonomía de este régimen se explica, además, en que el legislador estableció que para resolver cualquier dificultad de interpretación o vacío sobre la aplicación de las disposiciones de servicios públicos a los que se refiere esa ley, o las demás que surjan de tal mandato, se acudirá a sus principios generales</w:t>
      </w:r>
      <w:r w:rsidRPr="00C63186">
        <w:rPr>
          <w:rFonts w:ascii="Arial" w:hAnsi="Arial" w:cs="Arial"/>
          <w:i/>
          <w:iCs/>
          <w:vertAlign w:val="superscript"/>
        </w:rPr>
        <w:t>20</w:t>
      </w:r>
      <w:r w:rsidRPr="00C63186">
        <w:rPr>
          <w:rFonts w:ascii="Arial" w:hAnsi="Arial" w:cs="Arial"/>
          <w:i/>
          <w:iCs/>
        </w:rPr>
        <w:t xml:space="preserve"> sin distinguir si la prestación se hace a través de una entidad pública, privada o mixta</w:t>
      </w:r>
      <w:r w:rsidRPr="00C63186">
        <w:rPr>
          <w:rFonts w:ascii="Arial" w:hAnsi="Arial" w:cs="Arial"/>
          <w:i/>
          <w:iCs/>
          <w:vertAlign w:val="superscript"/>
        </w:rPr>
        <w:t>21</w:t>
      </w:r>
      <w:r w:rsidRPr="00C63186">
        <w:rPr>
          <w:rFonts w:ascii="Arial" w:hAnsi="Arial" w:cs="Arial"/>
          <w:i/>
          <w:iCs/>
        </w:rPr>
        <w:t>; de modo que todos los prestadores quedan sujetos en iguales condiciones a sus normas.</w:t>
      </w:r>
    </w:p>
    <w:p w14:paraId="40A088D0" w14:textId="77777777" w:rsidR="008945AF" w:rsidRPr="00C63186" w:rsidRDefault="008945AF" w:rsidP="008945AF">
      <w:pPr>
        <w:spacing w:after="0"/>
        <w:ind w:left="567"/>
        <w:jc w:val="both"/>
        <w:rPr>
          <w:rFonts w:ascii="Arial" w:hAnsi="Arial" w:cs="Arial"/>
          <w:sz w:val="24"/>
          <w:szCs w:val="24"/>
        </w:rPr>
      </w:pPr>
      <w:r w:rsidRPr="00C63186">
        <w:rPr>
          <w:rFonts w:ascii="Arial" w:hAnsi="Arial" w:cs="Arial"/>
          <w:sz w:val="24"/>
          <w:szCs w:val="24"/>
        </w:rPr>
        <w:t>__________________</w:t>
      </w:r>
    </w:p>
    <w:p w14:paraId="69AD6336" w14:textId="77777777" w:rsidR="008945AF" w:rsidRPr="00C63186" w:rsidRDefault="008945AF" w:rsidP="008945AF">
      <w:pPr>
        <w:shd w:val="clear" w:color="auto" w:fill="FFFFFF"/>
        <w:spacing w:after="0" w:line="240" w:lineRule="auto"/>
        <w:ind w:left="567"/>
        <w:jc w:val="both"/>
        <w:rPr>
          <w:rFonts w:ascii="Arial" w:hAnsi="Arial" w:cs="Arial"/>
          <w:i/>
          <w:iCs/>
          <w:sz w:val="24"/>
          <w:szCs w:val="24"/>
        </w:rPr>
      </w:pPr>
    </w:p>
    <w:p w14:paraId="3BC3EBAE" w14:textId="77777777" w:rsidR="008945AF" w:rsidRPr="00C63186" w:rsidRDefault="008945AF" w:rsidP="008945AF">
      <w:pPr>
        <w:pStyle w:val="Textonotapie"/>
        <w:ind w:left="567" w:hanging="567"/>
        <w:jc w:val="both"/>
        <w:rPr>
          <w:rFonts w:ascii="Arial" w:hAnsi="Arial" w:cs="Arial"/>
          <w:kern w:val="2"/>
        </w:rPr>
      </w:pPr>
      <w:r w:rsidRPr="00C63186">
        <w:rPr>
          <w:rFonts w:ascii="Arial" w:hAnsi="Arial" w:cs="Arial"/>
          <w:kern w:val="2"/>
          <w:vertAlign w:val="superscript"/>
        </w:rPr>
        <w:t>20</w:t>
      </w:r>
      <w:r w:rsidRPr="00C63186">
        <w:rPr>
          <w:rFonts w:ascii="Arial" w:hAnsi="Arial" w:cs="Arial"/>
          <w:sz w:val="24"/>
          <w:szCs w:val="24"/>
          <w:vertAlign w:val="superscript"/>
        </w:rPr>
        <w:tab/>
      </w:r>
      <w:r w:rsidRPr="00C63186">
        <w:rPr>
          <w:rFonts w:ascii="Arial" w:hAnsi="Arial" w:cs="Arial"/>
          <w:kern w:val="2"/>
        </w:rPr>
        <w:t xml:space="preserve">“ARTÍCULO 13. APLICACIÓN DE LOS PRINCIPIOS GENERALES. Los principios que contiene este capítulo se utilizarán para resolver cualquier dificultad de interpretación al aplicar las normas sobre los servicios públicos a los que esta u otras leyes se refieren, y para suplir los vacíos que ellas presenten”. </w:t>
      </w:r>
    </w:p>
    <w:p w14:paraId="66353C9D" w14:textId="77777777" w:rsidR="008945AF" w:rsidRPr="00C63186" w:rsidRDefault="008945AF" w:rsidP="008945AF">
      <w:pPr>
        <w:pStyle w:val="Textonotapie"/>
        <w:ind w:left="567" w:hanging="567"/>
        <w:jc w:val="both"/>
        <w:rPr>
          <w:rFonts w:ascii="Arial" w:hAnsi="Arial" w:cs="Arial"/>
          <w:kern w:val="2"/>
        </w:rPr>
      </w:pPr>
    </w:p>
    <w:p w14:paraId="23633B0A" w14:textId="77777777" w:rsidR="008945AF" w:rsidRPr="00C63186" w:rsidRDefault="008945AF" w:rsidP="008945AF">
      <w:pPr>
        <w:pStyle w:val="Textonotapie"/>
        <w:ind w:left="567" w:hanging="567"/>
        <w:jc w:val="both"/>
        <w:rPr>
          <w:rFonts w:ascii="Arial" w:hAnsi="Arial" w:cs="Arial"/>
        </w:rPr>
      </w:pPr>
      <w:r w:rsidRPr="00C63186">
        <w:rPr>
          <w:rFonts w:ascii="Arial" w:hAnsi="Arial" w:cs="Arial"/>
          <w:kern w:val="2"/>
          <w:vertAlign w:val="superscript"/>
        </w:rPr>
        <w:t>21</w:t>
      </w:r>
      <w:r w:rsidRPr="00C63186">
        <w:rPr>
          <w:rFonts w:ascii="Arial" w:hAnsi="Arial" w:cs="Arial"/>
        </w:rPr>
        <w:tab/>
      </w:r>
      <w:r w:rsidRPr="00C63186">
        <w:rPr>
          <w:rFonts w:ascii="Arial" w:hAnsi="Arial" w:cs="Arial"/>
          <w:kern w:val="2"/>
        </w:rPr>
        <w:t xml:space="preserve">La Ley 142 de 1994 definió que las empresas de servicios públicos domiciliarios –ESP– son, entre otros, los sujetos habilitados para su prestación, en la forma y términos allí establecidos: </w:t>
      </w:r>
    </w:p>
    <w:p w14:paraId="30DCA69B" w14:textId="77777777" w:rsidR="008945AF" w:rsidRPr="00C63186" w:rsidRDefault="008945AF" w:rsidP="008945AF">
      <w:pPr>
        <w:pStyle w:val="Textonotapie"/>
        <w:jc w:val="both"/>
        <w:rPr>
          <w:rFonts w:ascii="Arial" w:hAnsi="Arial" w:cs="Arial"/>
          <w:kern w:val="2"/>
        </w:rPr>
      </w:pPr>
    </w:p>
    <w:p w14:paraId="1BF05616"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t>“ARTÍCULO 15. PERSONAS QUE PRESTAN SERVICIOS PÚBLICOS. Pueden prestar los servicios públicos:</w:t>
      </w:r>
    </w:p>
    <w:p w14:paraId="6E23524C"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t xml:space="preserve"> </w:t>
      </w:r>
    </w:p>
    <w:p w14:paraId="5C191250"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t xml:space="preserve">15.1. Las empresas de servicios públicos. </w:t>
      </w:r>
    </w:p>
    <w:p w14:paraId="48E065B2"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lastRenderedPageBreak/>
        <w:t xml:space="preserve">15.2. Las personas naturales o jurídicas que produzcan para ellas mismas, o como consecuencia o complemento de su actividad principal, los bienes y servicios propios del objeto de las empresas de servicios públicos. </w:t>
      </w:r>
    </w:p>
    <w:p w14:paraId="63AA4750"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t xml:space="preserve">15.3. Los municipios cuando asuman en forma directa, a través de su administración central, la prestación de los servicios públicos, conforme a lo dispuesto en esta Ley. </w:t>
      </w:r>
    </w:p>
    <w:p w14:paraId="167EA640"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t xml:space="preserve">15.4. Las organizaciones autorizadas conforme a esta Ley para prestar servicios públicos en municipios menores en zonas rurales y en áreas o zonas urbanas específicas. </w:t>
      </w:r>
    </w:p>
    <w:p w14:paraId="13BCA518" w14:textId="77777777" w:rsidR="008945AF" w:rsidRPr="00C63186" w:rsidRDefault="008945AF" w:rsidP="008945AF">
      <w:pPr>
        <w:pStyle w:val="Textonotapie"/>
        <w:ind w:left="851"/>
        <w:jc w:val="both"/>
        <w:rPr>
          <w:rFonts w:ascii="Arial" w:hAnsi="Arial" w:cs="Arial"/>
          <w:kern w:val="2"/>
        </w:rPr>
      </w:pPr>
      <w:r w:rsidRPr="00C63186">
        <w:rPr>
          <w:rFonts w:ascii="Arial" w:hAnsi="Arial" w:cs="Arial"/>
          <w:kern w:val="2"/>
        </w:rPr>
        <w:t xml:space="preserve">15.5. Las entidades autorizadas para prestar servicios públicos durante los períodos de transición previstos en esta Ley. </w:t>
      </w:r>
    </w:p>
    <w:p w14:paraId="471633E7" w14:textId="77777777" w:rsidR="008945AF" w:rsidRPr="00C63186" w:rsidRDefault="008945AF" w:rsidP="008945AF">
      <w:pPr>
        <w:pStyle w:val="Textonotapie"/>
        <w:ind w:left="851"/>
        <w:jc w:val="both"/>
        <w:rPr>
          <w:rFonts w:ascii="Arial" w:hAnsi="Arial" w:cs="Arial"/>
        </w:rPr>
      </w:pPr>
      <w:r w:rsidRPr="00C63186">
        <w:rPr>
          <w:rFonts w:ascii="Arial" w:hAnsi="Arial" w:cs="Arial"/>
          <w:kern w:val="2"/>
        </w:rPr>
        <w:t xml:space="preserve">15.6. Las entidades descentralizadas de cualquier orden territorial o nacional que al momento de expedirse esta Ley estén prestando cualquiera de los servicios públicos y se ajusten a lo establecido en el parágrafo del artículo 17”.  </w:t>
      </w:r>
    </w:p>
    <w:p w14:paraId="39D208DF" w14:textId="77777777" w:rsidR="008945AF" w:rsidRPr="00C63186" w:rsidRDefault="008945AF" w:rsidP="008945AF">
      <w:pPr>
        <w:pStyle w:val="Textonotapie"/>
        <w:jc w:val="both"/>
        <w:rPr>
          <w:rFonts w:ascii="Arial" w:hAnsi="Arial" w:cs="Arial"/>
          <w:sz w:val="24"/>
          <w:szCs w:val="24"/>
        </w:rPr>
      </w:pPr>
    </w:p>
    <w:p w14:paraId="49AB38B0"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 xml:space="preserve">En dicha Sentencia, el Consejo de Estado hace alusión a las menciones que la Corte Constitucional refiere en su Sentencia C-066 de 1997, cuyos apartes se transcribieron en los párrafos anteriores, para significar que la Ley 142 de 1994 estableció un régimen especial de contratación aplicable a la prestación de los servicios públicos domiciliarios.  </w:t>
      </w:r>
    </w:p>
    <w:p w14:paraId="557310C3" w14:textId="78F0ADCA" w:rsidR="008945AF" w:rsidRDefault="008F60C8" w:rsidP="003E028A">
      <w:pPr>
        <w:pStyle w:val="Ttulo5"/>
        <w:ind w:left="1008" w:hanging="1008"/>
      </w:pPr>
      <w:bookmarkStart w:id="70" w:name="_Toc224844304"/>
      <w:r>
        <w:rPr>
          <w:bCs/>
        </w:rPr>
        <w:t>I-</w:t>
      </w:r>
      <w:r w:rsidR="00465537" w:rsidRPr="00B03685">
        <w:t xml:space="preserve">5.2 </w:t>
      </w:r>
      <w:r w:rsidR="008945AF" w:rsidRPr="00B03685">
        <w:t>Del régimen de los servicios públicos domiciliarios</w:t>
      </w:r>
      <w:bookmarkEnd w:id="70"/>
    </w:p>
    <w:p w14:paraId="4D6588EC" w14:textId="77777777" w:rsidR="00E37F7F" w:rsidRPr="00E37F7F" w:rsidRDefault="00E37F7F" w:rsidP="00E37F7F"/>
    <w:p w14:paraId="33A48EFA" w14:textId="77777777" w:rsidR="008945AF" w:rsidRPr="00C63186"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La Ley 142 de 1994 estableció precisos parámetros en relación con estos servicios, constituyéndose en norma especial y por tanto de aplicabilidad superior en los temas relacionados con los mismos. Para ello señaló entre su extensa normatividad:</w:t>
      </w:r>
    </w:p>
    <w:p w14:paraId="4B0DDE0B" w14:textId="77777777" w:rsidR="008945AF" w:rsidRPr="00C63186" w:rsidRDefault="008945AF" w:rsidP="008945AF">
      <w:pPr>
        <w:shd w:val="clear" w:color="auto" w:fill="FFFFFF"/>
        <w:spacing w:after="0" w:line="240" w:lineRule="auto"/>
        <w:jc w:val="both"/>
        <w:rPr>
          <w:rFonts w:ascii="Arial" w:hAnsi="Arial" w:cs="Arial"/>
          <w:color w:val="333333"/>
          <w:sz w:val="24"/>
          <w:szCs w:val="24"/>
          <w:shd w:val="clear" w:color="auto" w:fill="FFFFFF"/>
        </w:rPr>
      </w:pPr>
    </w:p>
    <w:p w14:paraId="6E0C21F0" w14:textId="77777777" w:rsidR="008945AF" w:rsidRPr="00C63186" w:rsidRDefault="008945AF" w:rsidP="008945AF">
      <w:pPr>
        <w:shd w:val="clear" w:color="auto" w:fill="FFFFFF"/>
        <w:spacing w:after="0"/>
        <w:ind w:left="567"/>
        <w:jc w:val="both"/>
        <w:rPr>
          <w:rFonts w:ascii="Arial" w:hAnsi="Arial" w:cs="Arial"/>
          <w:i/>
          <w:iCs/>
        </w:rPr>
      </w:pPr>
      <w:r w:rsidRPr="00C63186">
        <w:rPr>
          <w:rFonts w:ascii="Arial" w:hAnsi="Arial" w:cs="Arial"/>
          <w:i/>
          <w:iCs/>
        </w:rPr>
        <w:t>14.20. </w:t>
      </w:r>
      <w:hyperlink r:id="rId13" w:anchor="2" w:history="1">
        <w:r w:rsidRPr="00C63186">
          <w:rPr>
            <w:rFonts w:ascii="Arial" w:hAnsi="Arial" w:cs="Arial"/>
            <w:i/>
            <w:iCs/>
          </w:rPr>
          <w:t>Modificado por el art. 2 de la Ley 689 de 2001</w:t>
        </w:r>
      </w:hyperlink>
      <w:r w:rsidRPr="00C63186">
        <w:rPr>
          <w:rFonts w:ascii="Arial" w:hAnsi="Arial" w:cs="Arial"/>
          <w:i/>
          <w:iCs/>
        </w:rPr>
        <w:t>. Servicios públicos. Son todos los servicios y actividades complementarias a los que se aplica esta Ley.</w:t>
      </w:r>
    </w:p>
    <w:p w14:paraId="627EDB23" w14:textId="77777777" w:rsidR="008945AF" w:rsidRPr="00C63186" w:rsidRDefault="008945AF" w:rsidP="008945AF">
      <w:pPr>
        <w:shd w:val="clear" w:color="auto" w:fill="FFFFFF"/>
        <w:spacing w:after="0" w:line="240" w:lineRule="auto"/>
        <w:jc w:val="both"/>
        <w:rPr>
          <w:rFonts w:ascii="Arial" w:hAnsi="Arial" w:cs="Arial"/>
          <w:color w:val="333333"/>
          <w:sz w:val="24"/>
          <w:szCs w:val="24"/>
          <w:shd w:val="clear" w:color="auto" w:fill="FFFFFF"/>
        </w:rPr>
      </w:pPr>
    </w:p>
    <w:p w14:paraId="37A9BDBC" w14:textId="77777777" w:rsidR="008945AF" w:rsidRPr="00C63186"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Respecto de las actividades complementarias indicó:</w:t>
      </w:r>
    </w:p>
    <w:p w14:paraId="05E09DFB" w14:textId="77777777" w:rsidR="008945AF" w:rsidRPr="00C63186" w:rsidRDefault="008945AF" w:rsidP="008945AF">
      <w:pPr>
        <w:shd w:val="clear" w:color="auto" w:fill="FFFFFF"/>
        <w:spacing w:after="0" w:line="240" w:lineRule="auto"/>
        <w:jc w:val="both"/>
        <w:rPr>
          <w:rFonts w:ascii="Arial" w:hAnsi="Arial" w:cs="Arial"/>
          <w:color w:val="333333"/>
          <w:sz w:val="24"/>
          <w:szCs w:val="24"/>
          <w:shd w:val="clear" w:color="auto" w:fill="FFFFFF"/>
        </w:rPr>
      </w:pPr>
    </w:p>
    <w:p w14:paraId="15196101" w14:textId="77777777" w:rsidR="008945AF" w:rsidRPr="00C63186" w:rsidRDefault="008945AF" w:rsidP="008945AF">
      <w:pPr>
        <w:shd w:val="clear" w:color="auto" w:fill="FFFFFF"/>
        <w:spacing w:after="0"/>
        <w:ind w:left="567"/>
        <w:jc w:val="both"/>
        <w:rPr>
          <w:rFonts w:ascii="Arial" w:hAnsi="Arial" w:cs="Arial"/>
          <w:i/>
          <w:iCs/>
        </w:rPr>
      </w:pPr>
      <w:r w:rsidRPr="00C63186">
        <w:rPr>
          <w:rFonts w:ascii="Arial" w:hAnsi="Arial" w:cs="Arial"/>
          <w:i/>
          <w:iCs/>
        </w:rPr>
        <w:t>14.2. Actividad complementaria de un servicio público. Son las actividades a las que también se aplica esta Ley, según la precisión que se hace adelante, al definir cada servicio público. Cuando en esta Ley se mencionen los servicios públicos, sin hacer precisión especial, se entienden incluidas tales actividades.</w:t>
      </w:r>
    </w:p>
    <w:p w14:paraId="09AB2D65" w14:textId="77777777" w:rsidR="008945AF" w:rsidRPr="00C63186" w:rsidRDefault="008945AF" w:rsidP="008945AF">
      <w:pPr>
        <w:shd w:val="clear" w:color="auto" w:fill="FFFFFF"/>
        <w:spacing w:after="0"/>
        <w:ind w:left="567"/>
        <w:jc w:val="both"/>
        <w:rPr>
          <w:rFonts w:ascii="Arial" w:hAnsi="Arial" w:cs="Arial"/>
          <w:i/>
          <w:iCs/>
        </w:rPr>
      </w:pPr>
    </w:p>
    <w:p w14:paraId="06F940DB" w14:textId="77777777" w:rsidR="008945AF" w:rsidRPr="00C63186" w:rsidRDefault="008945AF" w:rsidP="008945AF">
      <w:pPr>
        <w:shd w:val="clear" w:color="auto" w:fill="FFFFFF"/>
        <w:spacing w:after="0"/>
        <w:ind w:left="567"/>
        <w:jc w:val="both"/>
        <w:rPr>
          <w:rFonts w:ascii="Arial" w:hAnsi="Arial" w:cs="Arial"/>
          <w:b/>
          <w:bCs/>
          <w:i/>
          <w:iCs/>
        </w:rPr>
      </w:pPr>
      <w:r w:rsidRPr="00C63186">
        <w:rPr>
          <w:rFonts w:ascii="Arial" w:hAnsi="Arial" w:cs="Arial"/>
          <w:i/>
          <w:iCs/>
        </w:rPr>
        <w:t xml:space="preserve">14.25. Servicio público domiciliario de energía eléctrica. Es el transporte de energía eléctrica desde las redes regionales de transmisión hasta el domicilio del usuario final, incluida su conexión y medición. También se aplicará esta Ley a las </w:t>
      </w:r>
      <w:r w:rsidRPr="00C63186">
        <w:rPr>
          <w:rFonts w:ascii="Arial" w:hAnsi="Arial" w:cs="Arial"/>
          <w:b/>
          <w:bCs/>
          <w:i/>
          <w:iCs/>
        </w:rPr>
        <w:t xml:space="preserve">actividades complementarias de generación, de comercialización, de transformación, interconexión y transmisión. </w:t>
      </w:r>
    </w:p>
    <w:p w14:paraId="2339B7C6" w14:textId="77777777" w:rsidR="008945AF" w:rsidRPr="00C63186" w:rsidRDefault="008945AF" w:rsidP="008945AF">
      <w:pPr>
        <w:shd w:val="clear" w:color="auto" w:fill="FFFFFF"/>
        <w:spacing w:after="0" w:line="240" w:lineRule="auto"/>
        <w:jc w:val="both"/>
        <w:rPr>
          <w:rFonts w:ascii="Arial" w:hAnsi="Arial" w:cs="Arial"/>
          <w:sz w:val="24"/>
          <w:szCs w:val="24"/>
        </w:rPr>
      </w:pPr>
    </w:p>
    <w:p w14:paraId="784BF2D4" w14:textId="77777777" w:rsidR="008945AF" w:rsidRPr="00C63186"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Así mismo dispuso:</w:t>
      </w:r>
    </w:p>
    <w:p w14:paraId="14AFAF4C" w14:textId="77777777" w:rsidR="008945AF" w:rsidRPr="00C63186" w:rsidRDefault="008945AF" w:rsidP="008945AF">
      <w:pPr>
        <w:shd w:val="clear" w:color="auto" w:fill="FFFFFF"/>
        <w:spacing w:after="0" w:line="240" w:lineRule="auto"/>
        <w:jc w:val="both"/>
        <w:rPr>
          <w:rFonts w:ascii="Arial" w:hAnsi="Arial" w:cs="Arial"/>
          <w:sz w:val="24"/>
          <w:szCs w:val="24"/>
        </w:rPr>
      </w:pPr>
    </w:p>
    <w:p w14:paraId="32E4A8E3" w14:textId="77777777" w:rsidR="008945AF" w:rsidRPr="00C63186" w:rsidRDefault="008945AF" w:rsidP="008945AF">
      <w:pPr>
        <w:shd w:val="clear" w:color="auto" w:fill="FFFFFF"/>
        <w:spacing w:after="0"/>
        <w:ind w:left="567"/>
        <w:jc w:val="both"/>
        <w:rPr>
          <w:rFonts w:ascii="Arial" w:hAnsi="Arial" w:cs="Arial"/>
          <w:i/>
          <w:iCs/>
        </w:rPr>
      </w:pPr>
      <w:r w:rsidRPr="00C63186">
        <w:rPr>
          <w:rFonts w:ascii="Arial" w:hAnsi="Arial" w:cs="Arial"/>
          <w:i/>
          <w:iCs/>
        </w:rPr>
        <w:t xml:space="preserve">14.21 Servicios públicos domiciliarios. Son los servicios de acueducto, alcantarillado, aseo, </w:t>
      </w:r>
      <w:r w:rsidRPr="00C63186">
        <w:rPr>
          <w:rFonts w:ascii="Arial" w:hAnsi="Arial" w:cs="Arial"/>
          <w:b/>
          <w:bCs/>
          <w:i/>
          <w:iCs/>
        </w:rPr>
        <w:t>energía eléctrica</w:t>
      </w:r>
      <w:r w:rsidRPr="00C63186">
        <w:rPr>
          <w:rFonts w:ascii="Arial" w:hAnsi="Arial" w:cs="Arial"/>
          <w:i/>
          <w:iCs/>
        </w:rPr>
        <w:t xml:space="preserve">, telefonía pública básica conmutada, telefonía móvil rural, y </w:t>
      </w:r>
      <w:r w:rsidRPr="00C63186">
        <w:rPr>
          <w:rFonts w:ascii="Arial" w:hAnsi="Arial" w:cs="Arial"/>
          <w:b/>
          <w:bCs/>
          <w:i/>
          <w:iCs/>
        </w:rPr>
        <w:t>distribución de gas combustible</w:t>
      </w:r>
      <w:r w:rsidRPr="00C63186">
        <w:rPr>
          <w:rFonts w:ascii="Arial" w:hAnsi="Arial" w:cs="Arial"/>
          <w:i/>
          <w:iCs/>
        </w:rPr>
        <w:t>, tal como se define en este capítulo.</w:t>
      </w:r>
    </w:p>
    <w:p w14:paraId="092FE1BD" w14:textId="77777777" w:rsidR="008945AF" w:rsidRPr="00C63186" w:rsidRDefault="008945AF" w:rsidP="008945AF">
      <w:pPr>
        <w:shd w:val="clear" w:color="auto" w:fill="FFFFFF"/>
        <w:spacing w:after="0" w:line="240" w:lineRule="auto"/>
        <w:ind w:left="567"/>
        <w:jc w:val="both"/>
        <w:rPr>
          <w:rFonts w:ascii="Arial" w:hAnsi="Arial" w:cs="Arial"/>
          <w:b/>
          <w:bCs/>
          <w:sz w:val="24"/>
          <w:szCs w:val="24"/>
        </w:rPr>
      </w:pPr>
    </w:p>
    <w:p w14:paraId="0CF3B7E6" w14:textId="77777777" w:rsidR="008945AF" w:rsidRPr="00C63186" w:rsidRDefault="008945AF" w:rsidP="008945AF">
      <w:pPr>
        <w:jc w:val="both"/>
        <w:rPr>
          <w:rFonts w:ascii="Arial" w:hAnsi="Arial" w:cs="Arial"/>
          <w:b/>
          <w:bCs/>
          <w:sz w:val="24"/>
          <w:szCs w:val="24"/>
        </w:rPr>
      </w:pPr>
      <w:r w:rsidRPr="00C63186">
        <w:rPr>
          <w:rFonts w:ascii="Arial" w:hAnsi="Arial" w:cs="Arial"/>
          <w:sz w:val="24"/>
          <w:szCs w:val="24"/>
        </w:rPr>
        <w:t>Obsérvese como la prestación de los servicios públicos domiciliarios de energía eléctrica y gas combustible por redes se encuentran sujetos a las disposiciones contenidas en la Ley 142 de 1994.</w:t>
      </w:r>
    </w:p>
    <w:p w14:paraId="7CE2BAC8"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Desde esta perspectiva debemos indicar que el numeral 3 del artículo 39 de la Ley 142 de 1994 dispone, a su vez, la realización de los siguientes tipos contractuales:</w:t>
      </w:r>
    </w:p>
    <w:p w14:paraId="21248EC2" w14:textId="77777777" w:rsidR="008945AF" w:rsidRPr="00C63186" w:rsidRDefault="008945AF" w:rsidP="00B320D0">
      <w:pPr>
        <w:pStyle w:val="Prrafodelista"/>
        <w:numPr>
          <w:ilvl w:val="0"/>
          <w:numId w:val="25"/>
        </w:numPr>
        <w:suppressAutoHyphens w:val="0"/>
        <w:spacing w:after="160" w:line="259" w:lineRule="auto"/>
        <w:jc w:val="both"/>
        <w:rPr>
          <w:rFonts w:ascii="Arial" w:hAnsi="Arial" w:cs="Arial"/>
          <w:sz w:val="24"/>
          <w:szCs w:val="24"/>
        </w:rPr>
      </w:pPr>
      <w:r w:rsidRPr="00C63186">
        <w:rPr>
          <w:rFonts w:ascii="Arial" w:hAnsi="Arial" w:cs="Arial"/>
          <w:sz w:val="24"/>
          <w:szCs w:val="24"/>
        </w:rPr>
        <w:lastRenderedPageBreak/>
        <w:t>Los de entidades oficiales (hoy llamadas entidades públicas) para transferir la propiedad o el uso y goce de los bienes que destina especialmente a prestar los servicios públicos</w:t>
      </w:r>
    </w:p>
    <w:p w14:paraId="128564F2" w14:textId="77777777" w:rsidR="008945AF" w:rsidRPr="00C63186" w:rsidRDefault="008945AF" w:rsidP="00B320D0">
      <w:pPr>
        <w:pStyle w:val="Prrafodelista"/>
        <w:numPr>
          <w:ilvl w:val="0"/>
          <w:numId w:val="25"/>
        </w:numPr>
        <w:suppressAutoHyphens w:val="0"/>
        <w:spacing w:after="160" w:line="259" w:lineRule="auto"/>
        <w:jc w:val="both"/>
        <w:rPr>
          <w:rFonts w:ascii="Arial" w:hAnsi="Arial" w:cs="Arial"/>
          <w:sz w:val="24"/>
          <w:szCs w:val="24"/>
        </w:rPr>
      </w:pPr>
      <w:r w:rsidRPr="00C63186">
        <w:rPr>
          <w:rFonts w:ascii="Arial" w:hAnsi="Arial" w:cs="Arial"/>
          <w:sz w:val="24"/>
          <w:szCs w:val="24"/>
        </w:rPr>
        <w:t>Las concesiones o similares</w:t>
      </w:r>
    </w:p>
    <w:p w14:paraId="227E61CC" w14:textId="77777777" w:rsidR="008945AF" w:rsidRPr="00C63186" w:rsidRDefault="008945AF" w:rsidP="00B320D0">
      <w:pPr>
        <w:pStyle w:val="Prrafodelista"/>
        <w:numPr>
          <w:ilvl w:val="0"/>
          <w:numId w:val="25"/>
        </w:numPr>
        <w:suppressAutoHyphens w:val="0"/>
        <w:spacing w:after="160" w:line="259" w:lineRule="auto"/>
        <w:jc w:val="both"/>
        <w:rPr>
          <w:rFonts w:ascii="Arial" w:hAnsi="Arial" w:cs="Arial"/>
          <w:sz w:val="24"/>
          <w:szCs w:val="24"/>
        </w:rPr>
      </w:pPr>
      <w:r w:rsidRPr="00C63186">
        <w:rPr>
          <w:rFonts w:ascii="Arial" w:hAnsi="Arial" w:cs="Arial"/>
          <w:sz w:val="24"/>
          <w:szCs w:val="24"/>
        </w:rPr>
        <w:t>Los que encomienden a terceros cualquiera de las actividades que ellas</w:t>
      </w:r>
      <w:r w:rsidRPr="00C63186">
        <w:rPr>
          <w:rStyle w:val="Refdenotaalpie"/>
          <w:rFonts w:ascii="Arial" w:hAnsi="Arial" w:cs="Arial"/>
          <w:sz w:val="24"/>
          <w:szCs w:val="24"/>
        </w:rPr>
        <w:footnoteReference w:id="31"/>
      </w:r>
      <w:r w:rsidRPr="00C63186">
        <w:rPr>
          <w:rFonts w:ascii="Arial" w:hAnsi="Arial" w:cs="Arial"/>
          <w:sz w:val="24"/>
          <w:szCs w:val="24"/>
        </w:rPr>
        <w:t xml:space="preserve"> hayan realizado para prestar los servicios públicos</w:t>
      </w:r>
    </w:p>
    <w:p w14:paraId="657A8654" w14:textId="77777777" w:rsidR="008945AF" w:rsidRPr="00C63186" w:rsidRDefault="008945AF" w:rsidP="00B320D0">
      <w:pPr>
        <w:pStyle w:val="Prrafodelista"/>
        <w:numPr>
          <w:ilvl w:val="0"/>
          <w:numId w:val="25"/>
        </w:numPr>
        <w:suppressAutoHyphens w:val="0"/>
        <w:spacing w:after="160" w:line="259" w:lineRule="auto"/>
        <w:jc w:val="both"/>
        <w:rPr>
          <w:rFonts w:ascii="Arial" w:hAnsi="Arial" w:cs="Arial"/>
          <w:sz w:val="24"/>
          <w:szCs w:val="24"/>
        </w:rPr>
      </w:pPr>
      <w:r w:rsidRPr="00C63186">
        <w:rPr>
          <w:rFonts w:ascii="Arial" w:hAnsi="Arial" w:cs="Arial"/>
          <w:sz w:val="24"/>
          <w:szCs w:val="24"/>
        </w:rPr>
        <w:t>Los que permitan que uno o más usuarios realicen las obras necesarias para recibir un servicio que las entidades oficiales estén prestando.</w:t>
      </w:r>
    </w:p>
    <w:p w14:paraId="28803FB3" w14:textId="77777777" w:rsidR="008945AF" w:rsidRPr="00C63186" w:rsidRDefault="008945AF" w:rsidP="00B320D0">
      <w:pPr>
        <w:pStyle w:val="Prrafodelista"/>
        <w:numPr>
          <w:ilvl w:val="0"/>
          <w:numId w:val="25"/>
        </w:numPr>
        <w:suppressAutoHyphens w:val="0"/>
        <w:spacing w:after="160" w:line="259" w:lineRule="auto"/>
        <w:jc w:val="both"/>
        <w:rPr>
          <w:rFonts w:ascii="Arial" w:hAnsi="Arial" w:cs="Arial"/>
          <w:sz w:val="24"/>
          <w:szCs w:val="24"/>
        </w:rPr>
      </w:pPr>
      <w:r w:rsidRPr="00C63186">
        <w:rPr>
          <w:rFonts w:ascii="Arial" w:hAnsi="Arial" w:cs="Arial"/>
          <w:sz w:val="24"/>
          <w:szCs w:val="24"/>
        </w:rPr>
        <w:t xml:space="preserve">Los que paguen con acciones de empresas los bienes o servicios que reciban </w:t>
      </w:r>
      <w:r w:rsidRPr="00C63186">
        <w:rPr>
          <w:rFonts w:ascii="Arial" w:hAnsi="Arial" w:cs="Arial"/>
          <w:sz w:val="24"/>
          <w:szCs w:val="24"/>
        </w:rPr>
        <w:tab/>
      </w:r>
    </w:p>
    <w:p w14:paraId="5B18812E"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En el Parágrafo del citado artículo 39 se indica:</w:t>
      </w:r>
    </w:p>
    <w:p w14:paraId="5620A2AB" w14:textId="77777777" w:rsidR="008945AF" w:rsidRPr="00C63186" w:rsidRDefault="008945AF" w:rsidP="008945AF">
      <w:pPr>
        <w:ind w:left="567"/>
        <w:jc w:val="both"/>
        <w:rPr>
          <w:rFonts w:ascii="Arial" w:hAnsi="Arial" w:cs="Arial"/>
          <w:i/>
          <w:iCs/>
        </w:rPr>
      </w:pPr>
      <w:r w:rsidRPr="00C63186">
        <w:rPr>
          <w:rFonts w:ascii="Arial" w:hAnsi="Arial" w:cs="Arial"/>
          <w:i/>
          <w:iCs/>
        </w:rPr>
        <w:t>Salvo los contratos de que tratan el parágrafo del artículo </w:t>
      </w:r>
      <w:hyperlink r:id="rId14" w:anchor="39" w:history="1">
        <w:r w:rsidRPr="00C63186">
          <w:rPr>
            <w:rFonts w:ascii="Arial" w:hAnsi="Arial" w:cs="Arial"/>
            <w:i/>
            <w:iCs/>
          </w:rPr>
          <w:t>39</w:t>
        </w:r>
      </w:hyperlink>
      <w:r w:rsidRPr="00C63186">
        <w:rPr>
          <w:rFonts w:ascii="Arial" w:hAnsi="Arial" w:cs="Arial"/>
          <w:i/>
          <w:iCs/>
        </w:rPr>
        <w:t> &lt;sic&gt; y el numeral 39.1 de la presente ley, todos aquellos a los que se refiere este artículo se regirán por el derecho privado.</w:t>
      </w:r>
    </w:p>
    <w:p w14:paraId="3D0D559C" w14:textId="77777777" w:rsidR="008945AF" w:rsidRPr="00C63186" w:rsidRDefault="008945AF" w:rsidP="008945AF">
      <w:pPr>
        <w:ind w:left="567"/>
        <w:jc w:val="both"/>
        <w:rPr>
          <w:rFonts w:ascii="Arial" w:hAnsi="Arial" w:cs="Arial"/>
          <w:i/>
          <w:iCs/>
        </w:rPr>
      </w:pPr>
      <w:r w:rsidRPr="00C63186">
        <w:rPr>
          <w:rFonts w:ascii="Arial" w:hAnsi="Arial" w:cs="Arial"/>
          <w:i/>
          <w:iCs/>
        </w:rPr>
        <w:t>Los que contemplan los numerales 39.1, 39.2 y el 39.3 no podrán ser cedidos a ningún título, ni podrán darse como garantía, ni ser objeto de ningún otro contrato, sin previa y expresa aprobación de la otra parte…</w:t>
      </w:r>
    </w:p>
    <w:p w14:paraId="439A1332" w14:textId="77777777" w:rsidR="008945AF" w:rsidRPr="00C63186"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Esta modificación introducida por el artículo 4 de la Ley 689 de 2001, al parágrafo del artículo 39 de la Ley 142 de 1994, debe leerse y entenderse en la forma en que se señala en el Resuelve de la Sentencia C-066 de 1997:</w:t>
      </w:r>
    </w:p>
    <w:p w14:paraId="08DF309F" w14:textId="77777777" w:rsidR="008945AF" w:rsidRPr="00C63186" w:rsidRDefault="008945AF" w:rsidP="008945AF">
      <w:pPr>
        <w:shd w:val="clear" w:color="auto" w:fill="FFFFFF"/>
        <w:spacing w:after="0" w:line="240" w:lineRule="auto"/>
        <w:jc w:val="both"/>
        <w:rPr>
          <w:rFonts w:ascii="Arial" w:hAnsi="Arial" w:cs="Arial"/>
          <w:sz w:val="24"/>
          <w:szCs w:val="24"/>
        </w:rPr>
      </w:pPr>
    </w:p>
    <w:p w14:paraId="7558F3DD" w14:textId="77777777" w:rsidR="008945AF" w:rsidRPr="00C63186" w:rsidRDefault="008945AF" w:rsidP="008945AF">
      <w:pPr>
        <w:ind w:left="567"/>
        <w:jc w:val="both"/>
        <w:rPr>
          <w:sz w:val="28"/>
          <w:szCs w:val="28"/>
        </w:rPr>
      </w:pPr>
      <w:r w:rsidRPr="54B2E939">
        <w:rPr>
          <w:rFonts w:ascii="Arial" w:hAnsi="Arial" w:cs="Arial"/>
          <w:i/>
          <w:iCs/>
        </w:rPr>
        <w:t>Tercero. Declarar EXEQUIBLE (…) Así mismo, la frase "Salvo los contratos de que trata el numeral 39.1, todos aquellos a los que se refiere este artículo se regirán por el derecho privado" del parágrafo del artículo 39 de la ley 142 de 1994</w:t>
      </w:r>
      <w:r w:rsidRPr="54B2E939">
        <w:rPr>
          <w:sz w:val="28"/>
          <w:szCs w:val="28"/>
        </w:rPr>
        <w:t>.</w:t>
      </w:r>
    </w:p>
    <w:p w14:paraId="709056A6" w14:textId="77777777" w:rsidR="008945AF" w:rsidRPr="00C63186" w:rsidRDefault="008945AF" w:rsidP="008945AF">
      <w:pPr>
        <w:shd w:val="clear" w:color="auto" w:fill="FFFFFF" w:themeFill="background1"/>
        <w:spacing w:after="0" w:line="240" w:lineRule="auto"/>
        <w:jc w:val="both"/>
        <w:rPr>
          <w:rFonts w:ascii="Arial" w:hAnsi="Arial" w:cs="Arial"/>
          <w:sz w:val="24"/>
          <w:szCs w:val="24"/>
        </w:rPr>
      </w:pPr>
      <w:r w:rsidRPr="54B2E939">
        <w:rPr>
          <w:rFonts w:ascii="Arial" w:hAnsi="Arial" w:cs="Arial"/>
          <w:sz w:val="24"/>
          <w:szCs w:val="24"/>
        </w:rPr>
        <w:t>Lo anterior permite concluir que los contratos que adelanten las Entidades Públicas para la gestión de los servicios públicos, como acontece con la construcción para la i) ampliación y/o mejoramiento de infraestructura para distribución de gas combustible por redes de tubería, ii) generación y/o distribución de energía eléctrica, iii) administración, iv) operación, v) mantenimiento, vi) energización y vii) reposición, se encuentran amparados por lo dispuesto en el numeral 3 del artículo 39 de la Ley 142 de 1994, específicamente:</w:t>
      </w:r>
    </w:p>
    <w:p w14:paraId="6C5917C3" w14:textId="77777777" w:rsidR="008945AF" w:rsidRPr="00C63186" w:rsidRDefault="008945AF" w:rsidP="008945AF">
      <w:pPr>
        <w:shd w:val="clear" w:color="auto" w:fill="FFFFFF"/>
        <w:spacing w:after="0" w:line="240" w:lineRule="auto"/>
        <w:jc w:val="both"/>
        <w:rPr>
          <w:rFonts w:ascii="Arial" w:hAnsi="Arial" w:cs="Arial"/>
          <w:sz w:val="24"/>
          <w:szCs w:val="24"/>
        </w:rPr>
      </w:pPr>
    </w:p>
    <w:p w14:paraId="30F17E9D" w14:textId="77777777" w:rsidR="008945AF" w:rsidRPr="00C63186"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a) Contratos de las entidades oficiales para transferir la propiedad o el uso y goce de los bienes que destina especialmente a prestar los servicios públicos.</w:t>
      </w:r>
    </w:p>
    <w:p w14:paraId="3B9320BB" w14:textId="77777777" w:rsidR="008945AF" w:rsidRPr="00C63186" w:rsidRDefault="008945AF" w:rsidP="008945AF">
      <w:pPr>
        <w:shd w:val="clear" w:color="auto" w:fill="FFFFFF"/>
        <w:spacing w:after="0" w:line="240" w:lineRule="auto"/>
        <w:jc w:val="both"/>
        <w:rPr>
          <w:rFonts w:ascii="Arial" w:hAnsi="Arial" w:cs="Arial"/>
          <w:sz w:val="24"/>
          <w:szCs w:val="24"/>
        </w:rPr>
      </w:pPr>
    </w:p>
    <w:p w14:paraId="165B7BA8" w14:textId="77777777" w:rsidR="008945AF" w:rsidRPr="00C63186"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b) contratos de las entidades oficiales para encomendar a terceros cualquiera de las actividades que ellas hayan realizado para prestar los servicios públicos</w:t>
      </w:r>
      <w:r w:rsidRPr="00C63186">
        <w:rPr>
          <w:rStyle w:val="Refdenotaalpie"/>
          <w:rFonts w:ascii="Arial" w:hAnsi="Arial" w:cs="Arial"/>
          <w:sz w:val="24"/>
          <w:szCs w:val="24"/>
        </w:rPr>
        <w:footnoteReference w:id="32"/>
      </w:r>
      <w:r w:rsidRPr="00C63186">
        <w:rPr>
          <w:rFonts w:ascii="Arial" w:hAnsi="Arial" w:cs="Arial"/>
          <w:sz w:val="24"/>
          <w:szCs w:val="24"/>
        </w:rPr>
        <w:t>.</w:t>
      </w:r>
    </w:p>
    <w:p w14:paraId="4EA387B7" w14:textId="77777777" w:rsidR="008945AF" w:rsidRPr="00C63186" w:rsidRDefault="008945AF" w:rsidP="008945AF">
      <w:pPr>
        <w:shd w:val="clear" w:color="auto" w:fill="FFFFFF"/>
        <w:spacing w:after="0" w:line="240" w:lineRule="auto"/>
        <w:jc w:val="both"/>
        <w:rPr>
          <w:rFonts w:ascii="Arial" w:hAnsi="Arial" w:cs="Arial"/>
          <w:sz w:val="24"/>
          <w:szCs w:val="24"/>
        </w:rPr>
      </w:pPr>
    </w:p>
    <w:p w14:paraId="729A4D58" w14:textId="77777777" w:rsidR="008945AF" w:rsidRDefault="008945AF" w:rsidP="008945AF">
      <w:pPr>
        <w:shd w:val="clear" w:color="auto" w:fill="FFFFFF"/>
        <w:spacing w:after="0" w:line="240" w:lineRule="auto"/>
        <w:jc w:val="both"/>
        <w:rPr>
          <w:rFonts w:ascii="Arial" w:hAnsi="Arial" w:cs="Arial"/>
          <w:sz w:val="24"/>
          <w:szCs w:val="24"/>
        </w:rPr>
      </w:pPr>
      <w:r w:rsidRPr="00C63186">
        <w:rPr>
          <w:rFonts w:ascii="Arial" w:hAnsi="Arial" w:cs="Arial"/>
          <w:sz w:val="24"/>
          <w:szCs w:val="24"/>
        </w:rPr>
        <w:t>Ahora bien, el artículo 247 de la Ley 2294 de 2023 que introdujo modificaciones al artículo 41 de la Ley 2099 de 2021 con la cual se creó el Fondo Único de Soluciones Energéticas-FONENERGÍA, en el que se fusionan los Fondos Eléctricos administrados por el Ministerio de Minas y Energía (FAER, FAZNI y PRONE), así como el Fondo de gas (FECFGN), dispuso que dicho Fondo contará con distintas fuentes de recursos para</w:t>
      </w:r>
      <w:r>
        <w:rPr>
          <w:rFonts w:ascii="Arial" w:hAnsi="Arial" w:cs="Arial"/>
          <w:sz w:val="24"/>
          <w:szCs w:val="24"/>
        </w:rPr>
        <w:t>:</w:t>
      </w:r>
    </w:p>
    <w:p w14:paraId="24962F51" w14:textId="77777777" w:rsidR="008945AF" w:rsidRDefault="008945AF" w:rsidP="008945AF">
      <w:pPr>
        <w:shd w:val="clear" w:color="auto" w:fill="FFFFFF"/>
        <w:spacing w:after="0" w:line="240" w:lineRule="auto"/>
        <w:jc w:val="both"/>
        <w:rPr>
          <w:rFonts w:ascii="Arial" w:hAnsi="Arial" w:cs="Arial"/>
          <w:sz w:val="24"/>
          <w:szCs w:val="24"/>
        </w:rPr>
      </w:pPr>
    </w:p>
    <w:p w14:paraId="30A20421" w14:textId="77777777" w:rsidR="008945AF" w:rsidRPr="00C63186" w:rsidRDefault="008945AF" w:rsidP="008945AF">
      <w:pPr>
        <w:shd w:val="clear" w:color="auto" w:fill="FFFFFF"/>
        <w:spacing w:after="0"/>
        <w:ind w:left="567"/>
        <w:jc w:val="both"/>
        <w:rPr>
          <w:rFonts w:ascii="Arial" w:hAnsi="Arial" w:cs="Arial"/>
          <w:sz w:val="24"/>
          <w:szCs w:val="24"/>
        </w:rPr>
      </w:pPr>
      <w:r w:rsidRPr="00C63186">
        <w:rPr>
          <w:rFonts w:ascii="Arial" w:hAnsi="Arial" w:cs="Arial"/>
        </w:rPr>
        <w:t>“</w:t>
      </w:r>
      <w:r w:rsidRPr="00C63186">
        <w:rPr>
          <w:rFonts w:ascii="Arial" w:hAnsi="Arial" w:cs="Arial"/>
          <w:i/>
          <w:iCs/>
        </w:rPr>
        <w:t xml:space="preserve">financiar y realizar planes, proyectos y programas de mejora de la calidad en el servicio, expansión de la cobertura energética y normalización de redes a través de soluciones de energía eléctrica y gas combustible… </w:t>
      </w:r>
      <w:r w:rsidRPr="00C63186">
        <w:rPr>
          <w:rFonts w:ascii="Arial" w:hAnsi="Arial" w:cs="Arial"/>
          <w:b/>
          <w:bCs/>
          <w:i/>
          <w:iCs/>
        </w:rPr>
        <w:t>bajo esquemas de servicio público domiciliario</w:t>
      </w:r>
      <w:r w:rsidRPr="00C63186">
        <w:rPr>
          <w:rFonts w:ascii="Arial" w:hAnsi="Arial" w:cs="Arial"/>
          <w:i/>
          <w:iCs/>
        </w:rPr>
        <w:t xml:space="preserve">”, </w:t>
      </w:r>
      <w:r w:rsidRPr="00C63186">
        <w:rPr>
          <w:rFonts w:ascii="Arial" w:hAnsi="Arial" w:cs="Arial"/>
          <w:sz w:val="24"/>
          <w:szCs w:val="24"/>
        </w:rPr>
        <w:t xml:space="preserve">pudiendo </w:t>
      </w:r>
      <w:r w:rsidRPr="00C63186">
        <w:rPr>
          <w:rFonts w:ascii="Arial" w:hAnsi="Arial" w:cs="Arial"/>
        </w:rPr>
        <w:t>“</w:t>
      </w:r>
      <w:r w:rsidRPr="00C63186">
        <w:rPr>
          <w:rFonts w:ascii="Arial" w:hAnsi="Arial" w:cs="Arial"/>
          <w:i/>
          <w:iCs/>
        </w:rPr>
        <w:t xml:space="preserve">atender emergencias en las Zonas no Interconectadas -ZNI-, invertir en </w:t>
      </w:r>
      <w:r w:rsidRPr="00C63186">
        <w:rPr>
          <w:rFonts w:ascii="Arial" w:hAnsi="Arial" w:cs="Arial"/>
          <w:i/>
          <w:iCs/>
        </w:rPr>
        <w:lastRenderedPageBreak/>
        <w:t xml:space="preserve">acometidas y redes internas, así como en mecanismos de sustitución hacia Fuentes no Convencionales de Energía -FNCE- y combustibles más limpios, </w:t>
      </w:r>
      <w:r w:rsidRPr="00C63186">
        <w:rPr>
          <w:rFonts w:ascii="Arial" w:hAnsi="Arial" w:cs="Arial"/>
          <w:b/>
          <w:bCs/>
          <w:i/>
          <w:iCs/>
        </w:rPr>
        <w:t>de acuerdo con la reglamentación que para el efecto expida el Gobierno nacional.”</w:t>
      </w:r>
      <w:r w:rsidRPr="00C63186">
        <w:rPr>
          <w:rFonts w:ascii="Arial" w:hAnsi="Arial" w:cs="Arial"/>
          <w:sz w:val="24"/>
          <w:szCs w:val="24"/>
        </w:rPr>
        <w:t xml:space="preserve"> Negrillas por fuera del texto original.</w:t>
      </w:r>
    </w:p>
    <w:p w14:paraId="52852753" w14:textId="77777777" w:rsidR="008945AF" w:rsidRPr="00C63186" w:rsidRDefault="008945AF" w:rsidP="008945AF">
      <w:pPr>
        <w:shd w:val="clear" w:color="auto" w:fill="FFFFFF" w:themeFill="background1"/>
        <w:spacing w:after="0" w:line="240" w:lineRule="auto"/>
        <w:jc w:val="both"/>
        <w:rPr>
          <w:rFonts w:ascii="Arial" w:hAnsi="Arial" w:cs="Arial"/>
          <w:sz w:val="24"/>
          <w:szCs w:val="24"/>
        </w:rPr>
      </w:pPr>
    </w:p>
    <w:p w14:paraId="594283FA" w14:textId="7C651411" w:rsidR="008945AF" w:rsidRPr="00C63186" w:rsidRDefault="008945AF" w:rsidP="008945AF">
      <w:pPr>
        <w:shd w:val="clear" w:color="auto" w:fill="FFFFFF" w:themeFill="background1"/>
        <w:spacing w:after="0" w:line="240" w:lineRule="auto"/>
        <w:jc w:val="both"/>
        <w:rPr>
          <w:rFonts w:ascii="Arial" w:hAnsi="Arial" w:cs="Arial"/>
          <w:sz w:val="24"/>
          <w:szCs w:val="24"/>
        </w:rPr>
      </w:pPr>
      <w:r w:rsidRPr="54B2E939">
        <w:rPr>
          <w:rFonts w:ascii="Arial" w:hAnsi="Arial" w:cs="Arial"/>
          <w:sz w:val="24"/>
          <w:szCs w:val="24"/>
        </w:rPr>
        <w:t>Lo anterior, permite observar que</w:t>
      </w:r>
      <w:r w:rsidR="00823B9A">
        <w:rPr>
          <w:rFonts w:ascii="Arial" w:hAnsi="Arial" w:cs="Arial"/>
          <w:sz w:val="24"/>
          <w:szCs w:val="24"/>
        </w:rPr>
        <w:t>,</w:t>
      </w:r>
      <w:r w:rsidRPr="54B2E939">
        <w:rPr>
          <w:rFonts w:ascii="Arial" w:hAnsi="Arial" w:cs="Arial"/>
          <w:sz w:val="24"/>
          <w:szCs w:val="24"/>
        </w:rPr>
        <w:t xml:space="preserve"> en la financiación y realización de planes, programas y/o proyectos, FONENERGÍA se desenvuelve bajo esquemas de servicio público domiciliario, lo que indica que los parámetros de la Ley de Servicios Públicos Domiciliarios encuentra</w:t>
      </w:r>
      <w:r w:rsidR="00823B9A">
        <w:rPr>
          <w:rFonts w:ascii="Arial" w:hAnsi="Arial" w:cs="Arial"/>
          <w:sz w:val="24"/>
          <w:szCs w:val="24"/>
        </w:rPr>
        <w:t>n</w:t>
      </w:r>
      <w:r w:rsidRPr="54B2E939">
        <w:rPr>
          <w:rFonts w:ascii="Arial" w:hAnsi="Arial" w:cs="Arial"/>
          <w:sz w:val="24"/>
          <w:szCs w:val="24"/>
        </w:rPr>
        <w:t xml:space="preserve"> plena aplicabilidad al desarrollo de las actividades de dicho Fondo.</w:t>
      </w:r>
    </w:p>
    <w:p w14:paraId="67CDEC14" w14:textId="77777777" w:rsidR="008945AF" w:rsidRPr="00C63186" w:rsidRDefault="008945AF" w:rsidP="008945AF">
      <w:pPr>
        <w:shd w:val="clear" w:color="auto" w:fill="FFFFFF"/>
        <w:spacing w:after="0" w:line="240" w:lineRule="auto"/>
        <w:jc w:val="both"/>
        <w:rPr>
          <w:rFonts w:ascii="Arial" w:hAnsi="Arial" w:cs="Arial"/>
          <w:sz w:val="24"/>
          <w:szCs w:val="24"/>
        </w:rPr>
      </w:pPr>
    </w:p>
    <w:p w14:paraId="61E6A86F" w14:textId="031615F0" w:rsidR="008945AF" w:rsidRDefault="008F60C8" w:rsidP="003E028A">
      <w:pPr>
        <w:pStyle w:val="Ttulo5"/>
        <w:ind w:left="1008" w:hanging="1008"/>
      </w:pPr>
      <w:bookmarkStart w:id="71" w:name="_Toc224844305"/>
      <w:r>
        <w:rPr>
          <w:bCs/>
        </w:rPr>
        <w:t>I-</w:t>
      </w:r>
      <w:r w:rsidR="00465537" w:rsidRPr="00B03685">
        <w:t xml:space="preserve">5.3 </w:t>
      </w:r>
      <w:r w:rsidR="008945AF" w:rsidRPr="00B03685">
        <w:t>De las actividades previas para la prestación del servicio público</w:t>
      </w:r>
      <w:bookmarkEnd w:id="71"/>
    </w:p>
    <w:p w14:paraId="150451CD" w14:textId="77777777" w:rsidR="002339BE" w:rsidRPr="002339BE" w:rsidRDefault="002339BE" w:rsidP="002339BE"/>
    <w:p w14:paraId="591045DD"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La prestación de los servicios públicos domiciliarios de energía eléctrica y gas combustible requiere de la ejecución de distintas actividades previas, sin las cuales dicha prestación se torna imposible.</w:t>
      </w:r>
    </w:p>
    <w:p w14:paraId="60551171" w14:textId="77777777" w:rsidR="008945AF" w:rsidRPr="00C63186" w:rsidRDefault="008945AF" w:rsidP="008945AF">
      <w:pPr>
        <w:jc w:val="both"/>
        <w:rPr>
          <w:rFonts w:ascii="Arial" w:hAnsi="Arial" w:cs="Arial"/>
          <w:sz w:val="24"/>
          <w:szCs w:val="24"/>
        </w:rPr>
      </w:pPr>
      <w:r w:rsidRPr="00C63186">
        <w:rPr>
          <w:rFonts w:ascii="Arial" w:hAnsi="Arial" w:cs="Arial"/>
          <w:sz w:val="24"/>
          <w:szCs w:val="24"/>
        </w:rPr>
        <w:t>FONENERGÍA, para el logro del objeto que le atribuyó el artículo 247 de la Ley 2294 de 2023, el cual se concreta con la prestación del respectivo servicio, se encuentra obligada a incluir en los respectivos contratos, esas actividades o etapas previas que se distribuyen en las siguientes fases:</w:t>
      </w:r>
    </w:p>
    <w:p w14:paraId="3A8AF3F1" w14:textId="77777777" w:rsidR="008945AF" w:rsidRPr="003923CF" w:rsidRDefault="008945AF" w:rsidP="00B320D0">
      <w:pPr>
        <w:pStyle w:val="Prrafodelista"/>
        <w:numPr>
          <w:ilvl w:val="0"/>
          <w:numId w:val="26"/>
        </w:numPr>
        <w:spacing w:after="0"/>
        <w:jc w:val="both"/>
        <w:rPr>
          <w:rFonts w:ascii="Helvetica" w:eastAsia="Helvetica" w:hAnsi="Helvetica" w:cs="Helvetica"/>
          <w:sz w:val="24"/>
          <w:szCs w:val="24"/>
          <w:lang w:val="es-ES"/>
        </w:rPr>
      </w:pPr>
      <w:r w:rsidRPr="003923CF">
        <w:rPr>
          <w:rFonts w:ascii="Helvetica" w:eastAsia="Helvetica" w:hAnsi="Helvetica" w:cs="Helvetica"/>
          <w:sz w:val="24"/>
          <w:szCs w:val="24"/>
          <w:lang w:val="es-ES"/>
        </w:rPr>
        <w:t>Fase I- Construcción y Puesta en Operación</w:t>
      </w:r>
      <w:r>
        <w:rPr>
          <w:rFonts w:ascii="Helvetica" w:eastAsia="Helvetica" w:hAnsi="Helvetica" w:cs="Helvetica"/>
          <w:sz w:val="24"/>
          <w:szCs w:val="24"/>
          <w:lang w:val="es-ES"/>
        </w:rPr>
        <w:t>.</w:t>
      </w:r>
    </w:p>
    <w:p w14:paraId="7FBD40DC" w14:textId="77777777" w:rsidR="008945AF" w:rsidRDefault="008945AF" w:rsidP="00B320D0">
      <w:pPr>
        <w:pStyle w:val="Prrafodelista"/>
        <w:numPr>
          <w:ilvl w:val="0"/>
          <w:numId w:val="26"/>
        </w:numPr>
        <w:spacing w:after="0"/>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Fase II- Administración, Operación y Mantenimiento- AOM</w:t>
      </w:r>
    </w:p>
    <w:p w14:paraId="1A6E2FBC" w14:textId="77777777" w:rsidR="008945AF" w:rsidRPr="00C63186" w:rsidRDefault="008945AF" w:rsidP="008945AF">
      <w:pPr>
        <w:spacing w:after="0"/>
        <w:jc w:val="both"/>
        <w:rPr>
          <w:rFonts w:ascii="Helvetica" w:eastAsia="Helvetica" w:hAnsi="Helvetica" w:cs="Helvetica"/>
          <w:sz w:val="24"/>
          <w:szCs w:val="24"/>
          <w:lang w:val="es-ES"/>
        </w:rPr>
      </w:pPr>
    </w:p>
    <w:p w14:paraId="36E2CA1E" w14:textId="55734186" w:rsidR="008945AF" w:rsidRPr="00C63186" w:rsidRDefault="008945AF" w:rsidP="008945AF">
      <w:pPr>
        <w:spacing w:after="0"/>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El plazo y el valor del contrato corresponderán a la sumatoria del plazo y el valor de la Fase I y de la Fase II y en todo caso, a los propuestos para la ejecución del plan, programa o proyecto que sea aprobado por el Comité de Administración del Fondo, según conste en la respectiva Acta.</w:t>
      </w:r>
    </w:p>
    <w:p w14:paraId="1237BD32" w14:textId="77777777" w:rsidR="00AF57EA" w:rsidRPr="00C63186" w:rsidRDefault="00AF57EA" w:rsidP="008945AF">
      <w:pPr>
        <w:spacing w:after="0"/>
        <w:jc w:val="both"/>
        <w:rPr>
          <w:rFonts w:ascii="Helvetica" w:eastAsia="Helvetica" w:hAnsi="Helvetica" w:cs="Helvetica"/>
          <w:sz w:val="24"/>
          <w:szCs w:val="24"/>
          <w:lang w:val="es-ES"/>
        </w:rPr>
      </w:pPr>
    </w:p>
    <w:p w14:paraId="3DD317B3" w14:textId="63A270FB" w:rsidR="008945AF" w:rsidRDefault="00463609" w:rsidP="003E028A">
      <w:pPr>
        <w:pStyle w:val="Ttulo5"/>
        <w:ind w:left="1008" w:hanging="1008"/>
        <w:rPr>
          <w:lang w:val="es-ES"/>
        </w:rPr>
      </w:pPr>
      <w:bookmarkStart w:id="72" w:name="_Toc224844306"/>
      <w:r>
        <w:rPr>
          <w:bCs/>
          <w:lang w:val="es-ES"/>
        </w:rPr>
        <w:t>I-</w:t>
      </w:r>
      <w:r w:rsidR="00126819" w:rsidRPr="00B03685">
        <w:rPr>
          <w:lang w:val="es-ES"/>
        </w:rPr>
        <w:t xml:space="preserve">5.4 </w:t>
      </w:r>
      <w:r w:rsidR="008945AF" w:rsidRPr="00B03685">
        <w:rPr>
          <w:lang w:val="es-ES"/>
        </w:rPr>
        <w:t>Otras consideraciones contractuales</w:t>
      </w:r>
      <w:bookmarkEnd w:id="72"/>
    </w:p>
    <w:p w14:paraId="0DE3D31B" w14:textId="77777777" w:rsidR="002339BE" w:rsidRPr="002339BE" w:rsidRDefault="002339BE" w:rsidP="002339BE">
      <w:pPr>
        <w:rPr>
          <w:lang w:val="es-ES"/>
        </w:rPr>
      </w:pPr>
    </w:p>
    <w:p w14:paraId="6622B4FA" w14:textId="77777777" w:rsidR="008945AF" w:rsidRPr="00C63186" w:rsidRDefault="008945AF" w:rsidP="008945AF">
      <w:pPr>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 xml:space="preserve">Cuando el Comité de Administración </w:t>
      </w:r>
      <w:r>
        <w:rPr>
          <w:rFonts w:ascii="Helvetica" w:eastAsia="Helvetica" w:hAnsi="Helvetica" w:cs="Helvetica"/>
          <w:sz w:val="24"/>
          <w:szCs w:val="24"/>
          <w:lang w:val="es-ES"/>
        </w:rPr>
        <w:t xml:space="preserve">del Fondo </w:t>
      </w:r>
      <w:r w:rsidRPr="54B2E939">
        <w:rPr>
          <w:rFonts w:ascii="Helvetica" w:eastAsia="Helvetica" w:hAnsi="Helvetica" w:cs="Helvetica"/>
          <w:sz w:val="24"/>
          <w:szCs w:val="24"/>
          <w:lang w:val="es-ES"/>
        </w:rPr>
        <w:t xml:space="preserve">apruebe dentro de los recursos </w:t>
      </w:r>
      <w:r>
        <w:rPr>
          <w:rFonts w:ascii="Helvetica" w:eastAsia="Helvetica" w:hAnsi="Helvetica" w:cs="Helvetica"/>
          <w:sz w:val="24"/>
          <w:szCs w:val="24"/>
          <w:lang w:val="es-ES"/>
        </w:rPr>
        <w:t xml:space="preserve">para el proyecto, </w:t>
      </w:r>
      <w:r w:rsidRPr="54B2E939">
        <w:rPr>
          <w:rFonts w:ascii="Helvetica" w:eastAsia="Helvetica" w:hAnsi="Helvetica" w:cs="Helvetica"/>
          <w:sz w:val="24"/>
          <w:szCs w:val="24"/>
          <w:lang w:val="es-ES"/>
        </w:rPr>
        <w:t xml:space="preserve">el costo de las interventorías, el Ministerio de Minas y Energía adelantará el proceso de selección para la contratación de la interventoría administrativa, técnica, jurídica, ambiental, social, financiera y contable al contrato de </w:t>
      </w:r>
      <w:r>
        <w:rPr>
          <w:rFonts w:ascii="Helvetica" w:eastAsia="Helvetica" w:hAnsi="Helvetica" w:cs="Helvetica"/>
          <w:sz w:val="24"/>
          <w:szCs w:val="24"/>
          <w:lang w:val="es-ES"/>
        </w:rPr>
        <w:t>construcción de infraestructura</w:t>
      </w:r>
      <w:r w:rsidRPr="54B2E939">
        <w:rPr>
          <w:rFonts w:ascii="Helvetica" w:eastAsia="Helvetica" w:hAnsi="Helvetica" w:cs="Helvetica"/>
          <w:sz w:val="24"/>
          <w:szCs w:val="24"/>
          <w:lang w:val="es-ES"/>
        </w:rPr>
        <w:t xml:space="preserve">, conforme las reglas previstas en </w:t>
      </w:r>
      <w:r>
        <w:rPr>
          <w:rFonts w:ascii="Helvetica" w:eastAsia="Helvetica" w:hAnsi="Helvetica" w:cs="Helvetica"/>
          <w:sz w:val="24"/>
          <w:szCs w:val="24"/>
          <w:lang w:val="es-ES"/>
        </w:rPr>
        <w:t>el Estatuto General de Contratación de la Administración Pública</w:t>
      </w:r>
      <w:r w:rsidRPr="54B2E939">
        <w:rPr>
          <w:rFonts w:ascii="Helvetica" w:eastAsia="Helvetica" w:hAnsi="Helvetica" w:cs="Helvetica"/>
          <w:sz w:val="24"/>
          <w:szCs w:val="24"/>
          <w:lang w:val="es-ES"/>
        </w:rPr>
        <w:t xml:space="preserve">. </w:t>
      </w:r>
    </w:p>
    <w:p w14:paraId="5C85C0CC" w14:textId="77777777" w:rsidR="008945AF" w:rsidRPr="00C63186" w:rsidRDefault="008945AF" w:rsidP="008945AF">
      <w:pPr>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 xml:space="preserve">La dirección general, el control y vigilancia de la ejecución de los contratos FONENERGIA corresponderá al funcionario que como supervisor- designe la </w:t>
      </w:r>
      <w:r>
        <w:rPr>
          <w:rFonts w:ascii="Helvetica" w:eastAsia="Helvetica" w:hAnsi="Helvetica" w:cs="Helvetica"/>
          <w:sz w:val="24"/>
          <w:szCs w:val="24"/>
          <w:lang w:val="es-ES"/>
        </w:rPr>
        <w:t>gerencia técnica o quien haga sus veces</w:t>
      </w:r>
      <w:r w:rsidRPr="54B2E939">
        <w:rPr>
          <w:rFonts w:ascii="Helvetica" w:eastAsia="Helvetica" w:hAnsi="Helvetica" w:cs="Helvetica"/>
          <w:sz w:val="24"/>
          <w:szCs w:val="24"/>
          <w:lang w:val="es-ES"/>
        </w:rPr>
        <w:t xml:space="preserve">, en cumplimiento del Manual </w:t>
      </w:r>
      <w:r>
        <w:rPr>
          <w:rFonts w:ascii="Helvetica" w:eastAsia="Helvetica" w:hAnsi="Helvetica" w:cs="Helvetica"/>
          <w:sz w:val="24"/>
          <w:szCs w:val="24"/>
          <w:lang w:val="es-ES"/>
        </w:rPr>
        <w:t xml:space="preserve">Específico </w:t>
      </w:r>
      <w:r w:rsidRPr="54B2E939">
        <w:rPr>
          <w:rFonts w:ascii="Helvetica" w:eastAsia="Helvetica" w:hAnsi="Helvetica" w:cs="Helvetica"/>
          <w:sz w:val="24"/>
          <w:szCs w:val="24"/>
          <w:lang w:val="es-ES"/>
        </w:rPr>
        <w:t xml:space="preserve">de Contratación del </w:t>
      </w:r>
      <w:r>
        <w:rPr>
          <w:rFonts w:ascii="Helvetica" w:eastAsia="Helvetica" w:hAnsi="Helvetica" w:cs="Helvetica"/>
          <w:sz w:val="24"/>
          <w:szCs w:val="24"/>
          <w:lang w:val="es-ES"/>
        </w:rPr>
        <w:t>FONENERGÍA</w:t>
      </w:r>
      <w:r w:rsidRPr="54B2E939">
        <w:rPr>
          <w:rFonts w:ascii="Helvetica" w:eastAsia="Helvetica" w:hAnsi="Helvetica" w:cs="Helvetica"/>
          <w:sz w:val="24"/>
          <w:szCs w:val="24"/>
          <w:lang w:val="es-ES"/>
        </w:rPr>
        <w:t>.</w:t>
      </w:r>
      <w:r>
        <w:rPr>
          <w:rFonts w:ascii="Helvetica" w:eastAsia="Helvetica" w:hAnsi="Helvetica" w:cs="Helvetica"/>
          <w:sz w:val="24"/>
          <w:szCs w:val="24"/>
          <w:lang w:val="es-ES"/>
        </w:rPr>
        <w:t xml:space="preserve"> </w:t>
      </w:r>
      <w:r w:rsidRPr="00084183">
        <w:rPr>
          <w:rFonts w:ascii="Helvetica" w:eastAsia="Helvetica" w:hAnsi="Helvetica" w:cs="Helvetica"/>
          <w:sz w:val="24"/>
          <w:szCs w:val="24"/>
          <w:lang w:val="es-ES"/>
        </w:rPr>
        <w:t>En aquellos casos en que para un mismo contrato se haya previsto la contratación de interventoría, las funciones de supervisión e interventoría deberán estar claramente diferenciadas, de manera que el supervisor ejerza el seguimiento institucional del contrato, sin perjuicio de las funciones técnicas, administrativas, financieras o especializadas asignadas al interventor en el respectivo contrato de interventorí</w:t>
      </w:r>
      <w:r>
        <w:rPr>
          <w:rFonts w:ascii="Helvetica" w:eastAsia="Helvetica" w:hAnsi="Helvetica" w:cs="Helvetica"/>
          <w:sz w:val="24"/>
          <w:szCs w:val="24"/>
          <w:lang w:val="es-ES"/>
        </w:rPr>
        <w:t>a.</w:t>
      </w:r>
    </w:p>
    <w:p w14:paraId="1242341E" w14:textId="77777777" w:rsidR="008945AF" w:rsidRPr="00C63186" w:rsidRDefault="008945AF" w:rsidP="008945AF">
      <w:pPr>
        <w:pStyle w:val="Prrafodelista"/>
        <w:ind w:left="0"/>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 xml:space="preserve">Respecto de las garantías necesarias para la ejecución de contratos FONENERGIA, el contratista deberá constituir con cargo a sus propios recursos y bajo su propio riesgo, una </w:t>
      </w:r>
      <w:r w:rsidRPr="54B2E939">
        <w:rPr>
          <w:rFonts w:ascii="Helvetica" w:eastAsia="Helvetica" w:hAnsi="Helvetica" w:cs="Helvetica"/>
          <w:sz w:val="24"/>
          <w:szCs w:val="24"/>
          <w:lang w:val="es-ES"/>
        </w:rPr>
        <w:lastRenderedPageBreak/>
        <w:t>Garantía Única a favor del Ministerio de Minas y Energía en los términos, amparos, vigencias y suficiencias que se determine, de conformidad con la matriz de riesgos que para el efecto se elabore en cada caso, siguiendo</w:t>
      </w:r>
      <w:r>
        <w:rPr>
          <w:rFonts w:ascii="Helvetica" w:eastAsia="Helvetica" w:hAnsi="Helvetica" w:cs="Helvetica"/>
          <w:sz w:val="24"/>
          <w:szCs w:val="24"/>
          <w:lang w:val="es-ES"/>
        </w:rPr>
        <w:t>, como parámetro orientador,</w:t>
      </w:r>
      <w:r w:rsidRPr="54B2E939">
        <w:rPr>
          <w:rFonts w:ascii="Helvetica" w:eastAsia="Helvetica" w:hAnsi="Helvetica" w:cs="Helvetica"/>
          <w:sz w:val="24"/>
          <w:szCs w:val="24"/>
          <w:lang w:val="es-ES"/>
        </w:rPr>
        <w:t xml:space="preserve"> </w:t>
      </w:r>
      <w:r>
        <w:rPr>
          <w:rFonts w:ascii="Helvetica" w:eastAsia="Helvetica" w:hAnsi="Helvetica" w:cs="Helvetica"/>
          <w:sz w:val="24"/>
          <w:szCs w:val="24"/>
          <w:lang w:val="es-ES"/>
        </w:rPr>
        <w:t xml:space="preserve">el </w:t>
      </w:r>
      <w:r w:rsidRPr="54B2E939">
        <w:rPr>
          <w:rFonts w:ascii="Helvetica" w:eastAsia="Helvetica" w:hAnsi="Helvetica" w:cs="Helvetica"/>
          <w:sz w:val="24"/>
          <w:szCs w:val="24"/>
          <w:lang w:val="es-ES"/>
        </w:rPr>
        <w:t xml:space="preserve"> Decreto 1082 de 2015 y las normas que lo complementen, modifiquen, sustituyan o desarrollen, la cual aplicará de ser necesario a la actividad relacionada con la prestación del servicio.</w:t>
      </w:r>
    </w:p>
    <w:p w14:paraId="10D62CDB" w14:textId="77777777" w:rsidR="008945AF" w:rsidRPr="00C63186" w:rsidRDefault="008945AF" w:rsidP="008945AF">
      <w:pPr>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En los contratos FONENERGIA, se podrán pactar multas o cláusula penal. Así mismo para la solución de controversias que surjan en relación con el cumplimiento de las obligaciones derivadas de los mismos se podrá prever que se someterán a arbitramento o a los Mecanismos Alternativos de Solución de Conflictos - MASC.</w:t>
      </w:r>
    </w:p>
    <w:p w14:paraId="03838BC1" w14:textId="77777777" w:rsidR="008945AF" w:rsidRDefault="008945AF" w:rsidP="008945AF">
      <w:pPr>
        <w:spacing w:after="0"/>
        <w:jc w:val="both"/>
        <w:rPr>
          <w:rFonts w:ascii="Helvetica" w:eastAsia="Helvetica" w:hAnsi="Helvetica" w:cs="Helvetica"/>
          <w:sz w:val="24"/>
          <w:szCs w:val="24"/>
          <w:lang w:val="es-ES"/>
        </w:rPr>
      </w:pPr>
      <w:r>
        <w:rPr>
          <w:rFonts w:ascii="Helvetica" w:eastAsia="Helvetica" w:hAnsi="Helvetica" w:cs="Helvetica"/>
          <w:sz w:val="24"/>
          <w:szCs w:val="24"/>
          <w:lang w:val="es-ES"/>
        </w:rPr>
        <w:t xml:space="preserve">Estos contratos se ceñirán al régimen especial de contratación establecido por el artículo 39 de la Ley 142 de 1994, a los principios de la Función Administrativa y la Función Fiscal de que tratan los artículos 209 y 267 de la Constitución Nacional y al régimen de inhabilidades e incompatibilidades establecido por el artículo 8 y siguientes de la Ley 80 de 1993; de conformidad con lo dispuesto por el artículo 13 de la Ley 1150 de 2007. </w:t>
      </w:r>
    </w:p>
    <w:p w14:paraId="68951572" w14:textId="77777777" w:rsidR="008945AF" w:rsidRDefault="008945AF" w:rsidP="008945AF">
      <w:pPr>
        <w:spacing w:after="0"/>
        <w:jc w:val="both"/>
        <w:rPr>
          <w:rFonts w:ascii="Helvetica" w:eastAsia="Helvetica" w:hAnsi="Helvetica" w:cs="Helvetica"/>
          <w:sz w:val="24"/>
          <w:szCs w:val="24"/>
        </w:rPr>
      </w:pPr>
    </w:p>
    <w:p w14:paraId="3A64A84E" w14:textId="77777777" w:rsidR="008945AF" w:rsidRPr="00F3546C" w:rsidRDefault="008945AF" w:rsidP="008945AF">
      <w:pPr>
        <w:spacing w:after="0"/>
        <w:jc w:val="both"/>
        <w:rPr>
          <w:rFonts w:ascii="Helvetica" w:eastAsia="Helvetica" w:hAnsi="Helvetica" w:cs="Helvetica"/>
          <w:sz w:val="24"/>
          <w:szCs w:val="24"/>
        </w:rPr>
      </w:pPr>
      <w:r w:rsidRPr="00F3546C">
        <w:rPr>
          <w:rFonts w:ascii="Helvetica" w:eastAsia="Helvetica" w:hAnsi="Helvetica" w:cs="Helvetica"/>
          <w:sz w:val="24"/>
          <w:szCs w:val="24"/>
        </w:rPr>
        <w:t>De manera supletoria y en lo no previsto en el respectivo contrato</w:t>
      </w:r>
      <w:r>
        <w:rPr>
          <w:rFonts w:ascii="Helvetica" w:eastAsia="Helvetica" w:hAnsi="Helvetica" w:cs="Helvetica"/>
          <w:sz w:val="24"/>
          <w:szCs w:val="24"/>
        </w:rPr>
        <w:t xml:space="preserve">, en el Manual Específico de Contratación de FONENERGÍA </w:t>
      </w:r>
      <w:r w:rsidRPr="00F3546C">
        <w:rPr>
          <w:rFonts w:ascii="Helvetica" w:eastAsia="Helvetica" w:hAnsi="Helvetica" w:cs="Helvetica"/>
          <w:sz w:val="24"/>
          <w:szCs w:val="24"/>
        </w:rPr>
        <w:t xml:space="preserve">ni en las disposiciones especiales </w:t>
      </w:r>
      <w:r>
        <w:rPr>
          <w:rFonts w:ascii="Helvetica" w:eastAsia="Helvetica" w:hAnsi="Helvetica" w:cs="Helvetica"/>
          <w:sz w:val="24"/>
          <w:szCs w:val="24"/>
        </w:rPr>
        <w:t xml:space="preserve">atinentes </w:t>
      </w:r>
      <w:r w:rsidRPr="00F3546C">
        <w:rPr>
          <w:rFonts w:ascii="Helvetica" w:eastAsia="Helvetica" w:hAnsi="Helvetica" w:cs="Helvetica"/>
          <w:sz w:val="24"/>
          <w:szCs w:val="24"/>
        </w:rPr>
        <w:t xml:space="preserve">al régimen de los servicios públicos domiciliarios, podrán aplicarse como criterio orientador las </w:t>
      </w:r>
      <w:r>
        <w:rPr>
          <w:rFonts w:ascii="Helvetica" w:eastAsia="Helvetica" w:hAnsi="Helvetica" w:cs="Helvetica"/>
          <w:sz w:val="24"/>
          <w:szCs w:val="24"/>
        </w:rPr>
        <w:t>normas que integran el Estatuto General de Contratación de la Administración Pública</w:t>
      </w:r>
      <w:r w:rsidRPr="00F3546C">
        <w:rPr>
          <w:rFonts w:ascii="Helvetica" w:eastAsia="Helvetica" w:hAnsi="Helvetica" w:cs="Helvetica"/>
          <w:sz w:val="24"/>
          <w:szCs w:val="24"/>
        </w:rPr>
        <w:t>, en lo que resulte compatible con la naturaleza del contrato.</w:t>
      </w:r>
    </w:p>
    <w:p w14:paraId="429995C6" w14:textId="77777777" w:rsidR="008945AF" w:rsidRDefault="008945AF" w:rsidP="008945AF">
      <w:pPr>
        <w:spacing w:after="0"/>
        <w:jc w:val="both"/>
        <w:rPr>
          <w:rFonts w:ascii="Helvetica" w:eastAsia="Helvetica" w:hAnsi="Helvetica" w:cs="Helvetica"/>
          <w:sz w:val="24"/>
          <w:szCs w:val="24"/>
          <w:lang w:val="es-ES"/>
        </w:rPr>
      </w:pPr>
    </w:p>
    <w:p w14:paraId="191393D1" w14:textId="77777777" w:rsidR="008945AF" w:rsidRPr="00C63186" w:rsidRDefault="008945AF" w:rsidP="008945AF">
      <w:pPr>
        <w:spacing w:after="0"/>
        <w:jc w:val="both"/>
        <w:rPr>
          <w:rFonts w:ascii="Helvetica" w:eastAsia="Helvetica" w:hAnsi="Helvetica" w:cs="Helvetica"/>
          <w:sz w:val="24"/>
          <w:szCs w:val="24"/>
          <w:lang w:val="es-ES"/>
        </w:rPr>
      </w:pPr>
      <w:r w:rsidRPr="54B2E939">
        <w:rPr>
          <w:rFonts w:ascii="Helvetica" w:eastAsia="Helvetica" w:hAnsi="Helvetica" w:cs="Helvetica"/>
          <w:sz w:val="24"/>
          <w:szCs w:val="24"/>
          <w:lang w:val="es-ES"/>
        </w:rPr>
        <w:t>Los contratos FONENERGIA serán objeto de liquidación para efectos de lo cual se dará aplicación</w:t>
      </w:r>
      <w:r>
        <w:rPr>
          <w:rFonts w:ascii="Helvetica" w:eastAsia="Helvetica" w:hAnsi="Helvetica" w:cs="Helvetica"/>
          <w:sz w:val="24"/>
          <w:szCs w:val="24"/>
          <w:lang w:val="es-ES"/>
        </w:rPr>
        <w:t xml:space="preserve">, en primer lugar, </w:t>
      </w:r>
      <w:r w:rsidRPr="54B2E939">
        <w:rPr>
          <w:rFonts w:ascii="Helvetica" w:eastAsia="Helvetica" w:hAnsi="Helvetica" w:cs="Helvetica"/>
          <w:sz w:val="24"/>
          <w:szCs w:val="24"/>
          <w:lang w:val="es-ES"/>
        </w:rPr>
        <w:t xml:space="preserve">a lo estipulado en el </w:t>
      </w:r>
      <w:r w:rsidRPr="00B32C38">
        <w:rPr>
          <w:rFonts w:ascii="Helvetica" w:eastAsia="Helvetica" w:hAnsi="Helvetica" w:cs="Helvetica"/>
          <w:sz w:val="24"/>
          <w:szCs w:val="24"/>
          <w:lang w:val="es-ES"/>
        </w:rPr>
        <w:t>respectivo contrato. En ausencia de estipulación contractual</w:t>
      </w:r>
      <w:r>
        <w:rPr>
          <w:rFonts w:ascii="Helvetica" w:eastAsia="Helvetica" w:hAnsi="Helvetica" w:cs="Helvetica"/>
          <w:sz w:val="24"/>
          <w:szCs w:val="24"/>
          <w:lang w:val="es-ES"/>
        </w:rPr>
        <w:t xml:space="preserve">, lo que señale el Manual Específico de Contratación del FONENERGÍA y, finalmente, </w:t>
      </w:r>
      <w:r w:rsidRPr="00B32C38">
        <w:rPr>
          <w:rFonts w:ascii="Helvetica" w:eastAsia="Helvetica" w:hAnsi="Helvetica" w:cs="Helvetica"/>
          <w:sz w:val="24"/>
          <w:szCs w:val="24"/>
          <w:lang w:val="es-ES"/>
        </w:rPr>
        <w:t>de manera supletoria</w:t>
      </w:r>
      <w:r>
        <w:rPr>
          <w:rFonts w:ascii="Helvetica" w:eastAsia="Helvetica" w:hAnsi="Helvetica" w:cs="Helvetica"/>
          <w:sz w:val="24"/>
          <w:szCs w:val="24"/>
          <w:lang w:val="es-ES"/>
        </w:rPr>
        <w:t xml:space="preserve">, </w:t>
      </w:r>
      <w:r w:rsidRPr="00B32C38">
        <w:rPr>
          <w:rFonts w:ascii="Helvetica" w:eastAsia="Helvetica" w:hAnsi="Helvetica" w:cs="Helvetica"/>
          <w:sz w:val="24"/>
          <w:szCs w:val="24"/>
          <w:lang w:val="es-ES"/>
        </w:rPr>
        <w:t>los términos previstos en el artículo 11 de la Ley 1150 de 2007 o la norma que lo modifique, adicione o sustituya</w:t>
      </w:r>
      <w:r>
        <w:rPr>
          <w:rFonts w:ascii="Helvetica" w:eastAsia="Helvetica" w:hAnsi="Helvetica" w:cs="Helvetica"/>
          <w:sz w:val="24"/>
          <w:szCs w:val="24"/>
          <w:lang w:val="es-ES"/>
        </w:rPr>
        <w:t xml:space="preserve">. </w:t>
      </w:r>
    </w:p>
    <w:p w14:paraId="1F1A65F6" w14:textId="77777777" w:rsidR="008945AF" w:rsidRPr="008E5906" w:rsidRDefault="008945AF" w:rsidP="008945AF">
      <w:pPr>
        <w:spacing w:after="0"/>
        <w:jc w:val="both"/>
        <w:rPr>
          <w:rFonts w:ascii="Helvetica" w:eastAsia="Helvetica" w:hAnsi="Helvetica" w:cs="Helvetica"/>
          <w:sz w:val="24"/>
          <w:szCs w:val="24"/>
          <w:lang w:val="es-ES"/>
        </w:rPr>
      </w:pPr>
    </w:p>
    <w:p w14:paraId="52C64836" w14:textId="77777777" w:rsidR="008945AF" w:rsidRDefault="008945AF" w:rsidP="008945AF">
      <w:pPr>
        <w:shd w:val="clear" w:color="auto" w:fill="FFFFFF" w:themeFill="background1"/>
        <w:spacing w:after="0"/>
        <w:jc w:val="both"/>
      </w:pPr>
      <w:r w:rsidRPr="0023594D">
        <w:rPr>
          <w:rFonts w:ascii="Helvetica" w:eastAsia="Helvetica" w:hAnsi="Helvetica" w:cs="Helvetica"/>
          <w:sz w:val="24"/>
          <w:szCs w:val="24"/>
          <w:highlight w:val="yellow"/>
        </w:rPr>
        <w:t>Se prohíbe la contratación derivada</w:t>
      </w:r>
      <w:r w:rsidRPr="54B2E939">
        <w:rPr>
          <w:rFonts w:ascii="Helvetica" w:eastAsia="Helvetica" w:hAnsi="Helvetica" w:cs="Helvetica"/>
          <w:sz w:val="24"/>
          <w:szCs w:val="24"/>
        </w:rPr>
        <w:t xml:space="preserve"> o </w:t>
      </w:r>
      <w:r>
        <w:rPr>
          <w:rFonts w:ascii="Helvetica" w:eastAsia="Helvetica" w:hAnsi="Helvetica" w:cs="Helvetica"/>
          <w:sz w:val="24"/>
          <w:szCs w:val="24"/>
        </w:rPr>
        <w:t>la cesión de</w:t>
      </w:r>
      <w:r w:rsidRPr="54B2E939">
        <w:rPr>
          <w:rFonts w:ascii="Helvetica" w:eastAsia="Helvetica" w:hAnsi="Helvetica" w:cs="Helvetica"/>
          <w:sz w:val="24"/>
          <w:szCs w:val="24"/>
        </w:rPr>
        <w:t>l contrato sin el consentimiento expreso y escrito del Ministerio de Minas y Energía.</w:t>
      </w:r>
    </w:p>
    <w:p w14:paraId="47CFA1B3" w14:textId="77777777" w:rsidR="008945AF" w:rsidRDefault="008945AF" w:rsidP="008E39FD"/>
    <w:p w14:paraId="0DD1D0B5" w14:textId="2D30AD39" w:rsidR="002D5EF0" w:rsidRDefault="002D5EF0" w:rsidP="00BA67A1">
      <w:pPr>
        <w:pStyle w:val="Ttulo3"/>
        <w:ind w:left="720" w:hanging="720"/>
        <w:jc w:val="center"/>
      </w:pPr>
      <w:bookmarkStart w:id="73" w:name="_Toc224844307"/>
      <w:r>
        <w:t>CAPÍTULO VI</w:t>
      </w:r>
      <w:bookmarkEnd w:id="73"/>
    </w:p>
    <w:p w14:paraId="1B34869B" w14:textId="4FFDBD5B" w:rsidR="002D5EF0" w:rsidRDefault="002D5EF0" w:rsidP="00BA67A1">
      <w:pPr>
        <w:pStyle w:val="Ttulo4"/>
        <w:ind w:left="864" w:hanging="864"/>
        <w:jc w:val="center"/>
      </w:pPr>
      <w:bookmarkStart w:id="74" w:name="_Toc224844308"/>
      <w:r>
        <w:t>VENTANILLA ÚNICA</w:t>
      </w:r>
      <w:bookmarkEnd w:id="74"/>
    </w:p>
    <w:p w14:paraId="7279E3D9" w14:textId="77777777" w:rsidR="002339BE" w:rsidRPr="002339BE" w:rsidRDefault="002339BE" w:rsidP="002339BE"/>
    <w:p w14:paraId="64FEDC7E" w14:textId="1DBFA509" w:rsidR="00967718" w:rsidRPr="00340123" w:rsidRDefault="00967718" w:rsidP="00967718">
      <w:pPr>
        <w:jc w:val="both"/>
        <w:rPr>
          <w:rFonts w:ascii="Arial" w:hAnsi="Arial" w:cs="Arial"/>
          <w:sz w:val="24"/>
          <w:szCs w:val="24"/>
        </w:rPr>
      </w:pPr>
      <w:r w:rsidRPr="00340123">
        <w:rPr>
          <w:rFonts w:ascii="Arial" w:hAnsi="Arial" w:cs="Arial"/>
          <w:sz w:val="24"/>
          <w:szCs w:val="24"/>
        </w:rPr>
        <w:t xml:space="preserve">FONENERGIA contará con una ventanilla única para la presentación de proyectos susceptibles </w:t>
      </w:r>
      <w:r>
        <w:rPr>
          <w:rFonts w:ascii="Arial" w:hAnsi="Arial" w:cs="Arial"/>
          <w:sz w:val="24"/>
          <w:szCs w:val="24"/>
        </w:rPr>
        <w:t>de</w:t>
      </w:r>
      <w:r w:rsidRPr="00340123">
        <w:rPr>
          <w:rFonts w:ascii="Arial" w:hAnsi="Arial" w:cs="Arial"/>
          <w:sz w:val="24"/>
          <w:szCs w:val="24"/>
        </w:rPr>
        <w:t xml:space="preserve"> ser financiados </w:t>
      </w:r>
      <w:r w:rsidR="003B2CF6">
        <w:rPr>
          <w:rFonts w:ascii="Arial" w:hAnsi="Arial" w:cs="Arial"/>
          <w:sz w:val="24"/>
          <w:szCs w:val="24"/>
        </w:rPr>
        <w:t xml:space="preserve">o cofinanciados </w:t>
      </w:r>
      <w:r w:rsidRPr="00340123">
        <w:rPr>
          <w:rFonts w:ascii="Arial" w:hAnsi="Arial" w:cs="Arial"/>
          <w:sz w:val="24"/>
          <w:szCs w:val="24"/>
        </w:rPr>
        <w:t>por el Fondo de manera virtual y física con el propósito de realizar la distribución de proyectos para la viabilización por parte de las entidades competentes, consolidación de banco de proyectos y seguimiento a la viabilización.</w:t>
      </w:r>
    </w:p>
    <w:p w14:paraId="205DA764" w14:textId="77777777" w:rsidR="00967718" w:rsidRDefault="00967718" w:rsidP="00967718">
      <w:pPr>
        <w:jc w:val="both"/>
        <w:rPr>
          <w:rFonts w:ascii="Arial" w:hAnsi="Arial" w:cs="Arial"/>
          <w:sz w:val="24"/>
          <w:szCs w:val="24"/>
        </w:rPr>
      </w:pPr>
      <w:r w:rsidRPr="00340123">
        <w:rPr>
          <w:rFonts w:ascii="Arial" w:hAnsi="Arial" w:cs="Arial"/>
          <w:sz w:val="24"/>
          <w:szCs w:val="24"/>
        </w:rPr>
        <w:t xml:space="preserve">Todo proyecto susceptible </w:t>
      </w:r>
      <w:r>
        <w:rPr>
          <w:rFonts w:ascii="Arial" w:hAnsi="Arial" w:cs="Arial"/>
          <w:sz w:val="24"/>
          <w:szCs w:val="24"/>
        </w:rPr>
        <w:t>de</w:t>
      </w:r>
      <w:r w:rsidRPr="00340123">
        <w:rPr>
          <w:rFonts w:ascii="Arial" w:hAnsi="Arial" w:cs="Arial"/>
          <w:sz w:val="24"/>
          <w:szCs w:val="24"/>
        </w:rPr>
        <w:t xml:space="preserve"> ser financiado por FONENERGÍA, antes del proceso de viabilización</w:t>
      </w:r>
      <w:r>
        <w:rPr>
          <w:rFonts w:ascii="Arial" w:hAnsi="Arial" w:cs="Arial"/>
          <w:sz w:val="24"/>
          <w:szCs w:val="24"/>
        </w:rPr>
        <w:t>,</w:t>
      </w:r>
      <w:r w:rsidRPr="00340123">
        <w:rPr>
          <w:rFonts w:ascii="Arial" w:hAnsi="Arial" w:cs="Arial"/>
          <w:sz w:val="24"/>
          <w:szCs w:val="24"/>
        </w:rPr>
        <w:t xml:space="preserve"> deberá ser registrado en la ventanilla única y contar con radicado.</w:t>
      </w:r>
    </w:p>
    <w:p w14:paraId="09A506F6" w14:textId="77777777" w:rsidR="002D5EF0" w:rsidRPr="002D5EF0" w:rsidRDefault="002D5EF0" w:rsidP="002D5EF0">
      <w:pPr>
        <w:jc w:val="center"/>
        <w:rPr>
          <w:rFonts w:ascii="Arial" w:hAnsi="Arial" w:cs="Arial"/>
          <w:b/>
          <w:bCs/>
          <w:sz w:val="24"/>
          <w:szCs w:val="24"/>
        </w:rPr>
      </w:pPr>
    </w:p>
    <w:p w14:paraId="65417F31" w14:textId="77777777" w:rsidR="00641261" w:rsidRDefault="00641261">
      <w:pPr>
        <w:spacing w:after="0" w:line="240" w:lineRule="auto"/>
        <w:rPr>
          <w:rFonts w:ascii="Arial" w:hAnsi="Arial" w:cs="Arial"/>
          <w:b/>
          <w:bCs/>
          <w:sz w:val="24"/>
          <w:szCs w:val="24"/>
        </w:rPr>
      </w:pPr>
      <w:r>
        <w:rPr>
          <w:rFonts w:ascii="Arial" w:hAnsi="Arial" w:cs="Arial"/>
          <w:b/>
          <w:bCs/>
          <w:sz w:val="24"/>
          <w:szCs w:val="24"/>
        </w:rPr>
        <w:br w:type="page"/>
      </w:r>
    </w:p>
    <w:p w14:paraId="54942308" w14:textId="40BB1C82" w:rsidR="009A20E3" w:rsidRPr="00B03685" w:rsidRDefault="009A20E3" w:rsidP="00E82DCB">
      <w:pPr>
        <w:pStyle w:val="Ttulo1"/>
        <w:ind w:left="432" w:hanging="432"/>
      </w:pPr>
      <w:bookmarkStart w:id="75" w:name="_Toc224844309"/>
      <w:r w:rsidRPr="00B03685">
        <w:lastRenderedPageBreak/>
        <w:t>TITULO II</w:t>
      </w:r>
      <w:bookmarkEnd w:id="75"/>
    </w:p>
    <w:p w14:paraId="29E1CFB2" w14:textId="55314F0F" w:rsidR="00D373AB" w:rsidRDefault="00D373AB" w:rsidP="00E82DCB">
      <w:pPr>
        <w:pStyle w:val="Ttulo2"/>
        <w:ind w:left="576" w:hanging="576"/>
        <w:jc w:val="center"/>
      </w:pPr>
      <w:bookmarkStart w:id="76" w:name="_Toc224844310"/>
      <w:r w:rsidRPr="00B03685">
        <w:t>GAS COMBUSTIBLE</w:t>
      </w:r>
      <w:bookmarkEnd w:id="76"/>
    </w:p>
    <w:p w14:paraId="614432E9" w14:textId="77777777" w:rsidR="00882736" w:rsidRPr="00882736" w:rsidRDefault="00882736" w:rsidP="00882736"/>
    <w:p w14:paraId="737FF7AC" w14:textId="1D45F637" w:rsidR="002673B6" w:rsidRPr="002673B6" w:rsidRDefault="00FF6AE4" w:rsidP="002673B6">
      <w:pPr>
        <w:pStyle w:val="Ttulo3"/>
        <w:ind w:left="720" w:hanging="720"/>
        <w:jc w:val="center"/>
        <w:rPr>
          <w:bCs/>
        </w:rPr>
      </w:pPr>
      <w:bookmarkStart w:id="77" w:name="_Toc224844311"/>
      <w:r w:rsidRPr="00B03685">
        <w:t xml:space="preserve">CAPÍTULO </w:t>
      </w:r>
      <w:r w:rsidR="006B0399">
        <w:rPr>
          <w:bCs/>
        </w:rPr>
        <w:t>I</w:t>
      </w:r>
      <w:bookmarkEnd w:id="77"/>
    </w:p>
    <w:p w14:paraId="0A5565C5" w14:textId="72D1A545" w:rsidR="001E6E54" w:rsidRDefault="00986696" w:rsidP="002673B6">
      <w:pPr>
        <w:pStyle w:val="Ttulo4"/>
        <w:ind w:left="864" w:hanging="864"/>
        <w:jc w:val="center"/>
      </w:pPr>
      <w:bookmarkStart w:id="78" w:name="_Toc224844312"/>
      <w:r>
        <w:t>CONSIDERACIONES GENERALES</w:t>
      </w:r>
      <w:bookmarkEnd w:id="78"/>
    </w:p>
    <w:p w14:paraId="38A07B95" w14:textId="77777777" w:rsidR="002673B6" w:rsidRPr="002673B6" w:rsidRDefault="002673B6" w:rsidP="002673B6"/>
    <w:p w14:paraId="7642EBE1" w14:textId="7ED3C8B5" w:rsidR="00D14A6B" w:rsidRDefault="006B0399" w:rsidP="00E82DCB">
      <w:pPr>
        <w:pStyle w:val="Ttulo5"/>
        <w:ind w:left="1008" w:hanging="1008"/>
      </w:pPr>
      <w:bookmarkStart w:id="79" w:name="_Toc224844313"/>
      <w:r w:rsidRPr="00C03BB8">
        <w:t>II-1</w:t>
      </w:r>
      <w:r w:rsidR="00612BEA" w:rsidRPr="00C03BB8">
        <w:t xml:space="preserve">.1 </w:t>
      </w:r>
      <w:r w:rsidR="00995D7C" w:rsidRPr="00C03BB8">
        <w:t>Proyectos que pueden presentarse</w:t>
      </w:r>
      <w:r w:rsidR="00D14A6B" w:rsidRPr="00C03BB8">
        <w:t>.</w:t>
      </w:r>
      <w:bookmarkEnd w:id="79"/>
    </w:p>
    <w:p w14:paraId="63F898F7" w14:textId="77777777" w:rsidR="002673B6" w:rsidRPr="002673B6" w:rsidRDefault="002673B6" w:rsidP="002673B6"/>
    <w:p w14:paraId="142BF8BA" w14:textId="77777777" w:rsidR="00AE4ED7" w:rsidRPr="00C63186" w:rsidRDefault="00AE4ED7" w:rsidP="008E39FD">
      <w:pPr>
        <w:tabs>
          <w:tab w:val="left" w:pos="4474"/>
        </w:tabs>
        <w:spacing w:after="0"/>
        <w:jc w:val="both"/>
        <w:rPr>
          <w:rFonts w:ascii="Arial" w:eastAsia="Times New Roman" w:hAnsi="Arial" w:cs="Arial"/>
          <w:sz w:val="24"/>
          <w:szCs w:val="24"/>
          <w:lang w:eastAsia="es-CO"/>
        </w:rPr>
      </w:pPr>
      <w:r w:rsidRPr="00C63186">
        <w:rPr>
          <w:rFonts w:ascii="Arial" w:eastAsia="Times New Roman" w:hAnsi="Arial" w:cs="Arial"/>
          <w:sz w:val="24"/>
          <w:szCs w:val="24"/>
          <w:lang w:eastAsia="es-CO"/>
        </w:rPr>
        <w:t>En materia de gas combustible</w:t>
      </w:r>
      <w:r>
        <w:rPr>
          <w:rFonts w:ascii="Arial" w:eastAsia="Times New Roman" w:hAnsi="Arial" w:cs="Arial"/>
          <w:sz w:val="24"/>
          <w:szCs w:val="24"/>
          <w:lang w:eastAsia="es-CO"/>
        </w:rPr>
        <w:t xml:space="preserve"> por redes, los </w:t>
      </w:r>
      <w:r w:rsidRPr="00C63186">
        <w:rPr>
          <w:rFonts w:ascii="Arial" w:eastAsia="Times New Roman" w:hAnsi="Arial" w:cs="Arial"/>
          <w:sz w:val="24"/>
          <w:szCs w:val="24"/>
          <w:lang w:eastAsia="es-CO"/>
        </w:rPr>
        <w:t xml:space="preserve">proyectos </w:t>
      </w:r>
      <w:r>
        <w:rPr>
          <w:rFonts w:ascii="Arial" w:eastAsia="Times New Roman" w:hAnsi="Arial" w:cs="Arial"/>
          <w:sz w:val="24"/>
          <w:szCs w:val="24"/>
          <w:lang w:eastAsia="es-CO"/>
        </w:rPr>
        <w:t xml:space="preserve">de infraestructura cofinanciables </w:t>
      </w:r>
      <w:r w:rsidRPr="009F7447">
        <w:rPr>
          <w:rFonts w:ascii="Arial" w:hAnsi="Arial" w:cs="Arial"/>
          <w:sz w:val="24"/>
          <w:szCs w:val="24"/>
        </w:rPr>
        <w:t xml:space="preserve">deberán </w:t>
      </w:r>
      <w:r>
        <w:rPr>
          <w:rFonts w:ascii="Arial" w:hAnsi="Arial" w:cs="Arial"/>
          <w:sz w:val="24"/>
          <w:szCs w:val="24"/>
        </w:rPr>
        <w:t>estar</w:t>
      </w:r>
      <w:r w:rsidRPr="009F7447">
        <w:rPr>
          <w:rFonts w:ascii="Arial" w:hAnsi="Arial" w:cs="Arial"/>
          <w:sz w:val="24"/>
          <w:szCs w:val="24"/>
        </w:rPr>
        <w:t xml:space="preserve"> orientados a </w:t>
      </w:r>
      <w:r>
        <w:rPr>
          <w:rFonts w:ascii="Arial" w:hAnsi="Arial" w:cs="Arial"/>
          <w:sz w:val="24"/>
          <w:szCs w:val="24"/>
        </w:rPr>
        <w:t xml:space="preserve">la prestación efectiva </w:t>
      </w:r>
      <w:r w:rsidRPr="00953185">
        <w:rPr>
          <w:rFonts w:ascii="Arial" w:hAnsi="Arial" w:cs="Arial"/>
          <w:sz w:val="24"/>
          <w:szCs w:val="24"/>
        </w:rPr>
        <w:t>del servicio de gas combustible por redes</w:t>
      </w:r>
      <w:r>
        <w:rPr>
          <w:rFonts w:ascii="Arial" w:hAnsi="Arial" w:cs="Arial"/>
          <w:sz w:val="24"/>
          <w:szCs w:val="24"/>
        </w:rPr>
        <w:t xml:space="preserve"> y serán cofinanciables incluido el suministro </w:t>
      </w:r>
      <w:r w:rsidRPr="00953185">
        <w:rPr>
          <w:rFonts w:ascii="Arial" w:hAnsi="Arial" w:cs="Arial"/>
          <w:sz w:val="24"/>
          <w:szCs w:val="24"/>
        </w:rPr>
        <w:t>de materiales y equipos, así como la puesta</w:t>
      </w:r>
      <w:r>
        <w:rPr>
          <w:rFonts w:ascii="Arial" w:hAnsi="Arial" w:cs="Arial"/>
          <w:sz w:val="24"/>
          <w:szCs w:val="24"/>
        </w:rPr>
        <w:t xml:space="preserve"> </w:t>
      </w:r>
      <w:r w:rsidRPr="00953185">
        <w:rPr>
          <w:rFonts w:ascii="Arial" w:hAnsi="Arial" w:cs="Arial"/>
          <w:sz w:val="24"/>
          <w:szCs w:val="24"/>
        </w:rPr>
        <w:t xml:space="preserve">en operación de: </w:t>
      </w:r>
      <w:r w:rsidRPr="00C63186">
        <w:rPr>
          <w:rFonts w:ascii="Arial" w:eastAsia="Times New Roman" w:hAnsi="Arial" w:cs="Arial"/>
          <w:sz w:val="24"/>
          <w:szCs w:val="24"/>
          <w:lang w:eastAsia="es-CO"/>
        </w:rPr>
        <w:t xml:space="preserve"> </w:t>
      </w:r>
    </w:p>
    <w:p w14:paraId="03BDB157" w14:textId="448E1339" w:rsidR="00D14A6B" w:rsidRPr="00C63186" w:rsidRDefault="00AE4ED7" w:rsidP="00B320D0">
      <w:pPr>
        <w:pStyle w:val="Textoindependiente"/>
        <w:widowControl w:val="0"/>
        <w:numPr>
          <w:ilvl w:val="0"/>
          <w:numId w:val="21"/>
        </w:numPr>
        <w:tabs>
          <w:tab w:val="left" w:pos="1276"/>
        </w:tabs>
        <w:spacing w:before="1" w:line="276" w:lineRule="auto"/>
        <w:rPr>
          <w:rFonts w:cs="Arial"/>
          <w:lang w:eastAsia="es-CO"/>
        </w:rPr>
      </w:pPr>
      <w:r w:rsidRPr="71B1E51C">
        <w:rPr>
          <w:rFonts w:cs="Arial"/>
        </w:rPr>
        <w:t>Gasoductos ramales y/o sistemas regionales de transporte de gas natural.</w:t>
      </w:r>
    </w:p>
    <w:p w14:paraId="51BB264A" w14:textId="713B58B7" w:rsidR="00D14A6B" w:rsidRPr="00C63186" w:rsidRDefault="00D14A6B" w:rsidP="00B320D0">
      <w:pPr>
        <w:pStyle w:val="Textoindependiente"/>
        <w:widowControl w:val="0"/>
        <w:numPr>
          <w:ilvl w:val="0"/>
          <w:numId w:val="21"/>
        </w:numPr>
        <w:tabs>
          <w:tab w:val="left" w:pos="1276"/>
        </w:tabs>
        <w:suppressAutoHyphens w:val="0"/>
        <w:autoSpaceDE w:val="0"/>
        <w:autoSpaceDN w:val="0"/>
        <w:spacing w:before="1" w:line="276" w:lineRule="auto"/>
        <w:rPr>
          <w:rFonts w:cs="Arial"/>
          <w:szCs w:val="24"/>
        </w:rPr>
      </w:pPr>
      <w:r w:rsidRPr="00C63186">
        <w:rPr>
          <w:rFonts w:cs="Arial"/>
          <w:szCs w:val="24"/>
        </w:rPr>
        <w:t>Sistemas de Distribución de Gas Combustible por redes</w:t>
      </w:r>
      <w:r w:rsidR="00AE4ED7">
        <w:rPr>
          <w:rFonts w:cs="Arial"/>
          <w:szCs w:val="24"/>
        </w:rPr>
        <w:t xml:space="preserve"> (gas natural y GLP)</w:t>
      </w:r>
      <w:r w:rsidR="00AE4ED7" w:rsidRPr="00C63186">
        <w:rPr>
          <w:rFonts w:cs="Arial"/>
          <w:szCs w:val="24"/>
        </w:rPr>
        <w:t>;</w:t>
      </w:r>
      <w:r w:rsidRPr="00C63186">
        <w:rPr>
          <w:rFonts w:cs="Arial"/>
          <w:szCs w:val="24"/>
        </w:rPr>
        <w:t xml:space="preserve"> </w:t>
      </w:r>
    </w:p>
    <w:p w14:paraId="13B8C64B" w14:textId="77777777" w:rsidR="00D14A6B" w:rsidRPr="00C63186" w:rsidRDefault="00D14A6B" w:rsidP="00B320D0">
      <w:pPr>
        <w:pStyle w:val="Textoindependiente"/>
        <w:widowControl w:val="0"/>
        <w:numPr>
          <w:ilvl w:val="0"/>
          <w:numId w:val="21"/>
        </w:numPr>
        <w:tabs>
          <w:tab w:val="left" w:pos="1276"/>
        </w:tabs>
        <w:suppressAutoHyphens w:val="0"/>
        <w:autoSpaceDE w:val="0"/>
        <w:autoSpaceDN w:val="0"/>
        <w:spacing w:before="1" w:line="276" w:lineRule="auto"/>
        <w:rPr>
          <w:rFonts w:cs="Arial"/>
          <w:szCs w:val="24"/>
        </w:rPr>
      </w:pPr>
      <w:r w:rsidRPr="00C63186">
        <w:rPr>
          <w:rFonts w:cs="Arial"/>
          <w:szCs w:val="24"/>
        </w:rPr>
        <w:t xml:space="preserve">Conexión de Gas para Usuarios de Menores Ingresos; </w:t>
      </w:r>
    </w:p>
    <w:p w14:paraId="329BE3D1" w14:textId="77777777" w:rsidR="00D14A6B" w:rsidRPr="00C63186" w:rsidRDefault="00D14A6B" w:rsidP="00B320D0">
      <w:pPr>
        <w:pStyle w:val="Textoindependiente"/>
        <w:widowControl w:val="0"/>
        <w:numPr>
          <w:ilvl w:val="0"/>
          <w:numId w:val="21"/>
        </w:numPr>
        <w:tabs>
          <w:tab w:val="left" w:pos="1276"/>
        </w:tabs>
        <w:suppressAutoHyphens w:val="0"/>
        <w:autoSpaceDE w:val="0"/>
        <w:autoSpaceDN w:val="0"/>
        <w:spacing w:before="1" w:line="276" w:lineRule="auto"/>
        <w:rPr>
          <w:rFonts w:cs="Arial"/>
          <w:szCs w:val="24"/>
        </w:rPr>
      </w:pPr>
      <w:r w:rsidRPr="00C63186">
        <w:rPr>
          <w:rFonts w:cs="Arial"/>
          <w:szCs w:val="24"/>
        </w:rPr>
        <w:t xml:space="preserve">Red Interna de Gas para Usuarios de Menores Ingresos; </w:t>
      </w:r>
    </w:p>
    <w:p w14:paraId="217FA816" w14:textId="77777777" w:rsidR="00D14A6B" w:rsidRPr="00C63186" w:rsidRDefault="00D14A6B" w:rsidP="00B320D0">
      <w:pPr>
        <w:pStyle w:val="Textoindependiente"/>
        <w:widowControl w:val="0"/>
        <w:numPr>
          <w:ilvl w:val="0"/>
          <w:numId w:val="21"/>
        </w:numPr>
        <w:tabs>
          <w:tab w:val="left" w:pos="1276"/>
        </w:tabs>
        <w:suppressAutoHyphens w:val="0"/>
        <w:autoSpaceDE w:val="0"/>
        <w:autoSpaceDN w:val="0"/>
        <w:spacing w:before="1" w:line="276" w:lineRule="auto"/>
        <w:rPr>
          <w:rFonts w:cs="Arial"/>
          <w:szCs w:val="24"/>
        </w:rPr>
      </w:pPr>
      <w:r w:rsidRPr="00C63186">
        <w:rPr>
          <w:rFonts w:cs="Arial"/>
          <w:szCs w:val="24"/>
        </w:rPr>
        <w:t xml:space="preserve">Almacenamiento Estratégico; </w:t>
      </w:r>
    </w:p>
    <w:p w14:paraId="396021B2" w14:textId="0CC7576D" w:rsidR="00D14A6B" w:rsidRPr="00C63186" w:rsidRDefault="00D14A6B" w:rsidP="00B320D0">
      <w:pPr>
        <w:pStyle w:val="Textoindependiente"/>
        <w:widowControl w:val="0"/>
        <w:numPr>
          <w:ilvl w:val="0"/>
          <w:numId w:val="21"/>
        </w:numPr>
        <w:tabs>
          <w:tab w:val="left" w:pos="1276"/>
        </w:tabs>
        <w:suppressAutoHyphens w:val="0"/>
        <w:autoSpaceDE w:val="0"/>
        <w:autoSpaceDN w:val="0"/>
        <w:spacing w:before="1" w:line="276" w:lineRule="auto"/>
        <w:rPr>
          <w:rFonts w:cs="Arial"/>
          <w:szCs w:val="24"/>
        </w:rPr>
      </w:pPr>
      <w:r w:rsidRPr="00C63186">
        <w:rPr>
          <w:rFonts w:cs="Arial"/>
          <w:szCs w:val="24"/>
        </w:rPr>
        <w:t xml:space="preserve">Sistemas de Distribución de Gas Natural Licuado </w:t>
      </w:r>
      <w:r w:rsidR="00AE4ED7">
        <w:rPr>
          <w:rFonts w:cs="Arial"/>
          <w:szCs w:val="24"/>
        </w:rPr>
        <w:t>–</w:t>
      </w:r>
      <w:r w:rsidRPr="00C63186">
        <w:rPr>
          <w:rFonts w:cs="Arial"/>
          <w:szCs w:val="24"/>
        </w:rPr>
        <w:t xml:space="preserve"> GNL</w:t>
      </w:r>
      <w:r w:rsidR="00AE4ED7">
        <w:rPr>
          <w:rFonts w:cs="Arial"/>
          <w:szCs w:val="24"/>
        </w:rPr>
        <w:t xml:space="preserve"> a pequeña escala</w:t>
      </w:r>
      <w:r w:rsidRPr="00C63186">
        <w:rPr>
          <w:rFonts w:cs="Arial"/>
          <w:szCs w:val="24"/>
        </w:rPr>
        <w:t>.</w:t>
      </w:r>
    </w:p>
    <w:p w14:paraId="37F96B01" w14:textId="05795BF9" w:rsidR="00D14A6B" w:rsidRPr="00C63186" w:rsidRDefault="00D14A6B" w:rsidP="00B03685">
      <w:pPr>
        <w:pStyle w:val="Textoindependiente"/>
        <w:widowControl w:val="0"/>
        <w:tabs>
          <w:tab w:val="left" w:pos="1276"/>
        </w:tabs>
        <w:suppressAutoHyphens w:val="0"/>
        <w:autoSpaceDE w:val="0"/>
        <w:autoSpaceDN w:val="0"/>
        <w:spacing w:before="1" w:line="276" w:lineRule="auto"/>
        <w:ind w:left="1199"/>
        <w:rPr>
          <w:szCs w:val="24"/>
        </w:rPr>
      </w:pPr>
    </w:p>
    <w:p w14:paraId="65FBA5AD" w14:textId="375005DA" w:rsidR="00AE4ED7" w:rsidRDefault="003739E3" w:rsidP="008E39FD">
      <w:pPr>
        <w:spacing w:after="0"/>
        <w:jc w:val="both"/>
        <w:rPr>
          <w:rFonts w:ascii="Arial" w:hAnsi="Arial" w:cs="Arial"/>
          <w:sz w:val="24"/>
          <w:szCs w:val="24"/>
        </w:rPr>
      </w:pPr>
      <w:r w:rsidRPr="003739E3">
        <w:rPr>
          <w:rFonts w:ascii="Arial" w:hAnsi="Arial" w:cs="Arial"/>
          <w:b/>
          <w:bCs/>
          <w:sz w:val="24"/>
          <w:szCs w:val="24"/>
        </w:rPr>
        <w:t>Nota Especial</w:t>
      </w:r>
      <w:r w:rsidR="00AE4ED7" w:rsidRPr="003739E3">
        <w:rPr>
          <w:rFonts w:ascii="Arial" w:hAnsi="Arial" w:cs="Arial"/>
          <w:b/>
          <w:bCs/>
          <w:sz w:val="24"/>
          <w:szCs w:val="24"/>
        </w:rPr>
        <w:t xml:space="preserve"> 1</w:t>
      </w:r>
      <w:r w:rsidR="005E6009">
        <w:rPr>
          <w:rFonts w:ascii="Arial" w:hAnsi="Arial" w:cs="Arial"/>
          <w:b/>
          <w:bCs/>
          <w:sz w:val="24"/>
          <w:szCs w:val="24"/>
        </w:rPr>
        <w:t>:</w:t>
      </w:r>
      <w:r w:rsidR="00AE4ED7">
        <w:rPr>
          <w:rFonts w:ascii="Arial" w:hAnsi="Arial" w:cs="Arial"/>
          <w:b/>
          <w:sz w:val="24"/>
          <w:szCs w:val="24"/>
        </w:rPr>
        <w:t xml:space="preserve"> </w:t>
      </w:r>
      <w:r w:rsidR="00AE4ED7" w:rsidRPr="10969037">
        <w:rPr>
          <w:rFonts w:ascii="Arial" w:hAnsi="Arial" w:cs="Arial"/>
          <w:sz w:val="24"/>
          <w:szCs w:val="24"/>
        </w:rPr>
        <w:t>Los proyectos señalados en los numerales i), ii), v) y vi) deberán beneficiar a Usuarios de Menores Ingresos.</w:t>
      </w:r>
    </w:p>
    <w:p w14:paraId="020FC913" w14:textId="77777777" w:rsidR="00AE4ED7" w:rsidRPr="007B071B" w:rsidRDefault="00AE4ED7" w:rsidP="008E39FD">
      <w:pPr>
        <w:spacing w:after="0"/>
        <w:jc w:val="both"/>
        <w:rPr>
          <w:rFonts w:ascii="Arial" w:hAnsi="Arial" w:cs="Arial"/>
          <w:sz w:val="24"/>
          <w:szCs w:val="24"/>
        </w:rPr>
      </w:pPr>
    </w:p>
    <w:p w14:paraId="32A18E9B" w14:textId="6A51C8F0" w:rsidR="00AE4ED7" w:rsidRPr="007B071B" w:rsidRDefault="00C167C6" w:rsidP="008E39FD">
      <w:pPr>
        <w:spacing w:after="0"/>
        <w:jc w:val="both"/>
        <w:rPr>
          <w:rFonts w:ascii="Arial" w:hAnsi="Arial" w:cs="Arial"/>
          <w:sz w:val="24"/>
          <w:szCs w:val="24"/>
        </w:rPr>
      </w:pPr>
      <w:r w:rsidRPr="003D1480">
        <w:rPr>
          <w:rFonts w:ascii="Arial" w:hAnsi="Arial" w:cs="Arial"/>
          <w:b/>
          <w:sz w:val="24"/>
          <w:szCs w:val="24"/>
        </w:rPr>
        <w:t xml:space="preserve">Nota </w:t>
      </w:r>
      <w:r w:rsidRPr="003D1480">
        <w:rPr>
          <w:rFonts w:ascii="Arial" w:hAnsi="Arial" w:cs="Arial"/>
          <w:b/>
          <w:bCs/>
          <w:sz w:val="24"/>
          <w:szCs w:val="24"/>
        </w:rPr>
        <w:t>Especial</w:t>
      </w:r>
      <w:r w:rsidR="00AE4ED7" w:rsidRPr="003D1480">
        <w:rPr>
          <w:rFonts w:ascii="Arial" w:hAnsi="Arial" w:cs="Arial"/>
          <w:b/>
          <w:sz w:val="24"/>
          <w:szCs w:val="24"/>
        </w:rPr>
        <w:t xml:space="preserve"> 2</w:t>
      </w:r>
      <w:r w:rsidR="003D1480" w:rsidRPr="003D1480">
        <w:rPr>
          <w:rFonts w:ascii="Arial" w:hAnsi="Arial" w:cs="Arial"/>
          <w:b/>
          <w:bCs/>
          <w:sz w:val="24"/>
          <w:szCs w:val="24"/>
        </w:rPr>
        <w:t>:</w:t>
      </w:r>
      <w:r w:rsidR="00AE4ED7" w:rsidRPr="007B071B">
        <w:rPr>
          <w:rFonts w:ascii="Arial" w:hAnsi="Arial" w:cs="Arial"/>
          <w:sz w:val="24"/>
          <w:szCs w:val="24"/>
        </w:rPr>
        <w:t xml:space="preserve"> Para proyectos que soliciten únicamente las Conexiones y Redes Internas al</w:t>
      </w:r>
      <w:r w:rsidR="00AE4ED7">
        <w:rPr>
          <w:rFonts w:ascii="Arial" w:hAnsi="Arial" w:cs="Arial"/>
          <w:sz w:val="24"/>
          <w:szCs w:val="24"/>
        </w:rPr>
        <w:t xml:space="preserve"> </w:t>
      </w:r>
      <w:r w:rsidR="00AE4ED7" w:rsidRPr="007B071B">
        <w:rPr>
          <w:rFonts w:ascii="Arial" w:hAnsi="Arial" w:cs="Arial"/>
          <w:sz w:val="24"/>
          <w:szCs w:val="24"/>
        </w:rPr>
        <w:t>Sistema de Distribución, el respectivo municipio deberá contar con el Sistema de Distribución</w:t>
      </w:r>
      <w:r w:rsidR="00AE4ED7">
        <w:rPr>
          <w:rFonts w:ascii="Arial" w:hAnsi="Arial" w:cs="Arial"/>
          <w:sz w:val="24"/>
          <w:szCs w:val="24"/>
        </w:rPr>
        <w:t xml:space="preserve"> </w:t>
      </w:r>
      <w:r w:rsidR="00AE4ED7" w:rsidRPr="007B071B">
        <w:rPr>
          <w:rFonts w:ascii="Arial" w:hAnsi="Arial" w:cs="Arial"/>
          <w:sz w:val="24"/>
          <w:szCs w:val="24"/>
        </w:rPr>
        <w:t>ya construido.</w:t>
      </w:r>
    </w:p>
    <w:p w14:paraId="7AE8ACB2" w14:textId="77777777" w:rsidR="00AE4ED7" w:rsidRDefault="00AE4ED7" w:rsidP="008E39FD">
      <w:pPr>
        <w:spacing w:after="0"/>
        <w:jc w:val="both"/>
        <w:rPr>
          <w:rFonts w:ascii="Arial" w:hAnsi="Arial" w:cs="Arial"/>
          <w:sz w:val="24"/>
          <w:szCs w:val="24"/>
        </w:rPr>
      </w:pPr>
    </w:p>
    <w:p w14:paraId="4B361815" w14:textId="321EB921" w:rsidR="00AE4ED7" w:rsidRDefault="00301AC6" w:rsidP="008E39FD">
      <w:pPr>
        <w:spacing w:after="0"/>
        <w:jc w:val="both"/>
        <w:rPr>
          <w:rFonts w:ascii="Arial" w:hAnsi="Arial" w:cs="Arial"/>
          <w:sz w:val="24"/>
          <w:szCs w:val="24"/>
        </w:rPr>
      </w:pPr>
      <w:r>
        <w:rPr>
          <w:rFonts w:ascii="Arial" w:hAnsi="Arial" w:cs="Arial"/>
          <w:b/>
          <w:bCs/>
          <w:sz w:val="24"/>
          <w:szCs w:val="24"/>
        </w:rPr>
        <w:t>Nota Especial</w:t>
      </w:r>
      <w:r w:rsidR="00AE4ED7" w:rsidRPr="00301AC6">
        <w:rPr>
          <w:rFonts w:ascii="Arial" w:hAnsi="Arial" w:cs="Arial"/>
          <w:b/>
          <w:sz w:val="24"/>
          <w:szCs w:val="24"/>
        </w:rPr>
        <w:t xml:space="preserve"> 3</w:t>
      </w:r>
      <w:r w:rsidRPr="00301AC6">
        <w:rPr>
          <w:rFonts w:ascii="Arial" w:hAnsi="Arial" w:cs="Arial"/>
          <w:b/>
          <w:bCs/>
          <w:sz w:val="24"/>
          <w:szCs w:val="24"/>
        </w:rPr>
        <w:t>:</w:t>
      </w:r>
      <w:r w:rsidR="00AE4ED7" w:rsidRPr="007B071B">
        <w:rPr>
          <w:rFonts w:ascii="Arial" w:hAnsi="Arial" w:cs="Arial"/>
          <w:sz w:val="24"/>
          <w:szCs w:val="24"/>
        </w:rPr>
        <w:t xml:space="preserve"> Para proyectos que soliciten únicamente las Redes Internas, se deberá contar</w:t>
      </w:r>
      <w:r w:rsidR="00AE4ED7">
        <w:rPr>
          <w:rFonts w:ascii="Arial" w:hAnsi="Arial" w:cs="Arial"/>
          <w:sz w:val="24"/>
          <w:szCs w:val="24"/>
        </w:rPr>
        <w:t xml:space="preserve"> </w:t>
      </w:r>
      <w:r w:rsidR="00AE4ED7" w:rsidRPr="007B071B">
        <w:rPr>
          <w:rFonts w:ascii="Arial" w:hAnsi="Arial" w:cs="Arial"/>
          <w:sz w:val="24"/>
          <w:szCs w:val="24"/>
        </w:rPr>
        <w:t>con el Sistema de Distribución y las Conexiones ya construidas.</w:t>
      </w:r>
    </w:p>
    <w:p w14:paraId="7546BB5C" w14:textId="77777777" w:rsidR="00AE4ED7" w:rsidRDefault="00AE4ED7" w:rsidP="008E39FD">
      <w:pPr>
        <w:spacing w:after="0"/>
        <w:jc w:val="both"/>
        <w:rPr>
          <w:rFonts w:ascii="Arial" w:hAnsi="Arial" w:cs="Arial"/>
          <w:sz w:val="24"/>
          <w:szCs w:val="24"/>
        </w:rPr>
      </w:pPr>
    </w:p>
    <w:p w14:paraId="358EC18B" w14:textId="29299C17" w:rsidR="00AE4ED7" w:rsidRDefault="00301AC6" w:rsidP="008E39FD">
      <w:pPr>
        <w:spacing w:after="0"/>
        <w:jc w:val="both"/>
        <w:rPr>
          <w:rFonts w:ascii="Arial" w:hAnsi="Arial" w:cs="Arial"/>
          <w:sz w:val="24"/>
          <w:szCs w:val="24"/>
        </w:rPr>
      </w:pPr>
      <w:r>
        <w:rPr>
          <w:rFonts w:ascii="Arial" w:hAnsi="Arial" w:cs="Arial"/>
          <w:b/>
          <w:bCs/>
          <w:sz w:val="24"/>
          <w:szCs w:val="24"/>
        </w:rPr>
        <w:t>Nota Especial</w:t>
      </w:r>
      <w:r w:rsidR="00AE4ED7">
        <w:rPr>
          <w:rFonts w:ascii="Arial" w:hAnsi="Arial" w:cs="Arial"/>
          <w:b/>
          <w:sz w:val="24"/>
          <w:szCs w:val="24"/>
        </w:rPr>
        <w:t xml:space="preserve"> </w:t>
      </w:r>
      <w:r w:rsidR="00AE4ED7" w:rsidRPr="00301AC6">
        <w:rPr>
          <w:rFonts w:ascii="Arial" w:hAnsi="Arial" w:cs="Arial"/>
          <w:b/>
          <w:sz w:val="24"/>
          <w:szCs w:val="24"/>
        </w:rPr>
        <w:t>4</w:t>
      </w:r>
      <w:r w:rsidRPr="00301AC6">
        <w:rPr>
          <w:rFonts w:ascii="Arial" w:hAnsi="Arial" w:cs="Arial"/>
          <w:b/>
          <w:bCs/>
          <w:sz w:val="24"/>
          <w:szCs w:val="24"/>
        </w:rPr>
        <w:t>:</w:t>
      </w:r>
      <w:r w:rsidR="00AE4ED7" w:rsidRPr="00B06F7C">
        <w:rPr>
          <w:rFonts w:ascii="Arial" w:hAnsi="Arial" w:cs="Arial"/>
          <w:sz w:val="24"/>
          <w:szCs w:val="24"/>
        </w:rPr>
        <w:t xml:space="preserve"> Los proyectos deben incluir el Almacenamiento Estratégico mínimo en el</w:t>
      </w:r>
      <w:r w:rsidR="00AE4ED7">
        <w:rPr>
          <w:rFonts w:ascii="Arial" w:hAnsi="Arial" w:cs="Arial"/>
          <w:sz w:val="24"/>
          <w:szCs w:val="24"/>
        </w:rPr>
        <w:t xml:space="preserve"> </w:t>
      </w:r>
      <w:r w:rsidR="00AE4ED7" w:rsidRPr="00B06F7C">
        <w:rPr>
          <w:rFonts w:ascii="Arial" w:hAnsi="Arial" w:cs="Arial"/>
          <w:sz w:val="24"/>
          <w:szCs w:val="24"/>
        </w:rPr>
        <w:t>Sistema de Distribución, para garantizar la continuidad en la prestación de servicio frente a</w:t>
      </w:r>
      <w:r w:rsidR="00AE4ED7">
        <w:rPr>
          <w:rFonts w:ascii="Arial" w:hAnsi="Arial" w:cs="Arial"/>
          <w:sz w:val="24"/>
          <w:szCs w:val="24"/>
        </w:rPr>
        <w:t xml:space="preserve"> </w:t>
      </w:r>
      <w:r w:rsidR="00AE4ED7" w:rsidRPr="00B06F7C">
        <w:rPr>
          <w:rFonts w:ascii="Arial" w:hAnsi="Arial" w:cs="Arial"/>
          <w:sz w:val="24"/>
          <w:szCs w:val="24"/>
        </w:rPr>
        <w:t>situaciones que puedan afectar el suministro de gas por redes. El Almacenamiento Estratégico</w:t>
      </w:r>
      <w:r w:rsidR="00AE4ED7">
        <w:rPr>
          <w:rFonts w:ascii="Arial" w:hAnsi="Arial" w:cs="Arial"/>
          <w:sz w:val="24"/>
          <w:szCs w:val="24"/>
        </w:rPr>
        <w:t xml:space="preserve"> </w:t>
      </w:r>
      <w:r w:rsidR="00AE4ED7" w:rsidRPr="00A167FE">
        <w:rPr>
          <w:rFonts w:ascii="Arial" w:hAnsi="Arial" w:cs="Arial"/>
          <w:sz w:val="24"/>
          <w:szCs w:val="24"/>
        </w:rPr>
        <w:t>mínimo debe ser determinado por el Solicitante mediante un estudio de continuidad del</w:t>
      </w:r>
      <w:r w:rsidR="00AE4ED7">
        <w:rPr>
          <w:rFonts w:ascii="Arial" w:hAnsi="Arial" w:cs="Arial"/>
          <w:sz w:val="24"/>
          <w:szCs w:val="24"/>
        </w:rPr>
        <w:t xml:space="preserve"> </w:t>
      </w:r>
      <w:r w:rsidR="00AE4ED7" w:rsidRPr="00A167FE">
        <w:rPr>
          <w:rFonts w:ascii="Arial" w:hAnsi="Arial" w:cs="Arial"/>
          <w:sz w:val="24"/>
          <w:szCs w:val="24"/>
        </w:rPr>
        <w:t>servicio.</w:t>
      </w:r>
    </w:p>
    <w:p w14:paraId="40A3B48F" w14:textId="77777777" w:rsidR="00AE4ED7" w:rsidRPr="00A167FE" w:rsidRDefault="00AE4ED7" w:rsidP="008E39FD">
      <w:pPr>
        <w:spacing w:after="0"/>
        <w:jc w:val="both"/>
        <w:rPr>
          <w:rFonts w:ascii="Arial" w:hAnsi="Arial" w:cs="Arial"/>
          <w:sz w:val="24"/>
          <w:szCs w:val="24"/>
        </w:rPr>
      </w:pPr>
    </w:p>
    <w:p w14:paraId="0C67B215" w14:textId="29651E1B" w:rsidR="00AE4ED7" w:rsidRDefault="00301AC6" w:rsidP="008E39FD">
      <w:pPr>
        <w:spacing w:after="0"/>
        <w:jc w:val="both"/>
        <w:rPr>
          <w:rFonts w:ascii="Arial" w:hAnsi="Arial" w:cs="Arial"/>
          <w:sz w:val="24"/>
          <w:szCs w:val="24"/>
        </w:rPr>
      </w:pPr>
      <w:r>
        <w:rPr>
          <w:rFonts w:ascii="Arial" w:hAnsi="Arial" w:cs="Arial"/>
          <w:b/>
          <w:bCs/>
          <w:sz w:val="24"/>
          <w:szCs w:val="24"/>
        </w:rPr>
        <w:t>Nota Especial</w:t>
      </w:r>
      <w:r w:rsidR="00AE4ED7">
        <w:rPr>
          <w:rFonts w:ascii="Arial" w:hAnsi="Arial" w:cs="Arial"/>
          <w:b/>
          <w:sz w:val="24"/>
          <w:szCs w:val="24"/>
        </w:rPr>
        <w:t xml:space="preserve"> </w:t>
      </w:r>
      <w:r w:rsidR="00AE4ED7" w:rsidRPr="00301AC6">
        <w:rPr>
          <w:rFonts w:ascii="Arial" w:hAnsi="Arial" w:cs="Arial"/>
          <w:b/>
          <w:sz w:val="24"/>
          <w:szCs w:val="24"/>
        </w:rPr>
        <w:t>5</w:t>
      </w:r>
      <w:r w:rsidRPr="00301AC6">
        <w:rPr>
          <w:rFonts w:ascii="Arial" w:hAnsi="Arial" w:cs="Arial"/>
          <w:b/>
          <w:bCs/>
          <w:sz w:val="24"/>
          <w:szCs w:val="24"/>
        </w:rPr>
        <w:t>:</w:t>
      </w:r>
      <w:r w:rsidR="00AE4ED7" w:rsidRPr="00A167FE">
        <w:rPr>
          <w:rFonts w:ascii="Arial" w:hAnsi="Arial" w:cs="Arial"/>
          <w:sz w:val="24"/>
          <w:szCs w:val="24"/>
        </w:rPr>
        <w:t xml:space="preserve"> Para proyectos que soliciten únicamente financiación para el Almacenamiento</w:t>
      </w:r>
      <w:r w:rsidR="00AE4ED7">
        <w:rPr>
          <w:rFonts w:ascii="Arial" w:hAnsi="Arial" w:cs="Arial"/>
          <w:sz w:val="24"/>
          <w:szCs w:val="24"/>
        </w:rPr>
        <w:t xml:space="preserve"> </w:t>
      </w:r>
      <w:r w:rsidR="00AE4ED7" w:rsidRPr="00A167FE">
        <w:rPr>
          <w:rFonts w:ascii="Arial" w:hAnsi="Arial" w:cs="Arial"/>
          <w:sz w:val="24"/>
          <w:szCs w:val="24"/>
        </w:rPr>
        <w:t>Estratégico en los Sistemas de Distribución, se deberá contar con el Sistema de Distribución,</w:t>
      </w:r>
      <w:r w:rsidR="00AE4ED7">
        <w:rPr>
          <w:rFonts w:ascii="Arial" w:hAnsi="Arial" w:cs="Arial"/>
          <w:sz w:val="24"/>
          <w:szCs w:val="24"/>
        </w:rPr>
        <w:t xml:space="preserve"> </w:t>
      </w:r>
      <w:r w:rsidR="00AE4ED7" w:rsidRPr="00A167FE">
        <w:rPr>
          <w:rFonts w:ascii="Arial" w:hAnsi="Arial" w:cs="Arial"/>
          <w:sz w:val="24"/>
          <w:szCs w:val="24"/>
        </w:rPr>
        <w:t>las Conexiones y Redes Internas en operación.</w:t>
      </w:r>
    </w:p>
    <w:p w14:paraId="46AE927F" w14:textId="41718419" w:rsidR="00903CD9" w:rsidRDefault="00903CD9" w:rsidP="008E39FD">
      <w:pPr>
        <w:spacing w:after="0"/>
        <w:jc w:val="both"/>
        <w:rPr>
          <w:rFonts w:ascii="Arial" w:hAnsi="Arial" w:cs="Arial"/>
          <w:sz w:val="24"/>
          <w:szCs w:val="24"/>
          <w:lang w:val="es-ES" w:eastAsia="es-MX"/>
        </w:rPr>
      </w:pPr>
    </w:p>
    <w:p w14:paraId="3BAF022A" w14:textId="156F6C6E" w:rsidR="006C7D1F" w:rsidRPr="00A72E5C" w:rsidRDefault="00A72E5C" w:rsidP="00E82DCB">
      <w:pPr>
        <w:pStyle w:val="Ttulo5"/>
        <w:ind w:left="1008" w:hanging="1008"/>
      </w:pPr>
      <w:bookmarkStart w:id="80" w:name="_Toc224844314"/>
      <w:r w:rsidRPr="00A72E5C">
        <w:rPr>
          <w:lang w:val="es-ES"/>
        </w:rPr>
        <w:t xml:space="preserve">II-1.2  </w:t>
      </w:r>
      <w:r>
        <w:rPr>
          <w:lang w:val="es-ES"/>
        </w:rPr>
        <w:t>P</w:t>
      </w:r>
      <w:r w:rsidRPr="00A72E5C">
        <w:t>royectos no cofinanciables</w:t>
      </w:r>
      <w:bookmarkEnd w:id="80"/>
    </w:p>
    <w:p w14:paraId="507DA2C7" w14:textId="77777777" w:rsidR="00577819" w:rsidRDefault="00577819" w:rsidP="00B03685">
      <w:pPr>
        <w:shd w:val="clear" w:color="auto" w:fill="FFFFFF" w:themeFill="background1"/>
        <w:spacing w:after="0"/>
        <w:jc w:val="both"/>
        <w:rPr>
          <w:rFonts w:ascii="Arial" w:eastAsia="Times New Roman" w:hAnsi="Arial" w:cs="Arial"/>
          <w:sz w:val="24"/>
          <w:szCs w:val="24"/>
        </w:rPr>
      </w:pPr>
    </w:p>
    <w:p w14:paraId="77819FDF" w14:textId="00F4F592" w:rsidR="00FC74CC" w:rsidRPr="00C63186" w:rsidRDefault="00FC74CC" w:rsidP="00B03685">
      <w:pPr>
        <w:shd w:val="clear" w:color="auto" w:fill="FFFFFF" w:themeFill="background1"/>
        <w:spacing w:after="0"/>
        <w:jc w:val="both"/>
        <w:rPr>
          <w:rFonts w:ascii="Arial" w:eastAsia="Times New Roman" w:hAnsi="Arial" w:cs="Arial"/>
          <w:sz w:val="24"/>
          <w:szCs w:val="24"/>
        </w:rPr>
      </w:pPr>
      <w:r w:rsidRPr="00C63186">
        <w:rPr>
          <w:rFonts w:ascii="Arial" w:eastAsia="Times New Roman" w:hAnsi="Arial" w:cs="Arial"/>
          <w:sz w:val="24"/>
          <w:szCs w:val="24"/>
        </w:rPr>
        <w:t>No se cofinanciarán con recursos del FONENERGÍA:</w:t>
      </w:r>
    </w:p>
    <w:p w14:paraId="42DF2A51" w14:textId="77777777" w:rsidR="00FC74CC" w:rsidRDefault="00FC74CC" w:rsidP="008E39FD">
      <w:pPr>
        <w:spacing w:after="0"/>
        <w:jc w:val="both"/>
        <w:rPr>
          <w:rFonts w:ascii="Arial" w:hAnsi="Arial" w:cs="Arial"/>
          <w:b/>
          <w:bCs/>
          <w:sz w:val="24"/>
          <w:szCs w:val="24"/>
        </w:rPr>
      </w:pPr>
    </w:p>
    <w:p w14:paraId="7D0E6418" w14:textId="657D1660" w:rsidR="003B2CF6" w:rsidRDefault="00FC74CC" w:rsidP="003B2CF6">
      <w:pPr>
        <w:spacing w:after="0"/>
        <w:jc w:val="both"/>
        <w:rPr>
          <w:rFonts w:ascii="Arial" w:hAnsi="Arial" w:cs="Arial"/>
          <w:sz w:val="24"/>
          <w:szCs w:val="24"/>
        </w:rPr>
      </w:pPr>
      <w:r w:rsidRPr="003B2CF6">
        <w:rPr>
          <w:rFonts w:ascii="Arial" w:hAnsi="Arial" w:cs="Arial"/>
          <w:sz w:val="24"/>
          <w:szCs w:val="24"/>
        </w:rPr>
        <w:t>a) Estudios de preinversión o de prefactibilidad</w:t>
      </w:r>
      <w:r w:rsidR="003B2CF6">
        <w:rPr>
          <w:rFonts w:ascii="Arial" w:hAnsi="Arial" w:cs="Arial"/>
          <w:sz w:val="24"/>
          <w:szCs w:val="24"/>
        </w:rPr>
        <w:t xml:space="preserve"> </w:t>
      </w:r>
      <w:commentRangeStart w:id="81"/>
      <w:r w:rsidR="003B2CF6">
        <w:rPr>
          <w:rFonts w:ascii="Arial" w:hAnsi="Arial" w:cs="Arial"/>
          <w:sz w:val="24"/>
          <w:szCs w:val="24"/>
        </w:rPr>
        <w:t>que adelanten los solicitantes de cofinanciación de proyectos</w:t>
      </w:r>
      <w:r w:rsidR="006106B3">
        <w:rPr>
          <w:rFonts w:ascii="Arial" w:hAnsi="Arial" w:cs="Arial"/>
          <w:sz w:val="24"/>
          <w:szCs w:val="24"/>
        </w:rPr>
        <w:t>.</w:t>
      </w:r>
      <w:commentRangeEnd w:id="81"/>
      <w:r w:rsidR="003B2CF6">
        <w:rPr>
          <w:rStyle w:val="Refdecomentario"/>
          <w:rFonts w:ascii="Arial" w:hAnsi="Arial" w:cs="Arial"/>
          <w:sz w:val="24"/>
          <w:szCs w:val="24"/>
        </w:rPr>
        <w:commentReference w:id="81"/>
      </w:r>
    </w:p>
    <w:p w14:paraId="06674C75" w14:textId="2C22EDBF" w:rsidR="00FC74CC" w:rsidRDefault="00FC74CC" w:rsidP="008E39FD">
      <w:pPr>
        <w:spacing w:after="0"/>
        <w:jc w:val="both"/>
        <w:rPr>
          <w:rFonts w:ascii="Arial" w:hAnsi="Arial" w:cs="Arial"/>
          <w:sz w:val="24"/>
          <w:szCs w:val="24"/>
        </w:rPr>
      </w:pPr>
    </w:p>
    <w:p w14:paraId="43ECCE9D" w14:textId="77777777" w:rsidR="00FC74CC" w:rsidRDefault="00FC74CC" w:rsidP="008E39FD">
      <w:pPr>
        <w:spacing w:after="0"/>
        <w:jc w:val="both"/>
        <w:rPr>
          <w:rFonts w:ascii="Arial" w:hAnsi="Arial" w:cs="Arial"/>
          <w:sz w:val="24"/>
          <w:szCs w:val="24"/>
        </w:rPr>
      </w:pPr>
    </w:p>
    <w:p w14:paraId="6EBF3A05" w14:textId="7592F721" w:rsidR="00FC74CC" w:rsidRPr="007A6730" w:rsidRDefault="003B2CF6" w:rsidP="008E39FD">
      <w:pPr>
        <w:spacing w:after="0"/>
        <w:jc w:val="both"/>
        <w:rPr>
          <w:rFonts w:ascii="Arial" w:hAnsi="Arial" w:cs="Arial"/>
          <w:sz w:val="24"/>
          <w:szCs w:val="24"/>
        </w:rPr>
      </w:pPr>
      <w:r>
        <w:rPr>
          <w:rFonts w:ascii="Arial" w:hAnsi="Arial" w:cs="Arial"/>
          <w:sz w:val="24"/>
          <w:szCs w:val="24"/>
        </w:rPr>
        <w:t>b</w:t>
      </w:r>
      <w:r w:rsidR="00FC74CC" w:rsidRPr="007A6730">
        <w:rPr>
          <w:rFonts w:ascii="Arial" w:hAnsi="Arial" w:cs="Arial"/>
          <w:sz w:val="24"/>
          <w:szCs w:val="24"/>
        </w:rPr>
        <w:t>) Proyectos de infraestructura para compresión de gas natural, plantas de licuefacción,</w:t>
      </w:r>
    </w:p>
    <w:p w14:paraId="3921BB9E" w14:textId="77777777" w:rsidR="00FC74CC" w:rsidRPr="00B87633" w:rsidRDefault="00FC74CC" w:rsidP="008E39FD">
      <w:pPr>
        <w:spacing w:after="0"/>
        <w:jc w:val="both"/>
        <w:rPr>
          <w:rFonts w:ascii="Arial" w:hAnsi="Arial" w:cs="Arial"/>
          <w:sz w:val="24"/>
          <w:szCs w:val="24"/>
          <w:lang w:val="pt-PT"/>
        </w:rPr>
      </w:pPr>
      <w:r w:rsidRPr="00B87633">
        <w:rPr>
          <w:rFonts w:ascii="Arial" w:hAnsi="Arial" w:cs="Arial"/>
          <w:sz w:val="24"/>
          <w:szCs w:val="24"/>
          <w:lang w:val="pt-PT"/>
        </w:rPr>
        <w:t>o vehículos para transporte de gas natural comprimido – GNC o gas natural licuado –GNL.</w:t>
      </w:r>
    </w:p>
    <w:p w14:paraId="5E276228" w14:textId="77777777" w:rsidR="00FC74CC" w:rsidRPr="00B87633" w:rsidRDefault="00FC74CC" w:rsidP="008E39FD">
      <w:pPr>
        <w:spacing w:after="0"/>
        <w:jc w:val="both"/>
        <w:rPr>
          <w:rFonts w:ascii="Arial" w:hAnsi="Arial" w:cs="Arial"/>
          <w:sz w:val="24"/>
          <w:szCs w:val="24"/>
          <w:lang w:val="pt-PT"/>
        </w:rPr>
      </w:pPr>
    </w:p>
    <w:p w14:paraId="27ED767E" w14:textId="3366AC95" w:rsidR="00FC74CC" w:rsidRDefault="003B2CF6" w:rsidP="008E39FD">
      <w:pPr>
        <w:spacing w:after="0"/>
        <w:jc w:val="both"/>
        <w:rPr>
          <w:rFonts w:ascii="Arial" w:hAnsi="Arial" w:cs="Arial"/>
          <w:sz w:val="24"/>
          <w:szCs w:val="24"/>
        </w:rPr>
      </w:pPr>
      <w:r>
        <w:rPr>
          <w:rFonts w:ascii="Arial" w:hAnsi="Arial" w:cs="Arial"/>
          <w:sz w:val="24"/>
          <w:szCs w:val="24"/>
        </w:rPr>
        <w:t>c</w:t>
      </w:r>
      <w:r w:rsidR="00FC74CC" w:rsidRPr="007A6730">
        <w:rPr>
          <w:rFonts w:ascii="Arial" w:hAnsi="Arial" w:cs="Arial"/>
          <w:sz w:val="24"/>
          <w:szCs w:val="24"/>
        </w:rPr>
        <w:t>) Las ampliaciones de sistemas de distribución de gas combustible existentes y</w:t>
      </w:r>
      <w:r w:rsidR="00FC74CC">
        <w:rPr>
          <w:rFonts w:ascii="Arial" w:hAnsi="Arial" w:cs="Arial"/>
          <w:sz w:val="24"/>
          <w:szCs w:val="24"/>
        </w:rPr>
        <w:t xml:space="preserve"> </w:t>
      </w:r>
      <w:r w:rsidR="00FC74CC" w:rsidRPr="007A6730">
        <w:rPr>
          <w:rFonts w:ascii="Arial" w:hAnsi="Arial" w:cs="Arial"/>
          <w:sz w:val="24"/>
          <w:szCs w:val="24"/>
        </w:rPr>
        <w:t>efectivamente en servicio</w:t>
      </w:r>
      <w:r w:rsidR="00FC74CC">
        <w:rPr>
          <w:rFonts w:ascii="Arial" w:hAnsi="Arial" w:cs="Arial"/>
          <w:sz w:val="24"/>
          <w:szCs w:val="24"/>
        </w:rPr>
        <w:t>.</w:t>
      </w:r>
    </w:p>
    <w:p w14:paraId="5BE79112" w14:textId="77777777" w:rsidR="00FC74CC" w:rsidRDefault="00FC74CC" w:rsidP="008E39FD">
      <w:pPr>
        <w:spacing w:after="0"/>
        <w:jc w:val="both"/>
        <w:rPr>
          <w:rFonts w:ascii="Arial" w:hAnsi="Arial" w:cs="Arial"/>
          <w:sz w:val="24"/>
          <w:szCs w:val="24"/>
        </w:rPr>
      </w:pPr>
    </w:p>
    <w:p w14:paraId="5DB53C73" w14:textId="35DC506A" w:rsidR="00FC74CC" w:rsidRPr="007A6730" w:rsidRDefault="003B2CF6" w:rsidP="008E39FD">
      <w:pPr>
        <w:spacing w:after="0"/>
        <w:jc w:val="both"/>
        <w:rPr>
          <w:rFonts w:ascii="Arial" w:hAnsi="Arial" w:cs="Arial"/>
          <w:sz w:val="24"/>
          <w:szCs w:val="24"/>
        </w:rPr>
      </w:pPr>
      <w:r>
        <w:rPr>
          <w:rFonts w:ascii="Arial" w:hAnsi="Arial" w:cs="Arial"/>
          <w:sz w:val="24"/>
          <w:szCs w:val="24"/>
        </w:rPr>
        <w:t>d</w:t>
      </w:r>
      <w:r w:rsidR="00FC74CC">
        <w:rPr>
          <w:rFonts w:ascii="Arial" w:hAnsi="Arial" w:cs="Arial"/>
          <w:sz w:val="24"/>
          <w:szCs w:val="24"/>
        </w:rPr>
        <w:t xml:space="preserve">) </w:t>
      </w:r>
      <w:r w:rsidR="00FC74CC" w:rsidRPr="00F16A44">
        <w:rPr>
          <w:rFonts w:ascii="Arial" w:hAnsi="Arial" w:cs="Arial"/>
          <w:sz w:val="24"/>
          <w:szCs w:val="24"/>
        </w:rPr>
        <w:t>Nuevos sistemas de distribución en poblaciones para las cuales exista, al momento de</w:t>
      </w:r>
      <w:r w:rsidR="00FC74CC">
        <w:rPr>
          <w:rFonts w:ascii="Arial" w:hAnsi="Arial" w:cs="Arial"/>
          <w:sz w:val="24"/>
          <w:szCs w:val="24"/>
        </w:rPr>
        <w:t xml:space="preserve"> </w:t>
      </w:r>
      <w:r w:rsidR="00FC74CC" w:rsidRPr="00F16A44">
        <w:rPr>
          <w:rFonts w:ascii="Arial" w:hAnsi="Arial" w:cs="Arial"/>
          <w:sz w:val="24"/>
          <w:szCs w:val="24"/>
        </w:rPr>
        <w:t>solicitar la certificación de la CREG, la intención de prestar el</w:t>
      </w:r>
      <w:r w:rsidR="00FC74CC">
        <w:rPr>
          <w:rFonts w:ascii="Arial" w:hAnsi="Arial" w:cs="Arial"/>
          <w:sz w:val="24"/>
          <w:szCs w:val="24"/>
        </w:rPr>
        <w:t xml:space="preserve"> </w:t>
      </w:r>
      <w:r w:rsidR="00FC74CC" w:rsidRPr="00F16A44">
        <w:rPr>
          <w:rFonts w:ascii="Arial" w:hAnsi="Arial" w:cs="Arial"/>
          <w:sz w:val="24"/>
          <w:szCs w:val="24"/>
        </w:rPr>
        <w:t>servicio por parte de una empresa de servicios públicos reflejada en: i) una solicitud</w:t>
      </w:r>
      <w:r w:rsidR="00FC74CC">
        <w:rPr>
          <w:rFonts w:ascii="Arial" w:hAnsi="Arial" w:cs="Arial"/>
          <w:sz w:val="24"/>
          <w:szCs w:val="24"/>
        </w:rPr>
        <w:t xml:space="preserve"> </w:t>
      </w:r>
      <w:r w:rsidR="00FC74CC" w:rsidRPr="00F16A44">
        <w:rPr>
          <w:rFonts w:ascii="Arial" w:hAnsi="Arial" w:cs="Arial"/>
          <w:sz w:val="24"/>
          <w:szCs w:val="24"/>
        </w:rPr>
        <w:t>tarifaria para distribución y comercialización de gas combustible que haya sido</w:t>
      </w:r>
      <w:r w:rsidR="00FC74CC">
        <w:rPr>
          <w:rFonts w:ascii="Arial" w:hAnsi="Arial" w:cs="Arial"/>
          <w:sz w:val="24"/>
          <w:szCs w:val="24"/>
        </w:rPr>
        <w:t xml:space="preserve"> </w:t>
      </w:r>
      <w:r w:rsidR="00FC74CC" w:rsidRPr="00F16A44">
        <w:rPr>
          <w:rFonts w:ascii="Arial" w:hAnsi="Arial" w:cs="Arial"/>
          <w:sz w:val="24"/>
          <w:szCs w:val="24"/>
        </w:rPr>
        <w:t>radicada ante la CREG, o ii) una resolución tarifaria de distribución y comercialización</w:t>
      </w:r>
      <w:r w:rsidR="00FC74CC">
        <w:rPr>
          <w:rFonts w:ascii="Arial" w:hAnsi="Arial" w:cs="Arial"/>
          <w:sz w:val="24"/>
          <w:szCs w:val="24"/>
        </w:rPr>
        <w:t xml:space="preserve"> </w:t>
      </w:r>
      <w:r w:rsidR="00FC74CC" w:rsidRPr="00F16A44">
        <w:rPr>
          <w:rFonts w:ascii="Arial" w:hAnsi="Arial" w:cs="Arial"/>
          <w:sz w:val="24"/>
          <w:szCs w:val="24"/>
        </w:rPr>
        <w:t>de gas expedida por la CREG</w:t>
      </w:r>
    </w:p>
    <w:p w14:paraId="0CDCEA9C" w14:textId="77777777" w:rsidR="00FC74CC" w:rsidRPr="007A6730" w:rsidRDefault="00FC74CC" w:rsidP="008E39FD">
      <w:pPr>
        <w:spacing w:after="0"/>
        <w:jc w:val="both"/>
        <w:rPr>
          <w:rFonts w:ascii="Arial" w:hAnsi="Arial" w:cs="Arial"/>
          <w:b/>
          <w:bCs/>
          <w:sz w:val="24"/>
          <w:szCs w:val="24"/>
        </w:rPr>
      </w:pPr>
    </w:p>
    <w:p w14:paraId="0FC0AC05" w14:textId="77777777" w:rsidR="00FC74CC" w:rsidRPr="006956DD" w:rsidRDefault="00FC74CC" w:rsidP="008E39FD">
      <w:pPr>
        <w:spacing w:after="0"/>
        <w:jc w:val="both"/>
        <w:rPr>
          <w:rFonts w:ascii="Arial" w:hAnsi="Arial" w:cs="Arial"/>
          <w:sz w:val="24"/>
          <w:szCs w:val="24"/>
        </w:rPr>
      </w:pPr>
      <w:r>
        <w:rPr>
          <w:rFonts w:ascii="Arial" w:hAnsi="Arial" w:cs="Arial"/>
          <w:sz w:val="24"/>
          <w:szCs w:val="24"/>
        </w:rPr>
        <w:t>d</w:t>
      </w:r>
      <w:r w:rsidRPr="006956DD">
        <w:rPr>
          <w:rFonts w:ascii="Arial" w:hAnsi="Arial" w:cs="Arial"/>
          <w:sz w:val="24"/>
          <w:szCs w:val="24"/>
        </w:rPr>
        <w:t>) Nuevos sistemas de distribución destinados a atender poblaciones que se encuentren</w:t>
      </w:r>
    </w:p>
    <w:p w14:paraId="6D9406F8" w14:textId="77777777" w:rsidR="00FC74CC" w:rsidRDefault="00FC74CC" w:rsidP="008E39FD">
      <w:pPr>
        <w:spacing w:after="0"/>
        <w:jc w:val="both"/>
        <w:rPr>
          <w:rFonts w:ascii="Arial" w:hAnsi="Arial" w:cs="Arial"/>
          <w:sz w:val="24"/>
          <w:szCs w:val="24"/>
        </w:rPr>
      </w:pPr>
      <w:r w:rsidRPr="006956DD">
        <w:rPr>
          <w:rFonts w:ascii="Arial" w:hAnsi="Arial" w:cs="Arial"/>
          <w:sz w:val="24"/>
          <w:szCs w:val="24"/>
        </w:rPr>
        <w:t>incluidas dentro del plan de expansión de empresas prestadoras de servicios públicos</w:t>
      </w:r>
      <w:r>
        <w:rPr>
          <w:rFonts w:ascii="Arial" w:hAnsi="Arial" w:cs="Arial"/>
          <w:sz w:val="24"/>
          <w:szCs w:val="24"/>
        </w:rPr>
        <w:t>.</w:t>
      </w:r>
    </w:p>
    <w:p w14:paraId="62DC390D" w14:textId="77777777" w:rsidR="00FC74CC" w:rsidRDefault="00FC74CC" w:rsidP="008E39FD">
      <w:pPr>
        <w:spacing w:after="0"/>
        <w:jc w:val="both"/>
        <w:rPr>
          <w:rFonts w:ascii="Arial" w:hAnsi="Arial" w:cs="Arial"/>
          <w:sz w:val="24"/>
          <w:szCs w:val="24"/>
        </w:rPr>
      </w:pPr>
    </w:p>
    <w:p w14:paraId="5257745F" w14:textId="77777777" w:rsidR="00FC74CC" w:rsidRDefault="00FC74CC" w:rsidP="008E39FD">
      <w:pPr>
        <w:spacing w:after="0"/>
        <w:jc w:val="both"/>
        <w:rPr>
          <w:rFonts w:ascii="Arial" w:hAnsi="Arial" w:cs="Arial"/>
          <w:sz w:val="24"/>
          <w:szCs w:val="24"/>
        </w:rPr>
      </w:pPr>
      <w:r>
        <w:rPr>
          <w:rFonts w:ascii="Arial" w:hAnsi="Arial" w:cs="Arial"/>
          <w:sz w:val="24"/>
          <w:szCs w:val="24"/>
        </w:rPr>
        <w:t>e</w:t>
      </w:r>
      <w:r w:rsidRPr="006956DD">
        <w:rPr>
          <w:rFonts w:ascii="Arial" w:hAnsi="Arial" w:cs="Arial"/>
          <w:sz w:val="24"/>
          <w:szCs w:val="24"/>
        </w:rPr>
        <w:t xml:space="preserve">) </w:t>
      </w:r>
      <w:r w:rsidRPr="00D92F8A">
        <w:rPr>
          <w:rFonts w:ascii="Arial" w:hAnsi="Arial" w:cs="Arial"/>
          <w:sz w:val="24"/>
          <w:szCs w:val="24"/>
        </w:rPr>
        <w:t>Pagos para la adquisición de tierras, lotes, inmuebles o para la imposición de</w:t>
      </w:r>
      <w:r>
        <w:rPr>
          <w:rFonts w:ascii="Arial" w:hAnsi="Arial" w:cs="Arial"/>
          <w:sz w:val="24"/>
          <w:szCs w:val="24"/>
        </w:rPr>
        <w:t xml:space="preserve"> </w:t>
      </w:r>
      <w:r w:rsidRPr="00D92F8A">
        <w:rPr>
          <w:rFonts w:ascii="Arial" w:hAnsi="Arial" w:cs="Arial"/>
          <w:sz w:val="24"/>
          <w:szCs w:val="24"/>
        </w:rPr>
        <w:t>servidumbres</w:t>
      </w:r>
      <w:r>
        <w:rPr>
          <w:rFonts w:ascii="Arial" w:hAnsi="Arial" w:cs="Arial"/>
          <w:sz w:val="24"/>
          <w:szCs w:val="24"/>
        </w:rPr>
        <w:t>.</w:t>
      </w:r>
    </w:p>
    <w:p w14:paraId="544AC0BD" w14:textId="77777777" w:rsidR="000A3136" w:rsidRDefault="000A3136" w:rsidP="008E39FD">
      <w:pPr>
        <w:spacing w:after="0"/>
        <w:jc w:val="both"/>
        <w:rPr>
          <w:rFonts w:ascii="Arial" w:hAnsi="Arial" w:cs="Arial"/>
          <w:sz w:val="24"/>
          <w:szCs w:val="24"/>
        </w:rPr>
      </w:pPr>
    </w:p>
    <w:p w14:paraId="2CC3CFF2" w14:textId="77777777" w:rsidR="00EC5774" w:rsidRPr="00C63186" w:rsidRDefault="00EC5774" w:rsidP="008E39FD">
      <w:pPr>
        <w:tabs>
          <w:tab w:val="left" w:pos="4474"/>
        </w:tabs>
        <w:spacing w:after="0"/>
        <w:jc w:val="both"/>
        <w:rPr>
          <w:rFonts w:ascii="Arial" w:hAnsi="Arial" w:cs="Arial"/>
          <w:b/>
          <w:bCs/>
          <w:sz w:val="24"/>
          <w:szCs w:val="24"/>
        </w:rPr>
      </w:pPr>
    </w:p>
    <w:p w14:paraId="6DAFD5CE" w14:textId="4A89663D" w:rsidR="003704F3" w:rsidRPr="00E82DCB" w:rsidRDefault="003D0C00" w:rsidP="00E82DCB">
      <w:pPr>
        <w:pStyle w:val="Ttulo3"/>
        <w:ind w:left="720" w:hanging="720"/>
        <w:jc w:val="center"/>
      </w:pPr>
      <w:bookmarkStart w:id="82" w:name="_Toc224844315"/>
      <w:r>
        <w:t>CAPÍTULO II</w:t>
      </w:r>
      <w:bookmarkEnd w:id="82"/>
    </w:p>
    <w:p w14:paraId="6ABD473E" w14:textId="4E9A124B" w:rsidR="00812B69" w:rsidRPr="00C63186" w:rsidRDefault="003704F3" w:rsidP="00E82DCB">
      <w:pPr>
        <w:pStyle w:val="Ttulo4"/>
        <w:ind w:left="864" w:hanging="864"/>
        <w:jc w:val="center"/>
      </w:pPr>
      <w:bookmarkStart w:id="83" w:name="_Toc224844316"/>
      <w:r>
        <w:t>ESTRUCTURACIÓN</w:t>
      </w:r>
      <w:bookmarkEnd w:id="83"/>
    </w:p>
    <w:p w14:paraId="004ABAEC" w14:textId="77777777" w:rsidR="00EC5774" w:rsidRPr="00C63186" w:rsidRDefault="00EC5774" w:rsidP="008E39FD">
      <w:pPr>
        <w:tabs>
          <w:tab w:val="left" w:pos="4474"/>
        </w:tabs>
        <w:spacing w:after="0"/>
        <w:jc w:val="both"/>
        <w:rPr>
          <w:rFonts w:ascii="Arial" w:hAnsi="Arial" w:cs="Arial"/>
          <w:b/>
          <w:bCs/>
          <w:sz w:val="24"/>
          <w:szCs w:val="24"/>
        </w:rPr>
      </w:pPr>
    </w:p>
    <w:p w14:paraId="4DF1B09F" w14:textId="168DCAF3" w:rsidR="00EC5774" w:rsidRPr="00812B69" w:rsidRDefault="000841CA" w:rsidP="00E82DCB">
      <w:pPr>
        <w:pStyle w:val="Ttulo5"/>
        <w:ind w:left="1008" w:hanging="1008"/>
      </w:pPr>
      <w:bookmarkStart w:id="84" w:name="_Toc224844317"/>
      <w:r>
        <w:rPr>
          <w:bCs/>
        </w:rPr>
        <w:t xml:space="preserve">II-2-1 </w:t>
      </w:r>
      <w:r w:rsidR="001469C1" w:rsidRPr="00812B69">
        <w:t xml:space="preserve">Requisitos de </w:t>
      </w:r>
      <w:r>
        <w:rPr>
          <w:bCs/>
        </w:rPr>
        <w:t xml:space="preserve">estructuración y/o </w:t>
      </w:r>
      <w:r w:rsidR="001469C1" w:rsidRPr="00812B69">
        <w:t>presentación de proyectos.</w:t>
      </w:r>
      <w:bookmarkEnd w:id="84"/>
    </w:p>
    <w:p w14:paraId="775EC7AA" w14:textId="58AE3BE4" w:rsidR="00FF70FC" w:rsidRPr="00D039F4" w:rsidRDefault="00FF70FC" w:rsidP="008E39FD">
      <w:pPr>
        <w:shd w:val="clear" w:color="auto" w:fill="FFFFFF"/>
        <w:spacing w:before="100" w:beforeAutospacing="1" w:after="100" w:afterAutospacing="1"/>
        <w:jc w:val="both"/>
        <w:rPr>
          <w:rFonts w:ascii="Arial" w:eastAsia="Times New Roman" w:hAnsi="Arial" w:cs="Arial"/>
          <w:sz w:val="24"/>
          <w:szCs w:val="24"/>
          <w:lang w:eastAsia="es-CO"/>
        </w:rPr>
      </w:pPr>
      <w:r w:rsidRPr="00D039F4">
        <w:rPr>
          <w:rFonts w:ascii="Arial" w:eastAsia="Times New Roman" w:hAnsi="Arial" w:cs="Arial"/>
          <w:sz w:val="24"/>
          <w:szCs w:val="24"/>
          <w:lang w:eastAsia="es-CO"/>
        </w:rPr>
        <w:t>Los proyectos presentados por el Solicitante y que requier</w:t>
      </w:r>
      <w:r w:rsidR="00E54419">
        <w:rPr>
          <w:rFonts w:ascii="Arial" w:eastAsia="Times New Roman" w:hAnsi="Arial" w:cs="Arial"/>
          <w:sz w:val="24"/>
          <w:szCs w:val="24"/>
          <w:lang w:eastAsia="es-CO"/>
        </w:rPr>
        <w:t>a</w:t>
      </w:r>
      <w:r w:rsidRPr="00D039F4">
        <w:rPr>
          <w:rFonts w:ascii="Arial" w:eastAsia="Times New Roman" w:hAnsi="Arial" w:cs="Arial"/>
          <w:sz w:val="24"/>
          <w:szCs w:val="24"/>
          <w:lang w:eastAsia="es-CO"/>
        </w:rPr>
        <w:t>n la cofinanciación del F</w:t>
      </w:r>
      <w:r w:rsidR="00E54419">
        <w:rPr>
          <w:rFonts w:ascii="Arial" w:eastAsia="Times New Roman" w:hAnsi="Arial" w:cs="Arial"/>
          <w:sz w:val="24"/>
          <w:szCs w:val="24"/>
          <w:lang w:eastAsia="es-CO"/>
        </w:rPr>
        <w:t>ONENERGÍA</w:t>
      </w:r>
      <w:r w:rsidRPr="00D039F4">
        <w:rPr>
          <w:rFonts w:ascii="Arial" w:eastAsia="Times New Roman" w:hAnsi="Arial" w:cs="Arial"/>
          <w:sz w:val="24"/>
          <w:szCs w:val="24"/>
          <w:lang w:eastAsia="es-CO"/>
        </w:rPr>
        <w:t>, deberán cumplir los siguientes requisitos</w:t>
      </w:r>
      <w:r>
        <w:rPr>
          <w:rFonts w:ascii="Arial" w:eastAsia="Times New Roman" w:hAnsi="Arial" w:cs="Arial"/>
          <w:sz w:val="24"/>
          <w:szCs w:val="24"/>
          <w:lang w:eastAsia="es-CO"/>
        </w:rPr>
        <w:t xml:space="preserve"> </w:t>
      </w:r>
      <w:r w:rsidRPr="00D039F4">
        <w:rPr>
          <w:rFonts w:ascii="Arial" w:eastAsia="Times New Roman" w:hAnsi="Arial" w:cs="Arial"/>
          <w:sz w:val="24"/>
          <w:szCs w:val="24"/>
          <w:lang w:eastAsia="es-CO"/>
        </w:rPr>
        <w:t>para su evaluación técnica y financiera:</w:t>
      </w:r>
    </w:p>
    <w:p w14:paraId="0A1EC7A9" w14:textId="77777777" w:rsidR="00FF70FC" w:rsidRDefault="00FF70FC" w:rsidP="00B320D0">
      <w:pPr>
        <w:pStyle w:val="Prrafodelista"/>
        <w:numPr>
          <w:ilvl w:val="0"/>
          <w:numId w:val="138"/>
        </w:numPr>
        <w:shd w:val="clear" w:color="auto" w:fill="FFFFFF"/>
        <w:spacing w:before="100" w:beforeAutospacing="1" w:after="100" w:afterAutospacing="1"/>
        <w:jc w:val="both"/>
        <w:rPr>
          <w:rFonts w:ascii="Arial" w:eastAsia="Times New Roman" w:hAnsi="Arial" w:cs="Arial"/>
          <w:sz w:val="24"/>
          <w:szCs w:val="24"/>
          <w:lang w:eastAsia="es-CO"/>
        </w:rPr>
      </w:pPr>
      <w:r w:rsidRPr="007A6730">
        <w:rPr>
          <w:rFonts w:ascii="Arial" w:eastAsia="Times New Roman" w:hAnsi="Arial" w:cs="Arial"/>
          <w:sz w:val="24"/>
          <w:szCs w:val="24"/>
          <w:lang w:eastAsia="es-CO"/>
        </w:rPr>
        <w:t>Carta de presentación suscrita por el representante legal del Solicitante, la cual debe contener la solicitud de recursos para el proyecto, certificando que los documentos adjuntos son auténticos y la información es veraz. El representante legal del Solicitante debe anexar documentos que lo acrediten y lo autoricen como tal.</w:t>
      </w:r>
    </w:p>
    <w:p w14:paraId="59DE5E75" w14:textId="77777777" w:rsidR="00FF70FC" w:rsidRPr="007A6730" w:rsidRDefault="00FF70FC" w:rsidP="008E39FD">
      <w:pPr>
        <w:pStyle w:val="Prrafodelista"/>
        <w:shd w:val="clear" w:color="auto" w:fill="FFFFFF"/>
        <w:spacing w:before="100" w:beforeAutospacing="1" w:after="100" w:afterAutospacing="1"/>
        <w:jc w:val="both"/>
        <w:rPr>
          <w:rFonts w:ascii="Arial" w:eastAsia="Times New Roman" w:hAnsi="Arial" w:cs="Arial"/>
          <w:sz w:val="24"/>
          <w:szCs w:val="24"/>
          <w:lang w:eastAsia="es-CO"/>
        </w:rPr>
      </w:pPr>
    </w:p>
    <w:p w14:paraId="42DA93F5" w14:textId="77777777" w:rsidR="00FF70FC" w:rsidRDefault="00FF70FC" w:rsidP="00B320D0">
      <w:pPr>
        <w:pStyle w:val="Prrafodelista"/>
        <w:numPr>
          <w:ilvl w:val="0"/>
          <w:numId w:val="138"/>
        </w:numPr>
        <w:shd w:val="clear" w:color="auto" w:fill="FFFFFF"/>
        <w:spacing w:before="100" w:beforeAutospacing="1" w:after="100" w:afterAutospacing="1"/>
        <w:jc w:val="both"/>
        <w:rPr>
          <w:rFonts w:ascii="Arial" w:eastAsia="Times New Roman" w:hAnsi="Arial" w:cs="Arial"/>
          <w:sz w:val="24"/>
          <w:szCs w:val="24"/>
          <w:lang w:eastAsia="es-CO"/>
        </w:rPr>
      </w:pPr>
      <w:r w:rsidRPr="007A6730">
        <w:rPr>
          <w:rFonts w:ascii="Arial" w:eastAsia="Times New Roman" w:hAnsi="Arial" w:cs="Arial"/>
          <w:sz w:val="24"/>
          <w:szCs w:val="24"/>
          <w:lang w:eastAsia="es-CO"/>
        </w:rPr>
        <w:t>Formulación del proyecto en la Metodología General Ajustada vigente definida por el Departamento Nacional de Planeación – DNP.</w:t>
      </w:r>
    </w:p>
    <w:p w14:paraId="566AF598" w14:textId="77777777" w:rsidR="00FF70FC" w:rsidRPr="007A6730" w:rsidRDefault="00FF70FC" w:rsidP="008E39FD">
      <w:pPr>
        <w:pStyle w:val="Prrafodelista"/>
        <w:shd w:val="clear" w:color="auto" w:fill="FFFFFF"/>
        <w:spacing w:before="100" w:beforeAutospacing="1" w:after="100" w:afterAutospacing="1"/>
        <w:jc w:val="both"/>
        <w:rPr>
          <w:rFonts w:ascii="Arial" w:eastAsia="Times New Roman" w:hAnsi="Arial" w:cs="Arial"/>
          <w:sz w:val="24"/>
          <w:szCs w:val="24"/>
          <w:lang w:eastAsia="es-CO"/>
        </w:rPr>
      </w:pPr>
    </w:p>
    <w:p w14:paraId="605CAF05" w14:textId="77777777" w:rsidR="00FF70FC" w:rsidRPr="007A6730" w:rsidRDefault="00FF70FC" w:rsidP="00B320D0">
      <w:pPr>
        <w:pStyle w:val="Prrafodelista"/>
        <w:numPr>
          <w:ilvl w:val="0"/>
          <w:numId w:val="138"/>
        </w:numPr>
        <w:shd w:val="clear" w:color="auto" w:fill="FFFFFF"/>
        <w:spacing w:before="100" w:beforeAutospacing="1" w:after="100" w:afterAutospacing="1"/>
        <w:jc w:val="both"/>
        <w:rPr>
          <w:rFonts w:ascii="Arial" w:eastAsia="Times New Roman" w:hAnsi="Arial" w:cs="Arial"/>
          <w:sz w:val="24"/>
          <w:szCs w:val="24"/>
          <w:lang w:eastAsia="es-CO"/>
        </w:rPr>
      </w:pPr>
      <w:r w:rsidRPr="007A6730">
        <w:rPr>
          <w:rFonts w:ascii="Arial" w:eastAsia="Times New Roman" w:hAnsi="Arial" w:cs="Arial"/>
          <w:sz w:val="24"/>
          <w:szCs w:val="24"/>
          <w:lang w:eastAsia="es-CO"/>
        </w:rPr>
        <w:t>Certificado de cofinanciación por parte del representante legal del Solicitante en el que se relacione la naturaleza de los recursos a aportar, distintos a los provenientes de la Nación, para la ejecución del proyecto. Deberán remitirse en precios corrientes, en enteros sin decimales. Para soportar la cofinanciación se deberá presentar la siguiente documentación:</w:t>
      </w:r>
    </w:p>
    <w:p w14:paraId="1BFB6CBD" w14:textId="72EF0553" w:rsidR="00FF70FC" w:rsidRDefault="00FF70FC" w:rsidP="00B320D0">
      <w:pPr>
        <w:pStyle w:val="p1"/>
        <w:numPr>
          <w:ilvl w:val="0"/>
          <w:numId w:val="137"/>
        </w:numPr>
        <w:spacing w:before="0" w:beforeAutospacing="0" w:after="0" w:afterAutospacing="0"/>
        <w:ind w:left="1068"/>
        <w:jc w:val="both"/>
        <w:rPr>
          <w:rFonts w:ascii="Arial" w:hAnsi="Arial" w:cs="Arial"/>
        </w:rPr>
      </w:pPr>
      <w:r w:rsidRPr="003E3FD8">
        <w:rPr>
          <w:rFonts w:ascii="Arial" w:hAnsi="Arial" w:cs="Arial"/>
        </w:rPr>
        <w:t>Proyección de ejecución presupuestal del proyecto: La ejecución presupuestal debe encontrarse en concordancia con el cronograma presentado para el proyecto.</w:t>
      </w:r>
    </w:p>
    <w:p w14:paraId="3A7039D1" w14:textId="77777777" w:rsidR="0081527C" w:rsidRPr="003E3FD8" w:rsidRDefault="0081527C" w:rsidP="0081527C">
      <w:pPr>
        <w:pStyle w:val="p1"/>
        <w:spacing w:before="0" w:beforeAutospacing="0" w:after="0" w:afterAutospacing="0"/>
        <w:ind w:left="1068"/>
        <w:jc w:val="both"/>
        <w:rPr>
          <w:rFonts w:ascii="Arial" w:hAnsi="Arial" w:cs="Arial"/>
        </w:rPr>
      </w:pPr>
    </w:p>
    <w:p w14:paraId="3D3A30C8" w14:textId="56AC3AD6" w:rsidR="00FF70FC" w:rsidRDefault="00FF70FC" w:rsidP="00E82DCB">
      <w:pPr>
        <w:pStyle w:val="p1"/>
        <w:spacing w:before="0" w:beforeAutospacing="0" w:after="0" w:afterAutospacing="0"/>
        <w:ind w:left="1068"/>
        <w:jc w:val="both"/>
        <w:rPr>
          <w:rFonts w:ascii="Arial" w:hAnsi="Arial" w:cs="Arial"/>
        </w:rPr>
      </w:pPr>
      <w:r w:rsidRPr="003E3FD8">
        <w:rPr>
          <w:rFonts w:ascii="Arial" w:hAnsi="Arial" w:cs="Arial"/>
        </w:rPr>
        <w:lastRenderedPageBreak/>
        <w:t>Cofinanciación con recursos propios: Se deberá presentar estado de situación financiera y el estado de resultados del último periodo previo a la presentación del proyecto, los cuales deben encontrarse firmados por el contador público</w:t>
      </w:r>
      <w:r w:rsidR="00241D22" w:rsidRPr="003E3FD8">
        <w:rPr>
          <w:rFonts w:ascii="Arial" w:hAnsi="Arial" w:cs="Arial"/>
        </w:rPr>
        <w:t>o</w:t>
      </w:r>
      <w:r w:rsidRPr="003E3FD8">
        <w:rPr>
          <w:rFonts w:ascii="Arial" w:hAnsi="Arial" w:cs="Arial"/>
        </w:rPr>
        <w:t xml:space="preserve"> revisor fiscal</w:t>
      </w:r>
      <w:r w:rsidR="00241D22" w:rsidRPr="003E3FD8">
        <w:rPr>
          <w:rFonts w:ascii="Arial" w:hAnsi="Arial" w:cs="Arial"/>
        </w:rPr>
        <w:t>, según aplique,</w:t>
      </w:r>
      <w:r w:rsidRPr="003E3FD8">
        <w:rPr>
          <w:rFonts w:ascii="Arial" w:hAnsi="Arial" w:cs="Arial"/>
        </w:rPr>
        <w:t xml:space="preserve"> y el representante legal del Solicitante.</w:t>
      </w:r>
      <w:r w:rsidR="005C55C6" w:rsidRPr="003E3FD8">
        <w:rPr>
          <w:rFonts w:ascii="Arial" w:hAnsi="Arial" w:cs="Arial"/>
        </w:rPr>
        <w:t xml:space="preserve"> </w:t>
      </w:r>
      <w:r w:rsidR="00433A2B" w:rsidRPr="003E3FD8">
        <w:rPr>
          <w:rFonts w:ascii="Arial" w:hAnsi="Arial" w:cs="Arial"/>
        </w:rPr>
        <w:t>Esta certificación deberá haber sido expedida dentro de los treinta (30) días calendario anteriores a su presentación</w:t>
      </w:r>
      <w:r w:rsidR="00C37F21" w:rsidRPr="003E3FD8">
        <w:rPr>
          <w:rFonts w:ascii="Arial" w:hAnsi="Arial" w:cs="Arial"/>
        </w:rPr>
        <w:t>.</w:t>
      </w:r>
    </w:p>
    <w:p w14:paraId="402B51D9" w14:textId="77777777" w:rsidR="0081527C" w:rsidRPr="003E3FD8" w:rsidRDefault="0081527C" w:rsidP="00E82DCB">
      <w:pPr>
        <w:pStyle w:val="p1"/>
        <w:spacing w:before="0" w:beforeAutospacing="0" w:after="0" w:afterAutospacing="0"/>
        <w:ind w:left="1068"/>
        <w:jc w:val="both"/>
        <w:rPr>
          <w:rFonts w:ascii="Arial" w:hAnsi="Arial" w:cs="Arial"/>
        </w:rPr>
      </w:pPr>
    </w:p>
    <w:p w14:paraId="2B5BE66F" w14:textId="2D7EC8C0" w:rsidR="00FF70FC" w:rsidRPr="003E3FD8" w:rsidRDefault="00FF70FC" w:rsidP="00E82DCB">
      <w:pPr>
        <w:pStyle w:val="p1"/>
        <w:spacing w:before="0" w:beforeAutospacing="0" w:after="0" w:afterAutospacing="0"/>
        <w:ind w:left="1068"/>
        <w:jc w:val="both"/>
        <w:rPr>
          <w:rFonts w:ascii="Arial" w:hAnsi="Arial" w:cs="Arial"/>
        </w:rPr>
      </w:pPr>
      <w:r w:rsidRPr="003E3FD8">
        <w:rPr>
          <w:rFonts w:ascii="Arial" w:hAnsi="Arial" w:cs="Arial"/>
        </w:rPr>
        <w:t>Cofinanciación con cupo de endeudamiento o cupo de crédito: El Solicitante deberá presentar los soportes que permitan evidenciar el mecanismo de financiación del proyecto</w:t>
      </w:r>
      <w:r w:rsidR="006E7C24" w:rsidRPr="003E3FD8">
        <w:rPr>
          <w:rFonts w:ascii="Arial" w:hAnsi="Arial" w:cs="Arial"/>
        </w:rPr>
        <w:t xml:space="preserve">. </w:t>
      </w:r>
      <w:r w:rsidR="0074276A" w:rsidRPr="003E3FD8">
        <w:rPr>
          <w:rFonts w:ascii="Arial" w:hAnsi="Arial" w:cs="Arial"/>
          <w:lang w:eastAsia="es-CO"/>
        </w:rPr>
        <w:t>Para tal efecto, deberá adjuntar certificación expedida por la entidad financiera que acredite la disponibilidad del cupo de crédito o endeudamiento destinado a la financiación del proyecto, con el fin de respaldar los recursos que serán comprometidos como aporte de cofinanciación.</w:t>
      </w:r>
      <w:r w:rsidR="005A3E3B" w:rsidRPr="003E3FD8">
        <w:rPr>
          <w:rFonts w:ascii="Arial" w:hAnsi="Arial" w:cs="Arial"/>
          <w:lang w:eastAsia="es-CO"/>
        </w:rPr>
        <w:t xml:space="preserve"> Esta certificación deberá haber sido expedida dentro de los treinta (30) días calendario anteriores a su presentación.</w:t>
      </w:r>
    </w:p>
    <w:p w14:paraId="2F1DF3E7" w14:textId="77777777" w:rsidR="00E82DCB" w:rsidRPr="003E3FD8" w:rsidRDefault="00E82DCB" w:rsidP="00E82DCB">
      <w:pPr>
        <w:pStyle w:val="p1"/>
        <w:spacing w:before="0" w:beforeAutospacing="0" w:after="0" w:afterAutospacing="0"/>
        <w:ind w:left="1068"/>
        <w:jc w:val="both"/>
        <w:rPr>
          <w:rFonts w:ascii="Arial" w:hAnsi="Arial" w:cs="Arial"/>
        </w:rPr>
      </w:pPr>
    </w:p>
    <w:p w14:paraId="7FA3F57B" w14:textId="77777777" w:rsidR="00FF70FC" w:rsidRPr="003E3FD8" w:rsidRDefault="00FF70FC" w:rsidP="00B320D0">
      <w:pPr>
        <w:pStyle w:val="p1"/>
        <w:numPr>
          <w:ilvl w:val="0"/>
          <w:numId w:val="137"/>
        </w:numPr>
        <w:spacing w:before="0" w:beforeAutospacing="0" w:after="0" w:afterAutospacing="0"/>
        <w:ind w:left="1068"/>
        <w:jc w:val="both"/>
        <w:rPr>
          <w:rFonts w:ascii="Arial" w:hAnsi="Arial" w:cs="Arial"/>
        </w:rPr>
      </w:pPr>
      <w:r w:rsidRPr="003E3FD8">
        <w:rPr>
          <w:rFonts w:ascii="Arial" w:hAnsi="Arial" w:cs="Arial"/>
        </w:rPr>
        <w:t>Cofinanciación de las entidades territoriales: Se deberá presentar Certificado de Disponibilidad Presupuestal - CDP, en caso de cambio de vigencia se deberán presentar las vigencias futuras.</w:t>
      </w:r>
    </w:p>
    <w:p w14:paraId="500D629F" w14:textId="77777777" w:rsidR="00FF70FC" w:rsidRDefault="00FF70FC" w:rsidP="00B320D0">
      <w:pPr>
        <w:pStyle w:val="Prrafodelista"/>
        <w:numPr>
          <w:ilvl w:val="0"/>
          <w:numId w:val="138"/>
        </w:numPr>
        <w:shd w:val="clear" w:color="auto" w:fill="FFFFFF"/>
        <w:spacing w:before="100" w:beforeAutospacing="1" w:after="100" w:afterAutospacing="1"/>
        <w:jc w:val="both"/>
        <w:rPr>
          <w:rFonts w:ascii="Arial" w:eastAsia="Times New Roman" w:hAnsi="Arial" w:cs="Arial"/>
          <w:sz w:val="24"/>
          <w:szCs w:val="24"/>
          <w:lang w:eastAsia="es-CO"/>
        </w:rPr>
      </w:pPr>
      <w:r w:rsidRPr="007A6730">
        <w:rPr>
          <w:rFonts w:ascii="Arial" w:eastAsia="Times New Roman" w:hAnsi="Arial" w:cs="Arial"/>
          <w:sz w:val="24"/>
          <w:szCs w:val="24"/>
          <w:lang w:eastAsia="es-CO"/>
        </w:rPr>
        <w:t>Certificado de existencia y representación legal del Solicitante vigente, expedido con una antelación no mayor a 30 días.</w:t>
      </w:r>
    </w:p>
    <w:p w14:paraId="2C8D602E" w14:textId="77777777" w:rsidR="00FF70FC" w:rsidRPr="007A6730" w:rsidRDefault="00FF70FC" w:rsidP="008E39FD">
      <w:pPr>
        <w:pStyle w:val="Prrafodelista"/>
        <w:shd w:val="clear" w:color="auto" w:fill="FFFFFF"/>
        <w:spacing w:before="100" w:beforeAutospacing="1" w:after="100" w:afterAutospacing="1"/>
        <w:jc w:val="both"/>
        <w:rPr>
          <w:rFonts w:ascii="Arial" w:eastAsia="Times New Roman" w:hAnsi="Arial" w:cs="Arial"/>
          <w:sz w:val="24"/>
          <w:szCs w:val="24"/>
          <w:lang w:eastAsia="es-CO"/>
        </w:rPr>
      </w:pPr>
    </w:p>
    <w:p w14:paraId="46AF8633" w14:textId="77777777" w:rsidR="00FF70FC" w:rsidRPr="009732D2" w:rsidRDefault="00FF70FC" w:rsidP="00B320D0">
      <w:pPr>
        <w:pStyle w:val="Prrafodelista"/>
        <w:numPr>
          <w:ilvl w:val="0"/>
          <w:numId w:val="138"/>
        </w:numPr>
        <w:tabs>
          <w:tab w:val="left" w:pos="4474"/>
        </w:tabs>
        <w:spacing w:after="0"/>
        <w:jc w:val="both"/>
        <w:rPr>
          <w:rFonts w:ascii="Arial" w:hAnsi="Arial" w:cs="Arial"/>
          <w:sz w:val="24"/>
          <w:szCs w:val="24"/>
        </w:rPr>
      </w:pPr>
      <w:r w:rsidRPr="009732D2">
        <w:rPr>
          <w:rFonts w:ascii="Arial" w:hAnsi="Arial" w:cs="Arial"/>
          <w:sz w:val="24"/>
          <w:szCs w:val="24"/>
        </w:rPr>
        <w:t>Enunciar el NBI publicado por el DANE para la zona o población objeto del proyecto de infraestructura. Si en la zona o población objeto del proyecto no cuenta con el NBI, se debe solicitar al DANE su cálculo y anexarlo a la formulación.</w:t>
      </w:r>
    </w:p>
    <w:p w14:paraId="56BC22ED" w14:textId="77777777" w:rsidR="00FF70FC" w:rsidRPr="009732D2" w:rsidRDefault="00FF70FC" w:rsidP="008E39FD">
      <w:pPr>
        <w:pStyle w:val="Prrafodelista"/>
        <w:tabs>
          <w:tab w:val="left" w:pos="4474"/>
        </w:tabs>
        <w:spacing w:after="0"/>
        <w:jc w:val="both"/>
        <w:rPr>
          <w:rFonts w:ascii="Arial" w:hAnsi="Arial" w:cs="Arial"/>
          <w:sz w:val="24"/>
          <w:szCs w:val="24"/>
        </w:rPr>
      </w:pPr>
    </w:p>
    <w:p w14:paraId="0A94B41E" w14:textId="77777777" w:rsidR="00FF70FC" w:rsidRPr="007A6730" w:rsidRDefault="00FF70FC" w:rsidP="00B320D0">
      <w:pPr>
        <w:pStyle w:val="Prrafodelista"/>
        <w:numPr>
          <w:ilvl w:val="0"/>
          <w:numId w:val="138"/>
        </w:numPr>
        <w:tabs>
          <w:tab w:val="left" w:pos="4474"/>
        </w:tabs>
        <w:spacing w:after="0"/>
        <w:jc w:val="both"/>
        <w:rPr>
          <w:rFonts w:ascii="Arial" w:hAnsi="Arial" w:cs="Arial"/>
          <w:sz w:val="24"/>
          <w:szCs w:val="24"/>
        </w:rPr>
      </w:pPr>
      <w:r w:rsidRPr="009732D2">
        <w:rPr>
          <w:rFonts w:ascii="Arial" w:hAnsi="Arial" w:cs="Arial"/>
          <w:sz w:val="24"/>
          <w:szCs w:val="24"/>
        </w:rPr>
        <w:t xml:space="preserve">Certificado expedido por la Comisión de Regulación de Energía y Gas (CREG), con vigencia no mayor a un mes, en el cual se señale si la población beneficiaria del proyecto (identificado con código DANE) cuenta con cargos aprobados (indicar fecha de aprobación) o en proceso de aprobación para la distribución y comercialización de gas combustible por redes de tubería en un mercado relevante de distribución de gas combustible (indicar fecha de radicación de la solicitud). </w:t>
      </w:r>
      <w:r w:rsidRPr="007A6730">
        <w:rPr>
          <w:rFonts w:ascii="Arial" w:hAnsi="Arial" w:cs="Arial"/>
          <w:sz w:val="24"/>
          <w:szCs w:val="24"/>
        </w:rPr>
        <w:t>En caso de que el certificado establezca que existen solicitudes de cargos o cargos aprobados no se cofinanciará el proyecto</w:t>
      </w:r>
      <w:r>
        <w:rPr>
          <w:rFonts w:ascii="Arial" w:hAnsi="Arial" w:cs="Arial"/>
          <w:sz w:val="24"/>
          <w:szCs w:val="24"/>
        </w:rPr>
        <w:t xml:space="preserve">. </w:t>
      </w:r>
      <w:r w:rsidRPr="007A6730">
        <w:rPr>
          <w:rFonts w:ascii="Arial" w:hAnsi="Arial" w:cs="Arial"/>
          <w:sz w:val="24"/>
          <w:szCs w:val="24"/>
        </w:rPr>
        <w:t>(No aplica para proyectos que busquen adelantar la construcción de Conexiones, Redes Internas y/o Almacenamiento Estratégico).</w:t>
      </w:r>
    </w:p>
    <w:p w14:paraId="05CEAA75" w14:textId="77777777" w:rsidR="00FF70FC" w:rsidRPr="009732D2" w:rsidRDefault="00FF70FC" w:rsidP="008E39FD">
      <w:pPr>
        <w:pStyle w:val="Prrafodelista"/>
        <w:tabs>
          <w:tab w:val="left" w:pos="4474"/>
        </w:tabs>
        <w:spacing w:after="0"/>
        <w:jc w:val="both"/>
        <w:rPr>
          <w:rFonts w:ascii="Arial" w:hAnsi="Arial" w:cs="Arial"/>
          <w:sz w:val="24"/>
          <w:szCs w:val="24"/>
        </w:rPr>
      </w:pPr>
    </w:p>
    <w:p w14:paraId="646E0FE3" w14:textId="77777777" w:rsidR="00FF70FC" w:rsidRPr="009732D2" w:rsidRDefault="00FF70FC" w:rsidP="00B320D0">
      <w:pPr>
        <w:pStyle w:val="Prrafodelista"/>
        <w:numPr>
          <w:ilvl w:val="0"/>
          <w:numId w:val="138"/>
        </w:numPr>
        <w:tabs>
          <w:tab w:val="left" w:pos="4474"/>
        </w:tabs>
        <w:spacing w:after="0"/>
        <w:jc w:val="both"/>
        <w:rPr>
          <w:rFonts w:ascii="Arial" w:hAnsi="Arial" w:cs="Arial"/>
          <w:sz w:val="24"/>
          <w:szCs w:val="24"/>
        </w:rPr>
      </w:pPr>
      <w:r w:rsidRPr="009732D2">
        <w:rPr>
          <w:rFonts w:ascii="Arial" w:hAnsi="Arial" w:cs="Arial"/>
          <w:sz w:val="24"/>
          <w:szCs w:val="24"/>
        </w:rPr>
        <w:t>El Solicitante deberá presentar el diagrama de prestación del servicio, que indique de manera general la prestación del servicio de gas combustible en el proyecto, capacidades de suministro y transporte de gas, esquema logístico de entrega del energético hasta la estación del proyecto, la distribución por redes y la puesta en servicio a los usuarios beneficiados.</w:t>
      </w:r>
    </w:p>
    <w:p w14:paraId="6D6458F2" w14:textId="77777777" w:rsidR="00FF70FC" w:rsidRPr="009732D2" w:rsidRDefault="00FF70FC" w:rsidP="008E39FD">
      <w:pPr>
        <w:pStyle w:val="Prrafodelista"/>
        <w:tabs>
          <w:tab w:val="left" w:pos="4474"/>
        </w:tabs>
        <w:spacing w:after="0"/>
        <w:jc w:val="both"/>
        <w:rPr>
          <w:rFonts w:ascii="Arial" w:hAnsi="Arial" w:cs="Arial"/>
          <w:sz w:val="24"/>
          <w:szCs w:val="24"/>
        </w:rPr>
      </w:pPr>
    </w:p>
    <w:p w14:paraId="3DB521D1" w14:textId="77777777" w:rsidR="00FF70FC" w:rsidRPr="009732D2" w:rsidRDefault="00FF70FC" w:rsidP="008E39FD">
      <w:pPr>
        <w:pStyle w:val="Prrafodelista"/>
        <w:tabs>
          <w:tab w:val="left" w:pos="4474"/>
        </w:tabs>
        <w:spacing w:after="0"/>
        <w:jc w:val="both"/>
        <w:rPr>
          <w:rFonts w:ascii="Arial" w:hAnsi="Arial" w:cs="Arial"/>
          <w:sz w:val="24"/>
          <w:szCs w:val="24"/>
        </w:rPr>
      </w:pPr>
      <w:r>
        <w:rPr>
          <w:rFonts w:ascii="Arial" w:hAnsi="Arial" w:cs="Arial"/>
          <w:sz w:val="24"/>
          <w:szCs w:val="24"/>
        </w:rPr>
        <w:t xml:space="preserve">Toda </w:t>
      </w:r>
      <w:r w:rsidRPr="009732D2">
        <w:rPr>
          <w:rFonts w:ascii="Arial" w:hAnsi="Arial" w:cs="Arial"/>
          <w:sz w:val="24"/>
          <w:szCs w:val="24"/>
        </w:rPr>
        <w:t>solicitud de cofinanciación para proyectos de Sistemas de Distribución y/o Transporte, debe contar con aval técnico de la empresa prestadora del servicio según corresponda al proyecto y los certificados emitidos por las otras empresas involucradas en la prestación del servicio, incluyendo:</w:t>
      </w:r>
    </w:p>
    <w:p w14:paraId="68DF29F6" w14:textId="77777777" w:rsidR="00FF70FC" w:rsidRPr="009732D2" w:rsidRDefault="00FF70FC" w:rsidP="008E39FD">
      <w:pPr>
        <w:pStyle w:val="Prrafodelista"/>
        <w:tabs>
          <w:tab w:val="left" w:pos="4474"/>
        </w:tabs>
        <w:spacing w:after="0"/>
        <w:jc w:val="both"/>
        <w:rPr>
          <w:rFonts w:ascii="Arial" w:hAnsi="Arial" w:cs="Arial"/>
          <w:sz w:val="24"/>
          <w:szCs w:val="24"/>
        </w:rPr>
      </w:pPr>
    </w:p>
    <w:p w14:paraId="5459B6CE" w14:textId="77777777" w:rsidR="00FF70FC" w:rsidRPr="009732D2"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a)</w:t>
      </w:r>
      <w:r w:rsidRPr="009732D2">
        <w:rPr>
          <w:rFonts w:ascii="Arial" w:hAnsi="Arial" w:cs="Arial"/>
          <w:sz w:val="24"/>
          <w:szCs w:val="24"/>
        </w:rPr>
        <w:t xml:space="preserve"> Certificado de disponibilidad de suministro de gas con sus respectivos soportes.</w:t>
      </w:r>
    </w:p>
    <w:p w14:paraId="10C6E105" w14:textId="77777777" w:rsidR="00FF70FC" w:rsidRPr="009732D2" w:rsidRDefault="00FF70FC" w:rsidP="008E39FD">
      <w:pPr>
        <w:pStyle w:val="Prrafodelista"/>
        <w:tabs>
          <w:tab w:val="left" w:pos="4474"/>
        </w:tabs>
        <w:spacing w:after="0"/>
        <w:jc w:val="both"/>
        <w:rPr>
          <w:rFonts w:ascii="Arial" w:hAnsi="Arial" w:cs="Arial"/>
          <w:sz w:val="24"/>
          <w:szCs w:val="24"/>
        </w:rPr>
      </w:pPr>
    </w:p>
    <w:p w14:paraId="38B32AAC" w14:textId="77777777" w:rsidR="00FF70FC"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lastRenderedPageBreak/>
        <w:t>b)</w:t>
      </w:r>
      <w:r w:rsidRPr="009732D2">
        <w:rPr>
          <w:rFonts w:ascii="Arial" w:hAnsi="Arial" w:cs="Arial"/>
          <w:sz w:val="24"/>
          <w:szCs w:val="24"/>
        </w:rPr>
        <w:t xml:space="preserve"> Certificado suscrito por el representante legal de la empresa distribuidora que prestará el servicio de gas combustible por redes, en el que se indique que cuenta con el transporte necesario para atender la demanda del proyecto (anexar copia del contrato con el tercero en caso de que aplique).</w:t>
      </w:r>
    </w:p>
    <w:p w14:paraId="4C78E89E" w14:textId="77777777" w:rsidR="00FF70FC" w:rsidRPr="007A6730" w:rsidRDefault="00FF70FC" w:rsidP="008E39FD">
      <w:pPr>
        <w:pStyle w:val="Prrafodelista"/>
        <w:tabs>
          <w:tab w:val="left" w:pos="4474"/>
        </w:tabs>
        <w:spacing w:after="0"/>
        <w:jc w:val="both"/>
        <w:rPr>
          <w:rFonts w:ascii="Arial" w:hAnsi="Arial" w:cs="Arial"/>
          <w:sz w:val="24"/>
          <w:szCs w:val="24"/>
        </w:rPr>
      </w:pPr>
    </w:p>
    <w:p w14:paraId="5580D0F6" w14:textId="77777777" w:rsidR="00FF70FC" w:rsidRPr="007A6730"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c)</w:t>
      </w:r>
      <w:r w:rsidRPr="009732D2">
        <w:rPr>
          <w:rFonts w:ascii="Arial" w:hAnsi="Arial" w:cs="Arial"/>
          <w:sz w:val="24"/>
          <w:szCs w:val="24"/>
        </w:rPr>
        <w:t xml:space="preserve"> Aval Técnico de la empresa transportadora de gas combustible que se compromete a prestar el servicio de transporte y que tiene la disponibilidad de transporte para el proyecto. </w:t>
      </w:r>
      <w:r w:rsidRPr="007A6730">
        <w:rPr>
          <w:rFonts w:ascii="Arial" w:hAnsi="Arial" w:cs="Arial"/>
          <w:sz w:val="24"/>
          <w:szCs w:val="24"/>
        </w:rPr>
        <w:t>(Solo aplica solo para proyectos que incluyen infraestructura de transporte).</w:t>
      </w:r>
    </w:p>
    <w:p w14:paraId="2051B94E" w14:textId="77777777" w:rsidR="00374276" w:rsidRDefault="00374276" w:rsidP="008E39FD">
      <w:pPr>
        <w:pStyle w:val="Prrafodelista"/>
        <w:tabs>
          <w:tab w:val="left" w:pos="4474"/>
        </w:tabs>
        <w:spacing w:after="0"/>
        <w:jc w:val="both"/>
        <w:rPr>
          <w:rFonts w:ascii="Arial" w:hAnsi="Arial" w:cs="Arial"/>
          <w:sz w:val="24"/>
          <w:szCs w:val="24"/>
        </w:rPr>
      </w:pPr>
    </w:p>
    <w:p w14:paraId="49DD45DB" w14:textId="5AE1B7B6" w:rsidR="00FF70FC" w:rsidRPr="007A6730"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d)</w:t>
      </w:r>
      <w:r w:rsidRPr="009732D2">
        <w:rPr>
          <w:rFonts w:ascii="Arial" w:hAnsi="Arial" w:cs="Arial"/>
          <w:sz w:val="24"/>
          <w:szCs w:val="24"/>
        </w:rPr>
        <w:t xml:space="preserve"> Aval Técnico de la empresa distribuidora de gas combustible que se compromete a prestar el servicio de distribución y comercialización mediante la infraestructura prevista en el proyecto. </w:t>
      </w:r>
      <w:r w:rsidRPr="007A6730">
        <w:rPr>
          <w:rFonts w:ascii="Arial" w:hAnsi="Arial" w:cs="Arial"/>
          <w:sz w:val="24"/>
          <w:szCs w:val="24"/>
        </w:rPr>
        <w:t>(Solo para proyectos que incluyen infraestructura de distribución).</w:t>
      </w:r>
    </w:p>
    <w:p w14:paraId="48CDD041" w14:textId="77777777" w:rsidR="00FF70FC" w:rsidRPr="009732D2" w:rsidRDefault="00FF70FC" w:rsidP="008E39FD">
      <w:pPr>
        <w:pStyle w:val="Prrafodelista"/>
        <w:tabs>
          <w:tab w:val="left" w:pos="4474"/>
        </w:tabs>
        <w:spacing w:after="0"/>
        <w:jc w:val="both"/>
        <w:rPr>
          <w:rFonts w:ascii="Arial" w:hAnsi="Arial" w:cs="Arial"/>
          <w:sz w:val="24"/>
          <w:szCs w:val="24"/>
        </w:rPr>
      </w:pPr>
    </w:p>
    <w:p w14:paraId="1ABB2475" w14:textId="77777777" w:rsidR="00FF70FC" w:rsidRPr="007A6730"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e)</w:t>
      </w:r>
      <w:r w:rsidRPr="009732D2">
        <w:rPr>
          <w:rFonts w:ascii="Arial" w:hAnsi="Arial" w:cs="Arial"/>
          <w:sz w:val="24"/>
          <w:szCs w:val="24"/>
        </w:rPr>
        <w:t xml:space="preserve"> Aval Técnico de la empresa distribuidora de gas combustible que se compromete a prestar el servicio a los usuarios beneficiados con el proyecto de Conexiones de Usuarios de Menores Ingresos. </w:t>
      </w:r>
      <w:r w:rsidRPr="007A6730">
        <w:rPr>
          <w:rFonts w:ascii="Arial" w:hAnsi="Arial" w:cs="Arial"/>
          <w:sz w:val="24"/>
          <w:szCs w:val="24"/>
        </w:rPr>
        <w:t>(Aplica a proyectos que tienen Conexiones de Usuarios de Menores Ingresos).</w:t>
      </w:r>
    </w:p>
    <w:p w14:paraId="187263FD" w14:textId="77777777" w:rsidR="00FF70FC" w:rsidRPr="007A6730" w:rsidRDefault="00FF70FC" w:rsidP="008E39FD">
      <w:pPr>
        <w:tabs>
          <w:tab w:val="left" w:pos="4474"/>
        </w:tabs>
        <w:spacing w:after="0"/>
        <w:ind w:left="360"/>
        <w:jc w:val="both"/>
        <w:rPr>
          <w:rFonts w:ascii="Arial" w:hAnsi="Arial" w:cs="Arial"/>
          <w:sz w:val="24"/>
          <w:szCs w:val="24"/>
        </w:rPr>
      </w:pPr>
    </w:p>
    <w:p w14:paraId="77729F53"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9732D2">
        <w:rPr>
          <w:rFonts w:ascii="Arial" w:hAnsi="Arial" w:cs="Arial"/>
          <w:sz w:val="24"/>
          <w:szCs w:val="24"/>
        </w:rPr>
        <w:t>Certificado presentado por el Solicitante en el que conste que el proyecto no se ha presentado a consideración de otros fondos o mecanismos de financiación ni se le han asignado recursos para su ejecución.</w:t>
      </w:r>
    </w:p>
    <w:p w14:paraId="035718C2" w14:textId="77777777" w:rsidR="00FF70FC" w:rsidRDefault="00FF70FC" w:rsidP="008E39FD">
      <w:pPr>
        <w:pStyle w:val="Prrafodelista"/>
        <w:tabs>
          <w:tab w:val="left" w:pos="4474"/>
        </w:tabs>
        <w:spacing w:after="0"/>
        <w:jc w:val="both"/>
        <w:rPr>
          <w:rFonts w:ascii="Arial" w:hAnsi="Arial" w:cs="Arial"/>
          <w:sz w:val="24"/>
          <w:szCs w:val="24"/>
        </w:rPr>
      </w:pPr>
    </w:p>
    <w:p w14:paraId="3F5D89A4"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Listado de usuarios beneficiados con el proyecto presentado por el Solicitante en el que se indique la cantidad, estrato, ubicación geográfica/dirección y actividad económica de los mismos.</w:t>
      </w:r>
    </w:p>
    <w:p w14:paraId="02763724" w14:textId="77777777" w:rsidR="00FF70FC" w:rsidRPr="007A6730" w:rsidRDefault="00FF70FC" w:rsidP="008E39FD">
      <w:pPr>
        <w:pStyle w:val="Prrafodelista"/>
        <w:rPr>
          <w:rFonts w:ascii="Arial" w:hAnsi="Arial" w:cs="Arial"/>
        </w:rPr>
      </w:pPr>
    </w:p>
    <w:p w14:paraId="0C2E1C66" w14:textId="162E4471"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 xml:space="preserve">Expediente tarifario </w:t>
      </w:r>
      <w:r w:rsidR="00E54419">
        <w:rPr>
          <w:rFonts w:ascii="Arial" w:hAnsi="Arial" w:cs="Arial"/>
          <w:sz w:val="24"/>
          <w:szCs w:val="24"/>
        </w:rPr>
        <w:t>par</w:t>
      </w:r>
      <w:r w:rsidRPr="007A6730">
        <w:rPr>
          <w:rFonts w:ascii="Arial" w:hAnsi="Arial" w:cs="Arial"/>
          <w:sz w:val="24"/>
          <w:szCs w:val="24"/>
        </w:rPr>
        <w:t>a radicad</w:t>
      </w:r>
      <w:r w:rsidR="00E54419">
        <w:rPr>
          <w:rFonts w:ascii="Arial" w:hAnsi="Arial" w:cs="Arial"/>
          <w:sz w:val="24"/>
          <w:szCs w:val="24"/>
        </w:rPr>
        <w:t>ar</w:t>
      </w:r>
      <w:r w:rsidRPr="007A6730">
        <w:rPr>
          <w:rFonts w:ascii="Arial" w:hAnsi="Arial" w:cs="Arial"/>
          <w:sz w:val="24"/>
          <w:szCs w:val="24"/>
        </w:rPr>
        <w:t xml:space="preserve"> ante la CREG, suscrito por el representante legal del</w:t>
      </w:r>
      <w:r w:rsidRPr="007F6710">
        <w:rPr>
          <w:rFonts w:ascii="Arial" w:hAnsi="Arial" w:cs="Arial"/>
          <w:sz w:val="24"/>
          <w:szCs w:val="24"/>
        </w:rPr>
        <w:t xml:space="preserve"> </w:t>
      </w:r>
      <w:r w:rsidRPr="007A6730">
        <w:rPr>
          <w:rFonts w:ascii="Arial" w:hAnsi="Arial" w:cs="Arial"/>
          <w:sz w:val="24"/>
          <w:szCs w:val="24"/>
        </w:rPr>
        <w:t>Solicitante, cuyos costos deberán coincidir con los presentados en el proyecto a cofinanciar (No aplica para proyectos de gasoductos ramales y/o Sistemas Regionales de Transporte ni para proyectos de conexiones y redes internas de Usuarios de Menores Ingresos).</w:t>
      </w:r>
    </w:p>
    <w:p w14:paraId="600430FF" w14:textId="77777777" w:rsidR="00FF70FC" w:rsidRPr="007A6730" w:rsidRDefault="00FF70FC" w:rsidP="008E39FD">
      <w:pPr>
        <w:pStyle w:val="Prrafodelista"/>
        <w:rPr>
          <w:rFonts w:ascii="Arial" w:hAnsi="Arial" w:cs="Arial"/>
          <w:sz w:val="24"/>
          <w:szCs w:val="24"/>
        </w:rPr>
      </w:pPr>
    </w:p>
    <w:p w14:paraId="1BD8A376"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Permiso(s) municipal(es) y/o departamental(es) para el uso del espacio público, con el fin de construir el sistema de distribución, destinadas a la prestación del servicio público de gas domiciliario, de acuerdo con lo establecido en el artículo 26 de la Ley 142 de 1994.</w:t>
      </w:r>
    </w:p>
    <w:p w14:paraId="6103A195" w14:textId="77777777" w:rsidR="00FF70FC" w:rsidRPr="007A6730" w:rsidRDefault="00FF70FC" w:rsidP="008E39FD">
      <w:pPr>
        <w:pStyle w:val="Prrafodelista"/>
        <w:rPr>
          <w:rFonts w:ascii="Arial" w:hAnsi="Arial" w:cs="Arial"/>
          <w:sz w:val="24"/>
          <w:szCs w:val="24"/>
        </w:rPr>
      </w:pPr>
    </w:p>
    <w:p w14:paraId="635AC86A" w14:textId="77777777" w:rsidR="00FF70FC" w:rsidRPr="007A6730"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Soportes que permitan verificar que el Solicitante cuenta con el derecho o la autorización para el uso de los predios que se involucran en el desarrollo del proyecto, se deberán presentar los siguientes documentos:</w:t>
      </w:r>
    </w:p>
    <w:p w14:paraId="2CC76AF1" w14:textId="77777777" w:rsidR="00FF70FC" w:rsidRPr="009732D2" w:rsidRDefault="00FF70FC" w:rsidP="008E39FD">
      <w:pPr>
        <w:pStyle w:val="Prrafodelista"/>
        <w:tabs>
          <w:tab w:val="left" w:pos="4474"/>
        </w:tabs>
        <w:spacing w:after="0"/>
        <w:jc w:val="both"/>
        <w:rPr>
          <w:rFonts w:ascii="Arial" w:hAnsi="Arial" w:cs="Arial"/>
          <w:sz w:val="24"/>
          <w:szCs w:val="24"/>
        </w:rPr>
      </w:pPr>
    </w:p>
    <w:p w14:paraId="795E709F" w14:textId="77777777" w:rsidR="00FF70FC" w:rsidRPr="009732D2"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a)</w:t>
      </w:r>
      <w:r w:rsidRPr="009732D2">
        <w:rPr>
          <w:rFonts w:ascii="Arial" w:hAnsi="Arial" w:cs="Arial"/>
          <w:sz w:val="24"/>
          <w:szCs w:val="24"/>
        </w:rPr>
        <w:t xml:space="preserve"> Certificado de tradición y libertad vigente.</w:t>
      </w:r>
    </w:p>
    <w:p w14:paraId="37137222" w14:textId="77777777" w:rsidR="00FF70FC" w:rsidRPr="009732D2" w:rsidRDefault="00FF70FC" w:rsidP="008E39FD">
      <w:pPr>
        <w:pStyle w:val="Prrafodelista"/>
        <w:tabs>
          <w:tab w:val="left" w:pos="4474"/>
        </w:tabs>
        <w:spacing w:after="0"/>
        <w:jc w:val="both"/>
        <w:rPr>
          <w:rFonts w:ascii="Arial" w:hAnsi="Arial" w:cs="Arial"/>
          <w:sz w:val="24"/>
          <w:szCs w:val="24"/>
        </w:rPr>
      </w:pPr>
    </w:p>
    <w:p w14:paraId="3FF4988E" w14:textId="5E55DE17" w:rsidR="00581DB9" w:rsidRPr="009259E1" w:rsidRDefault="009259E1" w:rsidP="009259E1">
      <w:pPr>
        <w:tabs>
          <w:tab w:val="left" w:pos="4474"/>
        </w:tabs>
        <w:spacing w:after="0"/>
        <w:ind w:left="720"/>
        <w:jc w:val="both"/>
        <w:rPr>
          <w:rFonts w:ascii="Arial" w:hAnsi="Arial" w:cs="Arial"/>
          <w:sz w:val="24"/>
          <w:szCs w:val="24"/>
        </w:rPr>
      </w:pPr>
      <w:r w:rsidRPr="009259E1">
        <w:rPr>
          <w:rFonts w:ascii="Arial" w:hAnsi="Arial" w:cs="Arial"/>
          <w:sz w:val="24"/>
          <w:szCs w:val="24"/>
        </w:rPr>
        <w:t>b)</w:t>
      </w:r>
      <w:r>
        <w:rPr>
          <w:rFonts w:ascii="Arial" w:hAnsi="Arial" w:cs="Arial"/>
          <w:sz w:val="24"/>
          <w:szCs w:val="24"/>
        </w:rPr>
        <w:t xml:space="preserve"> </w:t>
      </w:r>
      <w:r w:rsidR="00FF70FC" w:rsidRPr="009259E1">
        <w:rPr>
          <w:rFonts w:ascii="Arial" w:hAnsi="Arial" w:cs="Arial"/>
          <w:sz w:val="24"/>
          <w:szCs w:val="24"/>
        </w:rPr>
        <w:t>Carta del propietario del bien en el que informe la disponibilidad del terreno para el proyecto, el certificado debe contar máximo con un año de vigencia.</w:t>
      </w:r>
    </w:p>
    <w:p w14:paraId="0A13A9DF" w14:textId="77777777" w:rsidR="009259E1" w:rsidRDefault="009259E1" w:rsidP="009259E1">
      <w:pPr>
        <w:ind w:left="720"/>
      </w:pPr>
    </w:p>
    <w:p w14:paraId="000E4B43" w14:textId="3A19C7D3" w:rsidR="00FF70FC" w:rsidRPr="009259E1" w:rsidRDefault="00FF70FC" w:rsidP="009259E1">
      <w:pPr>
        <w:tabs>
          <w:tab w:val="left" w:pos="4474"/>
        </w:tabs>
        <w:spacing w:after="0"/>
        <w:ind w:left="720"/>
        <w:jc w:val="both"/>
        <w:rPr>
          <w:rFonts w:ascii="Arial" w:hAnsi="Arial" w:cs="Arial"/>
          <w:sz w:val="24"/>
          <w:szCs w:val="24"/>
        </w:rPr>
      </w:pPr>
      <w:r w:rsidRPr="009259E1">
        <w:rPr>
          <w:rFonts w:ascii="Arial" w:hAnsi="Arial" w:cs="Arial"/>
          <w:sz w:val="24"/>
          <w:szCs w:val="24"/>
        </w:rPr>
        <w:lastRenderedPageBreak/>
        <w:t>Adicionalmente debe informar si el lote o terreno será vendido, arrendado o donado al proyecto.</w:t>
      </w:r>
    </w:p>
    <w:p w14:paraId="3F69F2B3" w14:textId="77777777" w:rsidR="00FF70FC" w:rsidRPr="009732D2" w:rsidRDefault="00FF70FC" w:rsidP="008E39FD">
      <w:pPr>
        <w:pStyle w:val="Prrafodelista"/>
        <w:tabs>
          <w:tab w:val="left" w:pos="4474"/>
        </w:tabs>
        <w:spacing w:after="0"/>
        <w:jc w:val="both"/>
        <w:rPr>
          <w:rFonts w:ascii="Arial" w:hAnsi="Arial" w:cs="Arial"/>
          <w:sz w:val="24"/>
          <w:szCs w:val="24"/>
        </w:rPr>
      </w:pPr>
    </w:p>
    <w:p w14:paraId="5E90A10E" w14:textId="77777777" w:rsidR="00FF70FC" w:rsidRPr="007A6730"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c)</w:t>
      </w:r>
      <w:r w:rsidRPr="009732D2">
        <w:rPr>
          <w:rFonts w:ascii="Arial" w:hAnsi="Arial" w:cs="Arial"/>
          <w:sz w:val="24"/>
          <w:szCs w:val="24"/>
        </w:rPr>
        <w:t xml:space="preserve"> </w:t>
      </w:r>
      <w:r w:rsidRPr="001421E4">
        <w:rPr>
          <w:rFonts w:ascii="Arial" w:hAnsi="Arial" w:cs="Arial"/>
          <w:sz w:val="24"/>
          <w:szCs w:val="24"/>
        </w:rPr>
        <w:t>Avalúo del inmueble por una empresa constituida para tal fin, aplica en el caso que se</w:t>
      </w:r>
      <w:r>
        <w:rPr>
          <w:rFonts w:ascii="Arial" w:hAnsi="Arial" w:cs="Arial"/>
          <w:sz w:val="24"/>
          <w:szCs w:val="24"/>
        </w:rPr>
        <w:t xml:space="preserve"> </w:t>
      </w:r>
      <w:r w:rsidRPr="007A6730">
        <w:rPr>
          <w:rFonts w:ascii="Arial" w:hAnsi="Arial" w:cs="Arial"/>
          <w:sz w:val="24"/>
          <w:szCs w:val="24"/>
        </w:rPr>
        <w:t>requiera la compra del lote.</w:t>
      </w:r>
    </w:p>
    <w:p w14:paraId="6D7F905E" w14:textId="77777777" w:rsidR="00FF70FC" w:rsidRPr="009732D2" w:rsidRDefault="00FF70FC" w:rsidP="008E39FD">
      <w:pPr>
        <w:pStyle w:val="Prrafodelista"/>
        <w:tabs>
          <w:tab w:val="left" w:pos="4474"/>
        </w:tabs>
        <w:spacing w:after="0"/>
        <w:jc w:val="both"/>
        <w:rPr>
          <w:rFonts w:ascii="Arial" w:hAnsi="Arial" w:cs="Arial"/>
          <w:sz w:val="24"/>
          <w:szCs w:val="24"/>
        </w:rPr>
      </w:pPr>
    </w:p>
    <w:p w14:paraId="51D250C5" w14:textId="77777777" w:rsidR="00FF70FC" w:rsidRPr="009732D2"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d)</w:t>
      </w:r>
      <w:r w:rsidRPr="009732D2">
        <w:rPr>
          <w:rFonts w:ascii="Arial" w:hAnsi="Arial" w:cs="Arial"/>
          <w:sz w:val="24"/>
          <w:szCs w:val="24"/>
        </w:rPr>
        <w:t xml:space="preserve"> Concepto de uso del suelo emitido por la autoridad municipal competente.</w:t>
      </w:r>
    </w:p>
    <w:p w14:paraId="0C7181B1" w14:textId="77777777" w:rsidR="00FF70FC" w:rsidRPr="009732D2" w:rsidRDefault="00FF70FC" w:rsidP="008E39FD">
      <w:pPr>
        <w:pStyle w:val="Prrafodelista"/>
        <w:tabs>
          <w:tab w:val="left" w:pos="4474"/>
        </w:tabs>
        <w:spacing w:after="0"/>
        <w:jc w:val="both"/>
        <w:rPr>
          <w:rFonts w:ascii="Arial" w:hAnsi="Arial" w:cs="Arial"/>
          <w:sz w:val="24"/>
          <w:szCs w:val="24"/>
        </w:rPr>
      </w:pPr>
    </w:p>
    <w:p w14:paraId="79891AE5" w14:textId="77777777" w:rsidR="00FF70FC" w:rsidRPr="009732D2" w:rsidRDefault="00FF70FC" w:rsidP="008E39FD">
      <w:pPr>
        <w:pStyle w:val="Prrafodelista"/>
        <w:tabs>
          <w:tab w:val="left" w:pos="4474"/>
        </w:tabs>
        <w:spacing w:after="0"/>
        <w:jc w:val="both"/>
        <w:rPr>
          <w:rFonts w:ascii="Arial" w:hAnsi="Arial" w:cs="Arial"/>
          <w:sz w:val="24"/>
          <w:szCs w:val="24"/>
        </w:rPr>
      </w:pPr>
      <w:r w:rsidRPr="00E54419">
        <w:rPr>
          <w:rFonts w:ascii="Arial" w:hAnsi="Arial" w:cs="Arial"/>
          <w:sz w:val="24"/>
          <w:szCs w:val="24"/>
        </w:rPr>
        <w:t>e)</w:t>
      </w:r>
      <w:r w:rsidRPr="009732D2">
        <w:rPr>
          <w:rFonts w:ascii="Arial" w:hAnsi="Arial" w:cs="Arial"/>
          <w:sz w:val="24"/>
          <w:szCs w:val="24"/>
        </w:rPr>
        <w:t xml:space="preserve"> Promesa de servidumbres o servidumbres que se requieran para el uso de los predios o el acto administrativo expedido por la autoridad competente, mediante el cual se otorgue el derecho de uso de vía municipal o departamental.</w:t>
      </w:r>
    </w:p>
    <w:p w14:paraId="1BD9BADB" w14:textId="77777777" w:rsidR="00FF70FC" w:rsidRPr="009732D2" w:rsidRDefault="00FF70FC" w:rsidP="008E39FD">
      <w:pPr>
        <w:pStyle w:val="Prrafodelista"/>
        <w:tabs>
          <w:tab w:val="left" w:pos="4474"/>
        </w:tabs>
        <w:spacing w:after="0"/>
        <w:jc w:val="both"/>
        <w:rPr>
          <w:rFonts w:ascii="Arial" w:hAnsi="Arial" w:cs="Arial"/>
          <w:sz w:val="24"/>
          <w:szCs w:val="24"/>
        </w:rPr>
      </w:pPr>
    </w:p>
    <w:p w14:paraId="0AE21A2F"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Presupuesto general de obras elaborado conforme a las Unidades Constructivas de la CREG; para las Unidades Constructivas No Homologadas por la CREG, se deberá presentar Análisis de Precios Unitarios.</w:t>
      </w:r>
    </w:p>
    <w:p w14:paraId="1F134083" w14:textId="77777777" w:rsidR="00FF70FC" w:rsidRDefault="00FF70FC" w:rsidP="008E39FD">
      <w:pPr>
        <w:pStyle w:val="Prrafodelista"/>
        <w:tabs>
          <w:tab w:val="left" w:pos="4474"/>
        </w:tabs>
        <w:spacing w:after="0"/>
        <w:jc w:val="both"/>
        <w:rPr>
          <w:rFonts w:ascii="Arial" w:hAnsi="Arial" w:cs="Arial"/>
          <w:sz w:val="24"/>
          <w:szCs w:val="24"/>
        </w:rPr>
      </w:pPr>
    </w:p>
    <w:p w14:paraId="409EA759"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Cronograma de actividades que relacione gráficamente los tiempos de ejecución de las actividades relacionadas en el presupuesto.</w:t>
      </w:r>
    </w:p>
    <w:p w14:paraId="2186DF4B" w14:textId="77777777" w:rsidR="00FF70FC" w:rsidRPr="007A6730" w:rsidRDefault="00FF70FC" w:rsidP="008E39FD">
      <w:pPr>
        <w:pStyle w:val="Prrafodelista"/>
        <w:rPr>
          <w:rFonts w:ascii="Arial" w:hAnsi="Arial" w:cs="Arial"/>
          <w:sz w:val="24"/>
          <w:szCs w:val="24"/>
        </w:rPr>
      </w:pPr>
    </w:p>
    <w:p w14:paraId="4E31118B"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Flujo de caja en el que se presente la desagregación de las inversiones del Proyecto, y las de los demás aportantes de recursos, los periodos deberán ser mensuales y abiertos en el tiempo.</w:t>
      </w:r>
    </w:p>
    <w:p w14:paraId="4B7ADE68" w14:textId="77777777" w:rsidR="00FF70FC" w:rsidRPr="007A6730" w:rsidRDefault="00FF70FC" w:rsidP="008E39FD">
      <w:pPr>
        <w:pStyle w:val="Prrafodelista"/>
        <w:rPr>
          <w:rFonts w:ascii="Arial" w:hAnsi="Arial" w:cs="Arial"/>
          <w:sz w:val="24"/>
          <w:szCs w:val="24"/>
        </w:rPr>
      </w:pPr>
    </w:p>
    <w:p w14:paraId="43B31E9D"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Esquema cierto y definido de cofinanciación total del proyecto, identificando debidamente todas las fuentes de recursos, y cuyo alcance abarque la duración de la construcción y la puesta en servicio del sistema y su posterior operación.</w:t>
      </w:r>
    </w:p>
    <w:p w14:paraId="49AA36EA" w14:textId="77777777" w:rsidR="00FF70FC" w:rsidRDefault="00FF70FC" w:rsidP="008E39FD">
      <w:pPr>
        <w:pStyle w:val="Prrafodelista"/>
      </w:pPr>
    </w:p>
    <w:p w14:paraId="22098C98" w14:textId="51476C44"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Planos de localización y acceso a la zona del proyecto con las coordenadas de los centros</w:t>
      </w:r>
      <w:r w:rsidRPr="00E00743">
        <w:rPr>
          <w:rFonts w:ascii="Arial" w:hAnsi="Arial" w:cs="Arial"/>
          <w:sz w:val="24"/>
          <w:szCs w:val="24"/>
        </w:rPr>
        <w:t xml:space="preserve"> </w:t>
      </w:r>
      <w:r w:rsidRPr="007A6730">
        <w:rPr>
          <w:rFonts w:ascii="Arial" w:hAnsi="Arial" w:cs="Arial"/>
          <w:sz w:val="24"/>
          <w:szCs w:val="24"/>
        </w:rPr>
        <w:t>poblados beneficiados con el proyecto y las vías de acceso a la zona de ejecución.</w:t>
      </w:r>
    </w:p>
    <w:p w14:paraId="63637809" w14:textId="77777777" w:rsidR="00FF70FC" w:rsidRDefault="00FF70FC" w:rsidP="008E39FD">
      <w:pPr>
        <w:pStyle w:val="Prrafodelista"/>
        <w:tabs>
          <w:tab w:val="left" w:pos="4474"/>
        </w:tabs>
        <w:spacing w:after="0"/>
        <w:jc w:val="both"/>
        <w:rPr>
          <w:rFonts w:ascii="Arial" w:hAnsi="Arial" w:cs="Arial"/>
          <w:sz w:val="24"/>
          <w:szCs w:val="24"/>
        </w:rPr>
      </w:pPr>
    </w:p>
    <w:p w14:paraId="7A00E2C8"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Planos técnicos en formato digital (*.dwg), elaborados por capas, que diferencie las actividades relacionadas en el presupuesto.</w:t>
      </w:r>
      <w:r>
        <w:rPr>
          <w:rFonts w:ascii="Arial" w:hAnsi="Arial" w:cs="Arial"/>
          <w:sz w:val="24"/>
          <w:szCs w:val="24"/>
        </w:rPr>
        <w:t xml:space="preserve"> </w:t>
      </w:r>
      <w:r w:rsidRPr="007A6730">
        <w:rPr>
          <w:rFonts w:ascii="Arial" w:hAnsi="Arial" w:cs="Arial"/>
          <w:sz w:val="24"/>
          <w:szCs w:val="24"/>
        </w:rPr>
        <w:t>(No aplica para proyectos que busquen adelantar la construcción de Conexiones y/o de Redes Internas).</w:t>
      </w:r>
    </w:p>
    <w:p w14:paraId="0F0919FB" w14:textId="77777777" w:rsidR="00FF70FC" w:rsidRPr="007A6730" w:rsidRDefault="00FF70FC" w:rsidP="008E39FD">
      <w:pPr>
        <w:pStyle w:val="Prrafodelista"/>
        <w:rPr>
          <w:rFonts w:ascii="Arial" w:hAnsi="Arial" w:cs="Arial"/>
          <w:sz w:val="24"/>
          <w:szCs w:val="24"/>
        </w:rPr>
      </w:pPr>
    </w:p>
    <w:p w14:paraId="6B366775"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Copia del radicado por medio del cual se solicitaron los permisos, autorizaciones o concesiones ambientales que requiera el Proyecto ante la autoridad ambiental competente, o copia del auto de inicio del procedimiento de licenciamiento ambiental, en caso de requerirse conforme a la ley y reglamentación aplicables.</w:t>
      </w:r>
      <w:r>
        <w:rPr>
          <w:rFonts w:ascii="Arial" w:hAnsi="Arial" w:cs="Arial"/>
          <w:sz w:val="24"/>
          <w:szCs w:val="24"/>
        </w:rPr>
        <w:t xml:space="preserve"> </w:t>
      </w:r>
      <w:r w:rsidRPr="007A6730">
        <w:rPr>
          <w:rFonts w:ascii="Arial" w:hAnsi="Arial" w:cs="Arial"/>
          <w:sz w:val="24"/>
          <w:szCs w:val="24"/>
        </w:rPr>
        <w:t>(No aplica para proyectos de Conexiones de Usuarios de Menores Ingresos y Redes Internas).</w:t>
      </w:r>
    </w:p>
    <w:p w14:paraId="212BD2F7" w14:textId="77777777" w:rsidR="00FF70FC" w:rsidRPr="007A6730" w:rsidRDefault="00FF70FC" w:rsidP="008E39FD">
      <w:pPr>
        <w:pStyle w:val="Prrafodelista"/>
        <w:rPr>
          <w:rFonts w:ascii="Arial" w:hAnsi="Arial" w:cs="Arial"/>
          <w:sz w:val="24"/>
          <w:szCs w:val="24"/>
        </w:rPr>
      </w:pPr>
    </w:p>
    <w:p w14:paraId="29491118"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 xml:space="preserve">Contar con el esquema de interventoría para la ejecución del proyecto, la cual deberá ser ejercida por empresas que certifiquen que han efectuado mínimo una (1) interventoría a contratos de construcción de redes de gas combustible, cuyo monto sea igual o superior al del proyecto presentado. Para lo anterior, el posible Interventor deberá adjuntar una certificación de su representante legal, si se trata de persona jurídica, en el que manifieste su intención de ejecutar la interventoría </w:t>
      </w:r>
      <w:r w:rsidRPr="007A6730">
        <w:rPr>
          <w:rFonts w:ascii="Arial" w:hAnsi="Arial" w:cs="Arial"/>
          <w:sz w:val="24"/>
          <w:szCs w:val="24"/>
        </w:rPr>
        <w:lastRenderedPageBreak/>
        <w:t>del proyecto y soporte el cumplimiento de los requisitos anteriormente exigidos. Tal certificación, deberá señalar que su vigencia es de mínimo un (1) año, en la cual se mantendrá la oferta del posible Interventor, en caso de aprobarse la ejecución del proyecto.</w:t>
      </w:r>
    </w:p>
    <w:p w14:paraId="73218482" w14:textId="77777777" w:rsidR="00FF70FC" w:rsidRPr="007A6730" w:rsidRDefault="00FF70FC" w:rsidP="008E39FD">
      <w:pPr>
        <w:pStyle w:val="Prrafodelista"/>
        <w:rPr>
          <w:rFonts w:ascii="Arial" w:hAnsi="Arial" w:cs="Arial"/>
          <w:sz w:val="24"/>
          <w:szCs w:val="24"/>
        </w:rPr>
      </w:pPr>
    </w:p>
    <w:p w14:paraId="67E5514E" w14:textId="113FDA14"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Estudios técnicos de ingeniería que incluyan como mínimo el dimensionamiento de las estaciones descompresoras, city</w:t>
      </w:r>
      <w:r w:rsidR="008E22E5">
        <w:rPr>
          <w:rFonts w:ascii="Arial" w:hAnsi="Arial" w:cs="Arial"/>
          <w:sz w:val="24"/>
          <w:szCs w:val="24"/>
        </w:rPr>
        <w:t xml:space="preserve"> </w:t>
      </w:r>
      <w:r w:rsidRPr="007A6730">
        <w:rPr>
          <w:rFonts w:ascii="Arial" w:hAnsi="Arial" w:cs="Arial"/>
          <w:sz w:val="24"/>
          <w:szCs w:val="24"/>
        </w:rPr>
        <w:t>gate o los tanques de almacenamiento requeridos para el proyecto, así como cálculos de presión, capacidad de evaporización, diámetro y longitud de las tuberías, con sus respectivos análisis y simulaciones.</w:t>
      </w:r>
      <w:r>
        <w:rPr>
          <w:rFonts w:ascii="Arial" w:hAnsi="Arial" w:cs="Arial"/>
          <w:sz w:val="24"/>
          <w:szCs w:val="24"/>
        </w:rPr>
        <w:t xml:space="preserve"> </w:t>
      </w:r>
      <w:r w:rsidRPr="007A6730">
        <w:rPr>
          <w:rFonts w:ascii="Arial" w:hAnsi="Arial" w:cs="Arial"/>
          <w:sz w:val="24"/>
          <w:szCs w:val="24"/>
        </w:rPr>
        <w:t>(No aplica para proyectos de Conexiones de Usuarios de Menores Ingresos y/o de Redes Internas).</w:t>
      </w:r>
    </w:p>
    <w:p w14:paraId="636D14B2" w14:textId="77777777" w:rsidR="00FF70FC" w:rsidRPr="007A6730" w:rsidRDefault="00FF70FC" w:rsidP="008E39FD">
      <w:pPr>
        <w:pStyle w:val="Prrafodelista"/>
        <w:rPr>
          <w:rFonts w:ascii="Arial" w:hAnsi="Arial" w:cs="Arial"/>
          <w:sz w:val="24"/>
          <w:szCs w:val="24"/>
        </w:rPr>
      </w:pPr>
    </w:p>
    <w:p w14:paraId="6ABFD810" w14:textId="77777777" w:rsidR="00FF70FC"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Estudio de continuidad del servicio que determine el almacenamiento estratégico mínimo con el que debe contar el proyecto para garantizar la continuidad en la prestación del servicio, ante situaciones de interrupción en el abastecimiento terrestre o fluvial (aplica solo para proyectos de sistemas de distribución de gas combustible cuando este sea abastecido por vías terrestres o fluviales). (Aplica solo para proyectos de sistemas de distribución de gas combustible cuando este sea abastecido por vías terrestres o fluviales).</w:t>
      </w:r>
    </w:p>
    <w:p w14:paraId="5CD0D120" w14:textId="77777777" w:rsidR="00FF70FC" w:rsidRPr="007A6730" w:rsidRDefault="00FF70FC" w:rsidP="008E39FD">
      <w:pPr>
        <w:pStyle w:val="Prrafodelista"/>
        <w:rPr>
          <w:sz w:val="24"/>
          <w:szCs w:val="24"/>
        </w:rPr>
      </w:pPr>
    </w:p>
    <w:p w14:paraId="51F3A75E" w14:textId="77777777" w:rsidR="00FF70FC" w:rsidRPr="007A6730" w:rsidRDefault="00FF70FC" w:rsidP="00B320D0">
      <w:pPr>
        <w:pStyle w:val="Prrafodelista"/>
        <w:numPr>
          <w:ilvl w:val="0"/>
          <w:numId w:val="138"/>
        </w:numPr>
        <w:tabs>
          <w:tab w:val="left" w:pos="4474"/>
        </w:tabs>
        <w:spacing w:after="0"/>
        <w:jc w:val="both"/>
        <w:rPr>
          <w:rFonts w:ascii="Arial" w:hAnsi="Arial" w:cs="Arial"/>
          <w:sz w:val="24"/>
          <w:szCs w:val="24"/>
        </w:rPr>
      </w:pPr>
      <w:r w:rsidRPr="007A6730">
        <w:rPr>
          <w:rFonts w:ascii="Arial" w:hAnsi="Arial" w:cs="Arial"/>
          <w:sz w:val="24"/>
          <w:szCs w:val="24"/>
        </w:rPr>
        <w:t>En el caso en el que el proyecto busque garantizar las Conexiones y Redes Internas de un Sistema de Distribución ya construido, el Solicitante deberá presentar un certificado del Sistema de Distribución, identificando las Conexiones y Redes Internas que se adelantarán, expedido por el representante legal del Solicitante, en el que garantice que cuenta con el Sistema de Distribución necesaria para realizar efectivamente las conexiones y redes internas de usuarios para la prestación efectiva del servicio.</w:t>
      </w:r>
    </w:p>
    <w:p w14:paraId="0B68ACD3" w14:textId="77777777" w:rsidR="00FF70FC" w:rsidRPr="007A6730" w:rsidRDefault="00FF70FC" w:rsidP="008E39FD">
      <w:pPr>
        <w:pStyle w:val="Prrafodelista"/>
        <w:rPr>
          <w:rFonts w:ascii="Arial" w:hAnsi="Arial" w:cs="Arial"/>
          <w:sz w:val="24"/>
          <w:szCs w:val="24"/>
        </w:rPr>
      </w:pPr>
    </w:p>
    <w:p w14:paraId="49BACECD" w14:textId="37057BDA" w:rsidR="00FF70FC" w:rsidRDefault="008E22E5" w:rsidP="00B320D0">
      <w:pPr>
        <w:pStyle w:val="Prrafodelista"/>
        <w:numPr>
          <w:ilvl w:val="0"/>
          <w:numId w:val="138"/>
        </w:numPr>
        <w:tabs>
          <w:tab w:val="left" w:pos="4474"/>
        </w:tabs>
        <w:spacing w:after="0"/>
        <w:jc w:val="both"/>
        <w:rPr>
          <w:rFonts w:ascii="Arial" w:hAnsi="Arial" w:cs="Arial"/>
          <w:sz w:val="24"/>
          <w:szCs w:val="24"/>
        </w:rPr>
      </w:pPr>
      <w:r>
        <w:rPr>
          <w:rFonts w:ascii="Arial" w:hAnsi="Arial" w:cs="Arial"/>
          <w:sz w:val="24"/>
          <w:szCs w:val="24"/>
        </w:rPr>
        <w:t xml:space="preserve">Cuando </w:t>
      </w:r>
      <w:r w:rsidR="00FF70FC" w:rsidRPr="007A6730">
        <w:rPr>
          <w:rFonts w:ascii="Arial" w:hAnsi="Arial" w:cs="Arial"/>
          <w:sz w:val="24"/>
          <w:szCs w:val="24"/>
        </w:rPr>
        <w:t xml:space="preserve">el proyecto </w:t>
      </w:r>
      <w:r>
        <w:rPr>
          <w:rFonts w:ascii="Arial" w:hAnsi="Arial" w:cs="Arial"/>
          <w:sz w:val="24"/>
          <w:szCs w:val="24"/>
        </w:rPr>
        <w:t xml:space="preserve">pretenda </w:t>
      </w:r>
      <w:r w:rsidR="00FF70FC" w:rsidRPr="007A6730">
        <w:rPr>
          <w:rFonts w:ascii="Arial" w:hAnsi="Arial" w:cs="Arial"/>
          <w:sz w:val="24"/>
          <w:szCs w:val="24"/>
        </w:rPr>
        <w:t>garantizar únicamente las Redes Internas, el Solicitante deberá presentar un certificado del Sistema de Distribución y Conexiones ya construidas, identificando las Redes Internas que se adelantarán, expedido por el representante legal del Solicitante, en el que garantice que cuenta con el Sistema de Distribución y Conexiones necesarias para realizar efectivamente las Redes Internas de usuarios para la prestación efectiva del servicio.</w:t>
      </w:r>
    </w:p>
    <w:p w14:paraId="1E9C7880" w14:textId="77777777" w:rsidR="00FF70FC" w:rsidRPr="007A6730" w:rsidRDefault="00FF70FC" w:rsidP="008E39FD">
      <w:pPr>
        <w:pStyle w:val="Prrafodelista"/>
        <w:rPr>
          <w:rFonts w:ascii="Arial" w:hAnsi="Arial" w:cs="Arial"/>
          <w:sz w:val="24"/>
          <w:szCs w:val="24"/>
        </w:rPr>
      </w:pPr>
    </w:p>
    <w:p w14:paraId="73C77ACC" w14:textId="5A6FE606" w:rsidR="00FF70FC" w:rsidRDefault="008E22E5" w:rsidP="00B320D0">
      <w:pPr>
        <w:pStyle w:val="Prrafodelista"/>
        <w:numPr>
          <w:ilvl w:val="0"/>
          <w:numId w:val="138"/>
        </w:numPr>
        <w:tabs>
          <w:tab w:val="left" w:pos="4474"/>
        </w:tabs>
        <w:spacing w:after="0"/>
        <w:jc w:val="both"/>
        <w:rPr>
          <w:rFonts w:ascii="Arial" w:hAnsi="Arial" w:cs="Arial"/>
          <w:sz w:val="24"/>
          <w:szCs w:val="24"/>
        </w:rPr>
      </w:pPr>
      <w:r>
        <w:rPr>
          <w:rFonts w:ascii="Arial" w:hAnsi="Arial" w:cs="Arial"/>
          <w:sz w:val="24"/>
          <w:szCs w:val="24"/>
        </w:rPr>
        <w:t xml:space="preserve">Si </w:t>
      </w:r>
      <w:r w:rsidR="00FF70FC" w:rsidRPr="007A6730">
        <w:rPr>
          <w:rFonts w:ascii="Arial" w:hAnsi="Arial" w:cs="Arial"/>
          <w:sz w:val="24"/>
          <w:szCs w:val="24"/>
        </w:rPr>
        <w:t>el proyecto bus</w:t>
      </w:r>
      <w:r>
        <w:rPr>
          <w:rFonts w:ascii="Arial" w:hAnsi="Arial" w:cs="Arial"/>
          <w:sz w:val="24"/>
          <w:szCs w:val="24"/>
        </w:rPr>
        <w:t>ca</w:t>
      </w:r>
      <w:r w:rsidR="00FF70FC" w:rsidRPr="007A6730">
        <w:rPr>
          <w:rFonts w:ascii="Arial" w:hAnsi="Arial" w:cs="Arial"/>
          <w:sz w:val="24"/>
          <w:szCs w:val="24"/>
        </w:rPr>
        <w:t xml:space="preserve"> garantizar únicamente el Almacenamiento Estratégico, el Solicitante deberá presentar un certificado del Sistema de Distribución, Conexiones y Redes Internas en operación, identificando como </w:t>
      </w:r>
      <w:r w:rsidR="00621630">
        <w:rPr>
          <w:rFonts w:ascii="Arial" w:hAnsi="Arial" w:cs="Arial"/>
          <w:sz w:val="24"/>
          <w:szCs w:val="24"/>
        </w:rPr>
        <w:t>e</w:t>
      </w:r>
      <w:r w:rsidR="00FF70FC" w:rsidRPr="007A6730">
        <w:rPr>
          <w:rFonts w:ascii="Arial" w:hAnsi="Arial" w:cs="Arial"/>
          <w:sz w:val="24"/>
          <w:szCs w:val="24"/>
        </w:rPr>
        <w:t>ste Almacenamiento Estratégico garantizará la continuidad en la prestación de servicio frente a situaciones que puedan afectar el suministro del gas combustible.</w:t>
      </w:r>
    </w:p>
    <w:p w14:paraId="46BEDC12" w14:textId="77777777" w:rsidR="00FF70FC" w:rsidRPr="007A6730" w:rsidRDefault="00FF70FC" w:rsidP="008E39FD">
      <w:pPr>
        <w:pStyle w:val="Prrafodelista"/>
        <w:rPr>
          <w:rFonts w:ascii="Arial" w:hAnsi="Arial" w:cs="Arial"/>
          <w:sz w:val="24"/>
          <w:szCs w:val="24"/>
        </w:rPr>
      </w:pPr>
    </w:p>
    <w:p w14:paraId="55B63F95" w14:textId="5F881791" w:rsidR="00FF70FC" w:rsidRPr="00616253" w:rsidRDefault="00FF70FC" w:rsidP="00B320D0">
      <w:pPr>
        <w:pStyle w:val="Prrafodelista"/>
        <w:numPr>
          <w:ilvl w:val="0"/>
          <w:numId w:val="138"/>
        </w:numPr>
        <w:tabs>
          <w:tab w:val="left" w:pos="4474"/>
        </w:tabs>
        <w:spacing w:after="0"/>
        <w:jc w:val="both"/>
        <w:rPr>
          <w:rFonts w:ascii="Arial" w:hAnsi="Arial" w:cs="Arial"/>
          <w:sz w:val="24"/>
          <w:szCs w:val="24"/>
        </w:rPr>
      </w:pPr>
      <w:r w:rsidRPr="00616253">
        <w:rPr>
          <w:rFonts w:ascii="Arial" w:hAnsi="Arial" w:cs="Arial"/>
          <w:sz w:val="24"/>
          <w:szCs w:val="24"/>
        </w:rPr>
        <w:t xml:space="preserve">Certificación de presencia de Grupos Étnicos emitida por el Ministerio del Interior, en el cual </w:t>
      </w:r>
      <w:r w:rsidR="0055636A" w:rsidRPr="00616253">
        <w:rPr>
          <w:rFonts w:ascii="Arial" w:hAnsi="Arial" w:cs="Arial"/>
          <w:sz w:val="24"/>
          <w:szCs w:val="24"/>
        </w:rPr>
        <w:t xml:space="preserve">se </w:t>
      </w:r>
      <w:r w:rsidRPr="00616253">
        <w:rPr>
          <w:rFonts w:ascii="Arial" w:hAnsi="Arial" w:cs="Arial"/>
          <w:sz w:val="24"/>
          <w:szCs w:val="24"/>
        </w:rPr>
        <w:t xml:space="preserve">establezca </w:t>
      </w:r>
      <w:r w:rsidR="00616253" w:rsidRPr="00616253">
        <w:rPr>
          <w:rFonts w:ascii="Arial" w:hAnsi="Arial" w:cs="Arial"/>
          <w:sz w:val="24"/>
          <w:szCs w:val="24"/>
        </w:rPr>
        <w:t>la determinación de la procedencia y oportunidad de la consulta previa para la ejecución de</w:t>
      </w:r>
      <w:r w:rsidR="00616253">
        <w:rPr>
          <w:rFonts w:ascii="Arial" w:hAnsi="Arial" w:cs="Arial"/>
          <w:sz w:val="24"/>
          <w:szCs w:val="24"/>
        </w:rPr>
        <w:t>l</w:t>
      </w:r>
      <w:r w:rsidR="00616253" w:rsidRPr="00616253">
        <w:rPr>
          <w:rFonts w:ascii="Arial" w:hAnsi="Arial" w:cs="Arial"/>
          <w:sz w:val="24"/>
          <w:szCs w:val="24"/>
        </w:rPr>
        <w:t xml:space="preserve"> proyecto</w:t>
      </w:r>
      <w:r w:rsidR="00616253">
        <w:rPr>
          <w:rFonts w:ascii="Arial" w:hAnsi="Arial" w:cs="Arial"/>
          <w:sz w:val="24"/>
          <w:szCs w:val="24"/>
        </w:rPr>
        <w:t>.</w:t>
      </w:r>
    </w:p>
    <w:p w14:paraId="4BB224C0" w14:textId="02FCF523" w:rsidR="00FF70FC" w:rsidRDefault="009E73FC" w:rsidP="008E39FD">
      <w:pPr>
        <w:pStyle w:val="Prrafodelista"/>
        <w:tabs>
          <w:tab w:val="left" w:pos="4474"/>
        </w:tabs>
        <w:spacing w:after="0"/>
        <w:jc w:val="both"/>
        <w:rPr>
          <w:rFonts w:ascii="Arial" w:hAnsi="Arial" w:cs="Arial"/>
          <w:sz w:val="24"/>
          <w:szCs w:val="24"/>
        </w:rPr>
      </w:pPr>
      <w:r>
        <w:rPr>
          <w:rFonts w:ascii="Arial" w:hAnsi="Arial" w:cs="Arial"/>
          <w:sz w:val="24"/>
          <w:szCs w:val="24"/>
        </w:rPr>
        <w:t>Una vez suscrito el contrato y/o convenio y p</w:t>
      </w:r>
      <w:r w:rsidR="00FF70FC" w:rsidRPr="007A6730">
        <w:rPr>
          <w:rFonts w:ascii="Arial" w:hAnsi="Arial" w:cs="Arial"/>
          <w:sz w:val="24"/>
          <w:szCs w:val="24"/>
        </w:rPr>
        <w:t xml:space="preserve">revio al desembolso de los recursos, si aplica, el Solicitante deberá haber agotado el procedimiento de Consulta Previa establecido en la normatividad aplicable, presentado el acta de acuerdo </w:t>
      </w:r>
      <w:r w:rsidR="00FF70FC" w:rsidRPr="007A6730">
        <w:rPr>
          <w:rFonts w:ascii="Arial" w:hAnsi="Arial" w:cs="Arial"/>
          <w:sz w:val="24"/>
          <w:szCs w:val="24"/>
        </w:rPr>
        <w:lastRenderedPageBreak/>
        <w:t>protocolizada o la actuación administrativa que establezca el cierre del proceso de consulta.</w:t>
      </w:r>
    </w:p>
    <w:p w14:paraId="0C38A9A1" w14:textId="77777777" w:rsidR="00FF70FC" w:rsidRDefault="00FF70FC" w:rsidP="008E39FD">
      <w:pPr>
        <w:tabs>
          <w:tab w:val="left" w:pos="4474"/>
        </w:tabs>
        <w:spacing w:after="0"/>
        <w:jc w:val="both"/>
        <w:rPr>
          <w:rFonts w:ascii="Arial" w:hAnsi="Arial" w:cs="Arial"/>
          <w:sz w:val="24"/>
          <w:szCs w:val="24"/>
        </w:rPr>
      </w:pPr>
    </w:p>
    <w:p w14:paraId="74D02ABA" w14:textId="77777777" w:rsidR="00FF70FC" w:rsidRPr="007A6730" w:rsidRDefault="00FF70FC" w:rsidP="008E39FD">
      <w:pPr>
        <w:tabs>
          <w:tab w:val="left" w:pos="4474"/>
        </w:tabs>
        <w:spacing w:after="0"/>
        <w:jc w:val="both"/>
        <w:rPr>
          <w:rFonts w:ascii="Arial" w:hAnsi="Arial" w:cs="Arial"/>
          <w:sz w:val="24"/>
          <w:szCs w:val="24"/>
        </w:rPr>
      </w:pPr>
      <w:r w:rsidRPr="007A6730">
        <w:rPr>
          <w:rFonts w:ascii="Arial" w:hAnsi="Arial" w:cs="Arial"/>
          <w:sz w:val="24"/>
          <w:szCs w:val="24"/>
        </w:rPr>
        <w:t>En relación con las causales de no cofinanciación determinadas por la reglamentación vigente, para efectos de determinar la viabilidad de la cofinanciación del proyecto, el Solicitante deberá presentar, en caso de que aplique, lo siguiente:</w:t>
      </w:r>
    </w:p>
    <w:p w14:paraId="710405F9" w14:textId="77777777" w:rsidR="00FF70FC" w:rsidRPr="009732D2" w:rsidRDefault="00FF70FC" w:rsidP="008E39FD">
      <w:pPr>
        <w:pStyle w:val="Prrafodelista"/>
        <w:tabs>
          <w:tab w:val="left" w:pos="4474"/>
        </w:tabs>
        <w:spacing w:after="0"/>
        <w:jc w:val="both"/>
        <w:rPr>
          <w:rFonts w:ascii="Arial" w:hAnsi="Arial" w:cs="Arial"/>
          <w:sz w:val="24"/>
          <w:szCs w:val="24"/>
        </w:rPr>
      </w:pPr>
    </w:p>
    <w:p w14:paraId="42660A95"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a)</w:t>
      </w:r>
      <w:r w:rsidRPr="009732D2">
        <w:rPr>
          <w:rFonts w:ascii="Arial" w:hAnsi="Arial" w:cs="Arial"/>
          <w:sz w:val="24"/>
          <w:szCs w:val="24"/>
        </w:rPr>
        <w:t xml:space="preserve"> Declaración juramentada suscrita por el representante legal del Solicitante, con vigencia no mayor a 30 días a la fecha de radicación ante el FONENERGÍA, donde certifique que, consultada la documentación o información pública o privada de las empresas, la población a beneficiar no se encuentra dentro de su plan de expansión.</w:t>
      </w:r>
    </w:p>
    <w:p w14:paraId="5FB0C9F9" w14:textId="77777777" w:rsidR="00FF70FC" w:rsidRPr="009732D2" w:rsidRDefault="00FF70FC" w:rsidP="008E39FD">
      <w:pPr>
        <w:pStyle w:val="Prrafodelista"/>
        <w:tabs>
          <w:tab w:val="left" w:pos="4474"/>
        </w:tabs>
        <w:spacing w:after="0"/>
        <w:jc w:val="both"/>
        <w:rPr>
          <w:rFonts w:ascii="Arial" w:hAnsi="Arial" w:cs="Arial"/>
          <w:sz w:val="24"/>
          <w:szCs w:val="24"/>
        </w:rPr>
      </w:pPr>
    </w:p>
    <w:p w14:paraId="1C41391D"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b)</w:t>
      </w:r>
      <w:r w:rsidRPr="009732D2">
        <w:rPr>
          <w:rFonts w:ascii="Arial" w:hAnsi="Arial" w:cs="Arial"/>
          <w:sz w:val="24"/>
          <w:szCs w:val="24"/>
        </w:rPr>
        <w:t xml:space="preserve"> Declaración juramentada suscrita por el representante legal del Solicitante, con vigencia no mayor a 30 días a la fecha de radicación ante el FONENERGÍA, donde certifique que, consultada la documentación o información pública o privada de las empresas, si bien la población a beneficiar se encuentra dentro de su plan de expansión, han transcurrido veinticuatro (24) meses, sin que exista evidencia de la prestación efectiva del servicio.</w:t>
      </w:r>
    </w:p>
    <w:p w14:paraId="0D38D758" w14:textId="77777777" w:rsidR="00FF70FC" w:rsidRPr="009732D2" w:rsidRDefault="00FF70FC" w:rsidP="008E39FD">
      <w:pPr>
        <w:pStyle w:val="Prrafodelista"/>
        <w:tabs>
          <w:tab w:val="left" w:pos="4474"/>
        </w:tabs>
        <w:spacing w:after="0"/>
        <w:jc w:val="both"/>
        <w:rPr>
          <w:rFonts w:ascii="Arial" w:hAnsi="Arial" w:cs="Arial"/>
          <w:sz w:val="24"/>
          <w:szCs w:val="24"/>
        </w:rPr>
      </w:pPr>
    </w:p>
    <w:p w14:paraId="58A9FB39" w14:textId="62806396" w:rsidR="00FF70FC" w:rsidRPr="007A6730" w:rsidRDefault="00FF70FC" w:rsidP="008E39FD">
      <w:pPr>
        <w:tabs>
          <w:tab w:val="left" w:pos="4474"/>
        </w:tabs>
        <w:spacing w:after="0"/>
        <w:jc w:val="both"/>
        <w:rPr>
          <w:rFonts w:ascii="Arial" w:hAnsi="Arial" w:cs="Arial"/>
          <w:sz w:val="24"/>
          <w:szCs w:val="24"/>
        </w:rPr>
      </w:pPr>
      <w:r w:rsidRPr="007A6730">
        <w:rPr>
          <w:rFonts w:ascii="Arial" w:hAnsi="Arial" w:cs="Arial"/>
          <w:sz w:val="24"/>
          <w:szCs w:val="24"/>
        </w:rPr>
        <w:t xml:space="preserve">Una vez entre en operación el portal de información establecido en </w:t>
      </w:r>
      <w:r w:rsidRPr="00621630">
        <w:rPr>
          <w:rFonts w:ascii="Arial" w:hAnsi="Arial" w:cs="Arial"/>
          <w:sz w:val="24"/>
          <w:szCs w:val="24"/>
          <w:highlight w:val="yellow"/>
        </w:rPr>
        <w:t>el parágrafo del artículo 2.2.2.5.7.1 del Decreto 1073 de 2015</w:t>
      </w:r>
      <w:r w:rsidRPr="007A6730">
        <w:rPr>
          <w:rFonts w:ascii="Arial" w:hAnsi="Arial" w:cs="Arial"/>
          <w:sz w:val="24"/>
          <w:szCs w:val="24"/>
        </w:rPr>
        <w:t xml:space="preserve">, adicionado por el artículo 4 del Decreto 1038 de 2022, los Solicitantes deberán consultar los planes de expansión en dicho portal, para efectos de emitir las certificaciones </w:t>
      </w:r>
      <w:r w:rsidR="00621630">
        <w:rPr>
          <w:rFonts w:ascii="Arial" w:hAnsi="Arial" w:cs="Arial"/>
          <w:sz w:val="24"/>
          <w:szCs w:val="24"/>
        </w:rPr>
        <w:t xml:space="preserve">expedidas por la CREG </w:t>
      </w:r>
      <w:r w:rsidRPr="007A6730">
        <w:rPr>
          <w:rFonts w:ascii="Arial" w:hAnsi="Arial" w:cs="Arial"/>
          <w:sz w:val="24"/>
          <w:szCs w:val="24"/>
        </w:rPr>
        <w:t>que se señalan previamente.</w:t>
      </w:r>
    </w:p>
    <w:p w14:paraId="0C1792A7" w14:textId="77777777" w:rsidR="00FF70FC" w:rsidRPr="009732D2" w:rsidRDefault="00FF70FC" w:rsidP="008E39FD">
      <w:pPr>
        <w:pStyle w:val="Prrafodelista"/>
        <w:tabs>
          <w:tab w:val="left" w:pos="4474"/>
        </w:tabs>
        <w:spacing w:after="0"/>
        <w:jc w:val="both"/>
        <w:rPr>
          <w:rFonts w:ascii="Arial" w:hAnsi="Arial" w:cs="Arial"/>
          <w:sz w:val="24"/>
          <w:szCs w:val="24"/>
        </w:rPr>
      </w:pPr>
    </w:p>
    <w:p w14:paraId="7F61B514" w14:textId="6E144080" w:rsidR="00FF70FC" w:rsidRPr="009732D2" w:rsidRDefault="00FF70FC" w:rsidP="00B320D0">
      <w:pPr>
        <w:pStyle w:val="Prrafodelista"/>
        <w:numPr>
          <w:ilvl w:val="0"/>
          <w:numId w:val="138"/>
        </w:numPr>
        <w:tabs>
          <w:tab w:val="left" w:pos="4474"/>
        </w:tabs>
        <w:spacing w:after="0"/>
        <w:jc w:val="both"/>
        <w:rPr>
          <w:rFonts w:ascii="Arial" w:hAnsi="Arial" w:cs="Arial"/>
          <w:sz w:val="24"/>
          <w:szCs w:val="24"/>
        </w:rPr>
      </w:pPr>
      <w:r w:rsidRPr="009732D2">
        <w:rPr>
          <w:rFonts w:ascii="Arial" w:hAnsi="Arial" w:cs="Arial"/>
          <w:sz w:val="24"/>
          <w:szCs w:val="24"/>
        </w:rPr>
        <w:t>Certificación firmada por el</w:t>
      </w:r>
      <w:r w:rsidR="00024103">
        <w:rPr>
          <w:rFonts w:ascii="Arial" w:hAnsi="Arial" w:cs="Arial"/>
          <w:sz w:val="24"/>
          <w:szCs w:val="24"/>
        </w:rPr>
        <w:t xml:space="preserve"> contador o</w:t>
      </w:r>
      <w:r w:rsidRPr="009732D2">
        <w:rPr>
          <w:rFonts w:ascii="Arial" w:hAnsi="Arial" w:cs="Arial"/>
          <w:sz w:val="24"/>
          <w:szCs w:val="24"/>
        </w:rPr>
        <w:t xml:space="preserve"> revisor fiscal</w:t>
      </w:r>
      <w:r w:rsidR="00024103">
        <w:rPr>
          <w:rFonts w:ascii="Arial" w:hAnsi="Arial" w:cs="Arial"/>
          <w:sz w:val="24"/>
          <w:szCs w:val="24"/>
        </w:rPr>
        <w:t xml:space="preserve"> </w:t>
      </w:r>
      <w:r w:rsidR="0025163F">
        <w:rPr>
          <w:rFonts w:ascii="Arial" w:hAnsi="Arial" w:cs="Arial"/>
          <w:sz w:val="24"/>
          <w:szCs w:val="24"/>
        </w:rPr>
        <w:t>(</w:t>
      </w:r>
      <w:r w:rsidR="00024103">
        <w:rPr>
          <w:rFonts w:ascii="Arial" w:hAnsi="Arial" w:cs="Arial"/>
          <w:sz w:val="24"/>
          <w:szCs w:val="24"/>
        </w:rPr>
        <w:t>según aplique)</w:t>
      </w:r>
      <w:r w:rsidR="001B560A">
        <w:rPr>
          <w:rFonts w:ascii="Arial" w:hAnsi="Arial" w:cs="Arial"/>
          <w:sz w:val="24"/>
          <w:szCs w:val="24"/>
        </w:rPr>
        <w:t xml:space="preserve"> </w:t>
      </w:r>
      <w:r w:rsidRPr="009732D2">
        <w:rPr>
          <w:rFonts w:ascii="Arial" w:hAnsi="Arial" w:cs="Arial"/>
          <w:sz w:val="24"/>
          <w:szCs w:val="24"/>
        </w:rPr>
        <w:t xml:space="preserve">del </w:t>
      </w:r>
      <w:r w:rsidR="00CA4CE4">
        <w:rPr>
          <w:rFonts w:ascii="Arial" w:hAnsi="Arial" w:cs="Arial"/>
          <w:sz w:val="24"/>
          <w:szCs w:val="24"/>
        </w:rPr>
        <w:t>s</w:t>
      </w:r>
      <w:r w:rsidRPr="009732D2">
        <w:rPr>
          <w:rFonts w:ascii="Arial" w:hAnsi="Arial" w:cs="Arial"/>
          <w:sz w:val="24"/>
          <w:szCs w:val="24"/>
        </w:rPr>
        <w:t>olicitante en la cual se manifieste que la empresa cuenta con la capacidad financiera para garantizar la ejecución del proyecto y su posterior operación, para lo cual se presentan los siguientes indicadores financieros:</w:t>
      </w:r>
    </w:p>
    <w:p w14:paraId="626CCB1B" w14:textId="77777777" w:rsidR="00FF70FC" w:rsidRPr="009732D2" w:rsidRDefault="00FF70FC" w:rsidP="008E39FD">
      <w:pPr>
        <w:pStyle w:val="Prrafodelista"/>
        <w:tabs>
          <w:tab w:val="left" w:pos="4474"/>
        </w:tabs>
        <w:spacing w:after="0"/>
        <w:jc w:val="both"/>
        <w:rPr>
          <w:rFonts w:ascii="Arial" w:hAnsi="Arial" w:cs="Arial"/>
        </w:rPr>
      </w:pPr>
    </w:p>
    <w:tbl>
      <w:tblPr>
        <w:tblStyle w:val="Tablaconcuadrcula1"/>
        <w:tblW w:w="0" w:type="auto"/>
        <w:jc w:val="center"/>
        <w:tblLayout w:type="fixed"/>
        <w:tblLook w:val="06A0" w:firstRow="1" w:lastRow="0" w:firstColumn="1" w:lastColumn="0" w:noHBand="1" w:noVBand="1"/>
      </w:tblPr>
      <w:tblGrid>
        <w:gridCol w:w="4020"/>
      </w:tblGrid>
      <w:tr w:rsidR="00FF70FC" w:rsidRPr="00C63186" w14:paraId="03E9DF71" w14:textId="77777777" w:rsidTr="007116C0">
        <w:trPr>
          <w:trHeight w:val="285"/>
          <w:jc w:val="center"/>
        </w:trPr>
        <w:tc>
          <w:tcPr>
            <w:tcW w:w="4020" w:type="dxa"/>
            <w:tcBorders>
              <w:top w:val="single" w:sz="8" w:space="0" w:color="auto"/>
              <w:left w:val="single" w:sz="8" w:space="0" w:color="auto"/>
              <w:bottom w:val="single" w:sz="8" w:space="0" w:color="auto"/>
              <w:right w:val="single" w:sz="8" w:space="0" w:color="auto"/>
            </w:tcBorders>
            <w:vAlign w:val="center"/>
          </w:tcPr>
          <w:p w14:paraId="02B8BAFB" w14:textId="77777777" w:rsidR="00FF70FC" w:rsidRPr="00C63186" w:rsidRDefault="00FF70FC" w:rsidP="008E39FD">
            <w:pPr>
              <w:jc w:val="center"/>
              <w:rPr>
                <w:rFonts w:ascii="Arial" w:eastAsia="Arial" w:hAnsi="Arial" w:cs="Arial"/>
                <w:b/>
                <w:bCs/>
                <w:sz w:val="18"/>
                <w:szCs w:val="18"/>
              </w:rPr>
            </w:pPr>
            <w:r w:rsidRPr="00C63186">
              <w:rPr>
                <w:rFonts w:ascii="Arial" w:eastAsia="Arial" w:hAnsi="Arial" w:cs="Arial"/>
                <w:b/>
                <w:bCs/>
                <w:sz w:val="18"/>
                <w:szCs w:val="18"/>
              </w:rPr>
              <w:t>INDICADOR FINANCIERO</w:t>
            </w:r>
          </w:p>
        </w:tc>
      </w:tr>
      <w:tr w:rsidR="00FF70FC" w:rsidRPr="00C63186" w14:paraId="78119642" w14:textId="77777777" w:rsidTr="007116C0">
        <w:trPr>
          <w:trHeight w:val="448"/>
          <w:jc w:val="center"/>
        </w:trPr>
        <w:tc>
          <w:tcPr>
            <w:tcW w:w="4020" w:type="dxa"/>
            <w:tcBorders>
              <w:top w:val="single" w:sz="8" w:space="0" w:color="auto"/>
              <w:left w:val="single" w:sz="8" w:space="0" w:color="auto"/>
              <w:bottom w:val="single" w:sz="8" w:space="0" w:color="auto"/>
              <w:right w:val="single" w:sz="8" w:space="0" w:color="auto"/>
            </w:tcBorders>
            <w:vAlign w:val="center"/>
          </w:tcPr>
          <w:p w14:paraId="3E2DA4A1" w14:textId="77777777" w:rsidR="00FF70FC" w:rsidRPr="00C63186" w:rsidRDefault="00FF70FC" w:rsidP="008E39FD">
            <w:r w:rsidRPr="00C63186">
              <w:rPr>
                <w:rFonts w:ascii="Arial" w:eastAsia="Arial" w:hAnsi="Arial" w:cs="Arial"/>
                <w:sz w:val="18"/>
                <w:szCs w:val="18"/>
              </w:rPr>
              <w:t>Indicador de Liquidez</w:t>
            </w:r>
          </w:p>
        </w:tc>
      </w:tr>
      <w:tr w:rsidR="00FF70FC" w:rsidRPr="00C63186" w14:paraId="01BB480E" w14:textId="77777777" w:rsidTr="007116C0">
        <w:trPr>
          <w:trHeight w:val="448"/>
          <w:jc w:val="center"/>
        </w:trPr>
        <w:tc>
          <w:tcPr>
            <w:tcW w:w="4020" w:type="dxa"/>
            <w:tcBorders>
              <w:top w:val="single" w:sz="8" w:space="0" w:color="auto"/>
              <w:left w:val="single" w:sz="8" w:space="0" w:color="auto"/>
              <w:bottom w:val="single" w:sz="8" w:space="0" w:color="auto"/>
              <w:right w:val="single" w:sz="8" w:space="0" w:color="auto"/>
            </w:tcBorders>
            <w:vAlign w:val="center"/>
          </w:tcPr>
          <w:p w14:paraId="55BE5477" w14:textId="77777777" w:rsidR="00FF70FC" w:rsidRPr="00C63186" w:rsidRDefault="00FF70FC" w:rsidP="008E39FD">
            <w:r w:rsidRPr="00C63186">
              <w:rPr>
                <w:rFonts w:ascii="Arial" w:eastAsia="Arial" w:hAnsi="Arial" w:cs="Arial"/>
                <w:sz w:val="18"/>
                <w:szCs w:val="18"/>
              </w:rPr>
              <w:t>Indicador de Endeudamiento</w:t>
            </w:r>
          </w:p>
        </w:tc>
      </w:tr>
      <w:tr w:rsidR="00FF70FC" w:rsidRPr="00C63186" w14:paraId="77F5C164" w14:textId="77777777" w:rsidTr="007116C0">
        <w:trPr>
          <w:trHeight w:val="448"/>
          <w:jc w:val="center"/>
        </w:trPr>
        <w:tc>
          <w:tcPr>
            <w:tcW w:w="4020" w:type="dxa"/>
            <w:tcBorders>
              <w:top w:val="single" w:sz="8" w:space="0" w:color="auto"/>
              <w:left w:val="single" w:sz="8" w:space="0" w:color="auto"/>
              <w:bottom w:val="single" w:sz="8" w:space="0" w:color="auto"/>
              <w:right w:val="single" w:sz="8" w:space="0" w:color="auto"/>
            </w:tcBorders>
            <w:vAlign w:val="center"/>
          </w:tcPr>
          <w:p w14:paraId="08C7E701" w14:textId="77777777" w:rsidR="00FF70FC" w:rsidRPr="00C63186" w:rsidRDefault="00FF70FC" w:rsidP="008E39FD">
            <w:r w:rsidRPr="00C63186">
              <w:rPr>
                <w:rFonts w:ascii="Arial" w:eastAsia="Arial" w:hAnsi="Arial" w:cs="Arial"/>
                <w:sz w:val="18"/>
                <w:szCs w:val="18"/>
              </w:rPr>
              <w:t>Indicador Razón de Cobertura Intereses</w:t>
            </w:r>
          </w:p>
        </w:tc>
      </w:tr>
      <w:tr w:rsidR="00FF70FC" w:rsidRPr="00C63186" w14:paraId="3A52EA13" w14:textId="77777777" w:rsidTr="007116C0">
        <w:trPr>
          <w:trHeight w:val="448"/>
          <w:jc w:val="center"/>
        </w:trPr>
        <w:tc>
          <w:tcPr>
            <w:tcW w:w="4020" w:type="dxa"/>
            <w:tcBorders>
              <w:top w:val="single" w:sz="8" w:space="0" w:color="auto"/>
              <w:left w:val="single" w:sz="8" w:space="0" w:color="auto"/>
              <w:bottom w:val="single" w:sz="8" w:space="0" w:color="auto"/>
              <w:right w:val="single" w:sz="8" w:space="0" w:color="auto"/>
            </w:tcBorders>
            <w:vAlign w:val="center"/>
          </w:tcPr>
          <w:p w14:paraId="2A091AB9" w14:textId="77777777" w:rsidR="00FF70FC" w:rsidRPr="00C63186" w:rsidRDefault="00FF70FC" w:rsidP="008E39FD">
            <w:r w:rsidRPr="00C63186">
              <w:rPr>
                <w:rFonts w:ascii="Arial" w:eastAsia="Arial" w:hAnsi="Arial" w:cs="Arial"/>
                <w:sz w:val="18"/>
                <w:szCs w:val="18"/>
              </w:rPr>
              <w:t>Indicador de Capital de Trabajo</w:t>
            </w:r>
          </w:p>
        </w:tc>
      </w:tr>
      <w:tr w:rsidR="00FF70FC" w:rsidRPr="00C63186" w14:paraId="58AC76A8" w14:textId="77777777" w:rsidTr="007116C0">
        <w:trPr>
          <w:trHeight w:val="448"/>
          <w:jc w:val="center"/>
        </w:trPr>
        <w:tc>
          <w:tcPr>
            <w:tcW w:w="4020" w:type="dxa"/>
            <w:tcBorders>
              <w:top w:val="single" w:sz="8" w:space="0" w:color="auto"/>
              <w:left w:val="single" w:sz="8" w:space="0" w:color="auto"/>
              <w:bottom w:val="single" w:sz="8" w:space="0" w:color="auto"/>
              <w:right w:val="single" w:sz="8" w:space="0" w:color="auto"/>
            </w:tcBorders>
            <w:vAlign w:val="center"/>
          </w:tcPr>
          <w:p w14:paraId="19EA9D97" w14:textId="77777777" w:rsidR="00FF70FC" w:rsidRPr="00C63186" w:rsidRDefault="00FF70FC" w:rsidP="008E39FD">
            <w:r w:rsidRPr="00C63186">
              <w:rPr>
                <w:rFonts w:ascii="Arial" w:eastAsia="Arial" w:hAnsi="Arial" w:cs="Arial"/>
                <w:sz w:val="18"/>
                <w:szCs w:val="18"/>
              </w:rPr>
              <w:t>Indicador de Rentabilidad del Patrimonio</w:t>
            </w:r>
          </w:p>
        </w:tc>
      </w:tr>
      <w:tr w:rsidR="00FF70FC" w:rsidRPr="00C63186" w14:paraId="1A7464A9" w14:textId="77777777" w:rsidTr="007116C0">
        <w:trPr>
          <w:trHeight w:val="448"/>
          <w:jc w:val="center"/>
        </w:trPr>
        <w:tc>
          <w:tcPr>
            <w:tcW w:w="4020" w:type="dxa"/>
            <w:tcBorders>
              <w:top w:val="single" w:sz="8" w:space="0" w:color="auto"/>
              <w:left w:val="single" w:sz="8" w:space="0" w:color="auto"/>
              <w:bottom w:val="single" w:sz="8" w:space="0" w:color="auto"/>
              <w:right w:val="single" w:sz="8" w:space="0" w:color="auto"/>
            </w:tcBorders>
            <w:vAlign w:val="center"/>
          </w:tcPr>
          <w:p w14:paraId="6B50EBD6" w14:textId="77777777" w:rsidR="00FF70FC" w:rsidRPr="00C63186" w:rsidRDefault="00FF70FC" w:rsidP="008E39FD">
            <w:r w:rsidRPr="00C63186">
              <w:rPr>
                <w:rFonts w:ascii="Arial" w:eastAsia="Arial" w:hAnsi="Arial" w:cs="Arial"/>
                <w:sz w:val="18"/>
                <w:szCs w:val="18"/>
              </w:rPr>
              <w:t>Indicador de Rentabilidad del Activo</w:t>
            </w:r>
          </w:p>
        </w:tc>
      </w:tr>
    </w:tbl>
    <w:p w14:paraId="7E465ADE" w14:textId="77777777" w:rsidR="00FF70FC" w:rsidRPr="009732D2" w:rsidRDefault="00FF70FC" w:rsidP="008E39FD">
      <w:pPr>
        <w:pStyle w:val="Prrafodelista"/>
        <w:tabs>
          <w:tab w:val="left" w:pos="4474"/>
        </w:tabs>
        <w:spacing w:after="0"/>
        <w:jc w:val="both"/>
        <w:rPr>
          <w:rFonts w:ascii="Arial" w:hAnsi="Arial" w:cs="Arial"/>
          <w:b/>
          <w:bCs/>
          <w:sz w:val="24"/>
          <w:szCs w:val="24"/>
        </w:rPr>
      </w:pPr>
    </w:p>
    <w:p w14:paraId="6C18EEAE" w14:textId="77777777" w:rsidR="00FF70FC" w:rsidRDefault="00FF70FC" w:rsidP="008E39FD">
      <w:pPr>
        <w:tabs>
          <w:tab w:val="left" w:pos="4474"/>
        </w:tabs>
        <w:spacing w:after="0"/>
        <w:jc w:val="both"/>
        <w:rPr>
          <w:rFonts w:ascii="Arial" w:hAnsi="Arial" w:cs="Arial"/>
          <w:sz w:val="24"/>
          <w:szCs w:val="24"/>
        </w:rPr>
      </w:pPr>
      <w:r w:rsidRPr="007A6730">
        <w:rPr>
          <w:rFonts w:ascii="Arial" w:hAnsi="Arial" w:cs="Arial"/>
          <w:sz w:val="24"/>
          <w:szCs w:val="24"/>
        </w:rPr>
        <w:t>Los indicadores financieros deben estar dentro de los valores establecidos en el presente documento.</w:t>
      </w:r>
    </w:p>
    <w:p w14:paraId="1389891E" w14:textId="77777777" w:rsidR="00FF70FC" w:rsidRDefault="00FF70FC" w:rsidP="008E39FD">
      <w:pPr>
        <w:tabs>
          <w:tab w:val="left" w:pos="4474"/>
        </w:tabs>
        <w:spacing w:after="0"/>
        <w:jc w:val="both"/>
        <w:rPr>
          <w:rFonts w:ascii="Arial" w:hAnsi="Arial" w:cs="Arial"/>
          <w:sz w:val="24"/>
          <w:szCs w:val="24"/>
        </w:rPr>
      </w:pPr>
    </w:p>
    <w:p w14:paraId="1E5DF9C6" w14:textId="77777777" w:rsidR="00FF70FC" w:rsidRPr="007A6730" w:rsidRDefault="00FF70FC" w:rsidP="008E39FD">
      <w:pPr>
        <w:tabs>
          <w:tab w:val="left" w:pos="4474"/>
        </w:tabs>
        <w:spacing w:after="0"/>
        <w:jc w:val="both"/>
        <w:rPr>
          <w:rFonts w:ascii="Arial" w:hAnsi="Arial" w:cs="Arial"/>
          <w:sz w:val="24"/>
          <w:szCs w:val="24"/>
        </w:rPr>
      </w:pPr>
      <w:r w:rsidRPr="007A6730">
        <w:rPr>
          <w:rFonts w:ascii="Arial" w:hAnsi="Arial" w:cs="Arial"/>
          <w:sz w:val="24"/>
          <w:szCs w:val="24"/>
        </w:rPr>
        <w:t>Los Solicitantes deben acreditar su experiencia, para lo cual será necesario que:</w:t>
      </w:r>
    </w:p>
    <w:p w14:paraId="1643EB69" w14:textId="77777777" w:rsidR="00FF70FC" w:rsidRPr="009732D2" w:rsidRDefault="00FF70FC" w:rsidP="008E39FD">
      <w:pPr>
        <w:pStyle w:val="Prrafodelista"/>
        <w:tabs>
          <w:tab w:val="left" w:pos="4474"/>
        </w:tabs>
        <w:spacing w:after="0"/>
        <w:jc w:val="both"/>
        <w:rPr>
          <w:rFonts w:ascii="Arial" w:hAnsi="Arial" w:cs="Arial"/>
          <w:sz w:val="24"/>
          <w:szCs w:val="24"/>
        </w:rPr>
      </w:pPr>
    </w:p>
    <w:p w14:paraId="46AAE3C0"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lastRenderedPageBreak/>
        <w:t>a)</w:t>
      </w:r>
      <w:r w:rsidRPr="009732D2">
        <w:rPr>
          <w:rFonts w:ascii="Arial" w:hAnsi="Arial" w:cs="Arial"/>
          <w:sz w:val="24"/>
          <w:szCs w:val="24"/>
        </w:rPr>
        <w:t xml:space="preserve"> El prestador del servicio esté inscrito en el Registro Único de Prestadores del Servicio - RUPS, por un término mayor a un (1) año para el momento de presentación del respectivo proyecto.</w:t>
      </w:r>
    </w:p>
    <w:p w14:paraId="24F016F7" w14:textId="77777777" w:rsidR="00FF70FC" w:rsidRPr="009732D2" w:rsidRDefault="00FF70FC" w:rsidP="008E39FD">
      <w:pPr>
        <w:pStyle w:val="Prrafodelista"/>
        <w:tabs>
          <w:tab w:val="left" w:pos="4474"/>
        </w:tabs>
        <w:spacing w:after="0"/>
        <w:jc w:val="both"/>
        <w:rPr>
          <w:rFonts w:ascii="Arial" w:hAnsi="Arial" w:cs="Arial"/>
          <w:sz w:val="24"/>
          <w:szCs w:val="24"/>
        </w:rPr>
      </w:pPr>
    </w:p>
    <w:p w14:paraId="29ADCFE2"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b)</w:t>
      </w:r>
      <w:r w:rsidRPr="009732D2">
        <w:rPr>
          <w:rFonts w:ascii="Arial" w:hAnsi="Arial" w:cs="Arial"/>
          <w:sz w:val="24"/>
          <w:szCs w:val="24"/>
        </w:rPr>
        <w:t xml:space="preserve"> El prestador del servicio debe acreditar que cuenta con experiencia no menor a dos (2) años en la prestación del servicio público de distribución de gas combustible por redes o de transporte de gas combustible a través de un gasoducto ramal y/o sistema regional de transporte.</w:t>
      </w:r>
    </w:p>
    <w:p w14:paraId="0C0CD5E4" w14:textId="77777777" w:rsidR="00FF70FC" w:rsidRPr="009732D2" w:rsidRDefault="00FF70FC" w:rsidP="008E39FD">
      <w:pPr>
        <w:pStyle w:val="Prrafodelista"/>
        <w:tabs>
          <w:tab w:val="left" w:pos="4474"/>
        </w:tabs>
        <w:spacing w:after="0"/>
        <w:jc w:val="both"/>
        <w:rPr>
          <w:rFonts w:ascii="Arial" w:hAnsi="Arial" w:cs="Arial"/>
          <w:sz w:val="24"/>
          <w:szCs w:val="24"/>
        </w:rPr>
      </w:pPr>
    </w:p>
    <w:p w14:paraId="63763590" w14:textId="77777777" w:rsidR="00FF70FC" w:rsidRPr="007A6730" w:rsidRDefault="00FF70FC" w:rsidP="008E39FD">
      <w:pPr>
        <w:tabs>
          <w:tab w:val="left" w:pos="4474"/>
        </w:tabs>
        <w:spacing w:after="0"/>
        <w:jc w:val="both"/>
        <w:rPr>
          <w:rFonts w:ascii="Arial" w:hAnsi="Arial" w:cs="Arial"/>
          <w:sz w:val="24"/>
          <w:szCs w:val="24"/>
        </w:rPr>
      </w:pPr>
      <w:r w:rsidRPr="007A6730">
        <w:rPr>
          <w:rFonts w:ascii="Arial" w:hAnsi="Arial" w:cs="Arial"/>
          <w:sz w:val="24"/>
          <w:szCs w:val="24"/>
        </w:rPr>
        <w:t>Para proyectos de infraestructura de Gasoductos ramales y/o Sistemas Regionales de Transporte de gas natural, se debe anexar:</w:t>
      </w:r>
    </w:p>
    <w:p w14:paraId="48F1B5D2" w14:textId="77777777" w:rsidR="00FF70FC" w:rsidRPr="009732D2" w:rsidRDefault="00FF70FC" w:rsidP="008E39FD">
      <w:pPr>
        <w:pStyle w:val="Prrafodelista"/>
        <w:tabs>
          <w:tab w:val="left" w:pos="4474"/>
        </w:tabs>
        <w:spacing w:after="0"/>
        <w:jc w:val="both"/>
        <w:rPr>
          <w:rFonts w:ascii="Arial" w:hAnsi="Arial" w:cs="Arial"/>
          <w:sz w:val="24"/>
          <w:szCs w:val="24"/>
        </w:rPr>
      </w:pPr>
    </w:p>
    <w:p w14:paraId="7BD91154"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a)</w:t>
      </w:r>
      <w:r w:rsidRPr="009732D2">
        <w:rPr>
          <w:rFonts w:ascii="Arial" w:hAnsi="Arial" w:cs="Arial"/>
          <w:sz w:val="24"/>
          <w:szCs w:val="24"/>
        </w:rPr>
        <w:t xml:space="preserve"> Características de la Franja a negociar por derechos de servidumbres (ancho y distancia).</w:t>
      </w:r>
    </w:p>
    <w:p w14:paraId="517AADC3" w14:textId="77777777" w:rsidR="00FF70FC" w:rsidRPr="007A6730" w:rsidRDefault="00FF70FC" w:rsidP="008E39FD">
      <w:pPr>
        <w:tabs>
          <w:tab w:val="left" w:pos="4474"/>
        </w:tabs>
        <w:spacing w:after="0"/>
        <w:jc w:val="both"/>
        <w:rPr>
          <w:rFonts w:ascii="Arial" w:hAnsi="Arial" w:cs="Arial"/>
          <w:sz w:val="24"/>
          <w:szCs w:val="24"/>
        </w:rPr>
      </w:pPr>
    </w:p>
    <w:p w14:paraId="6A69018E"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b)</w:t>
      </w:r>
      <w:r w:rsidRPr="009732D2">
        <w:rPr>
          <w:rFonts w:ascii="Arial" w:hAnsi="Arial" w:cs="Arial"/>
          <w:sz w:val="24"/>
          <w:szCs w:val="24"/>
        </w:rPr>
        <w:t xml:space="preserve"> Valor Estimado de la Franja de Servidumbre.</w:t>
      </w:r>
    </w:p>
    <w:p w14:paraId="596D9E1E" w14:textId="77777777" w:rsidR="00FF70FC" w:rsidRPr="009732D2" w:rsidRDefault="00FF70FC" w:rsidP="008E39FD">
      <w:pPr>
        <w:pStyle w:val="Prrafodelista"/>
        <w:tabs>
          <w:tab w:val="left" w:pos="4474"/>
        </w:tabs>
        <w:spacing w:after="0"/>
        <w:jc w:val="both"/>
        <w:rPr>
          <w:rFonts w:ascii="Arial" w:hAnsi="Arial" w:cs="Arial"/>
        </w:rPr>
      </w:pPr>
    </w:p>
    <w:p w14:paraId="5D57D690" w14:textId="77777777" w:rsidR="00FF70FC" w:rsidRPr="007A6730" w:rsidRDefault="00FF70FC" w:rsidP="008E39FD">
      <w:pPr>
        <w:tabs>
          <w:tab w:val="left" w:pos="4474"/>
        </w:tabs>
        <w:spacing w:after="0"/>
        <w:jc w:val="both"/>
        <w:rPr>
          <w:rFonts w:ascii="Arial" w:hAnsi="Arial" w:cs="Arial"/>
          <w:sz w:val="24"/>
          <w:szCs w:val="24"/>
        </w:rPr>
      </w:pPr>
      <w:r w:rsidRPr="007A6730">
        <w:rPr>
          <w:rFonts w:ascii="Arial" w:hAnsi="Arial" w:cs="Arial"/>
          <w:sz w:val="24"/>
          <w:szCs w:val="24"/>
        </w:rPr>
        <w:t>Estudios de preinversión, que soporte su viabilidad técnica y económica, el cual debe incluir como mínimo:</w:t>
      </w:r>
    </w:p>
    <w:p w14:paraId="0DCF4136" w14:textId="77777777" w:rsidR="00FF70FC" w:rsidRPr="009732D2" w:rsidRDefault="00FF70FC" w:rsidP="008E39FD">
      <w:pPr>
        <w:pStyle w:val="Prrafodelista"/>
        <w:tabs>
          <w:tab w:val="left" w:pos="4474"/>
        </w:tabs>
        <w:spacing w:after="0"/>
        <w:jc w:val="both"/>
        <w:rPr>
          <w:rFonts w:ascii="Arial" w:hAnsi="Arial" w:cs="Arial"/>
          <w:sz w:val="24"/>
          <w:szCs w:val="24"/>
        </w:rPr>
      </w:pPr>
    </w:p>
    <w:p w14:paraId="4B443872" w14:textId="77777777" w:rsidR="00621630" w:rsidRPr="009732D2" w:rsidRDefault="00FF70FC" w:rsidP="00621630">
      <w:pPr>
        <w:pStyle w:val="Prrafodelista"/>
        <w:tabs>
          <w:tab w:val="left" w:pos="4474"/>
        </w:tabs>
        <w:spacing w:after="0"/>
        <w:jc w:val="both"/>
        <w:rPr>
          <w:rFonts w:ascii="Arial" w:hAnsi="Arial" w:cs="Arial"/>
          <w:sz w:val="24"/>
          <w:szCs w:val="24"/>
        </w:rPr>
      </w:pPr>
      <w:r w:rsidRPr="00621630">
        <w:rPr>
          <w:rFonts w:ascii="Arial" w:hAnsi="Arial" w:cs="Arial"/>
          <w:sz w:val="24"/>
          <w:szCs w:val="24"/>
        </w:rPr>
        <w:t>a)</w:t>
      </w:r>
      <w:r w:rsidRPr="009732D2">
        <w:rPr>
          <w:rFonts w:ascii="Arial" w:hAnsi="Arial" w:cs="Arial"/>
          <w:sz w:val="24"/>
          <w:szCs w:val="24"/>
        </w:rPr>
        <w:t xml:space="preserve"> Estudio de Suelos. (</w:t>
      </w:r>
      <w:r w:rsidR="00621630">
        <w:rPr>
          <w:rFonts w:ascii="Arial" w:hAnsi="Arial" w:cs="Arial"/>
          <w:sz w:val="24"/>
          <w:szCs w:val="24"/>
        </w:rPr>
        <w:t>De acuerdo con la normatividad vigente aplicable</w:t>
      </w:r>
      <w:r w:rsidR="00621630" w:rsidRPr="009732D2">
        <w:rPr>
          <w:rFonts w:ascii="Arial" w:hAnsi="Arial" w:cs="Arial"/>
          <w:sz w:val="24"/>
          <w:szCs w:val="24"/>
        </w:rPr>
        <w:t>).</w:t>
      </w:r>
    </w:p>
    <w:p w14:paraId="607A3DC5" w14:textId="77777777" w:rsidR="00FF70FC" w:rsidRPr="00621630" w:rsidRDefault="00FF70FC" w:rsidP="008E39FD">
      <w:pPr>
        <w:pStyle w:val="Prrafodelista"/>
        <w:tabs>
          <w:tab w:val="left" w:pos="4474"/>
        </w:tabs>
        <w:spacing w:after="0"/>
        <w:jc w:val="both"/>
        <w:rPr>
          <w:rFonts w:ascii="Arial" w:hAnsi="Arial" w:cs="Arial"/>
          <w:sz w:val="24"/>
          <w:szCs w:val="24"/>
        </w:rPr>
      </w:pPr>
    </w:p>
    <w:p w14:paraId="4CA09957" w14:textId="77777777" w:rsidR="00FF70FC" w:rsidRPr="00621630"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b) Estudio de Mercado.</w:t>
      </w:r>
    </w:p>
    <w:p w14:paraId="4827723A" w14:textId="77777777" w:rsidR="00FF70FC" w:rsidRPr="00621630" w:rsidRDefault="00FF70FC" w:rsidP="008E39FD">
      <w:pPr>
        <w:pStyle w:val="Prrafodelista"/>
        <w:tabs>
          <w:tab w:val="left" w:pos="4474"/>
        </w:tabs>
        <w:spacing w:after="0"/>
        <w:jc w:val="both"/>
        <w:rPr>
          <w:rFonts w:ascii="Arial" w:hAnsi="Arial" w:cs="Arial"/>
          <w:sz w:val="24"/>
          <w:szCs w:val="24"/>
        </w:rPr>
      </w:pPr>
    </w:p>
    <w:p w14:paraId="2C55E9D2" w14:textId="01E140C2" w:rsidR="00FF70FC" w:rsidRPr="00621630"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 xml:space="preserve">c) Viviendas actuales del </w:t>
      </w:r>
      <w:commentRangeStart w:id="85"/>
      <w:r w:rsidRPr="00621630">
        <w:rPr>
          <w:rFonts w:ascii="Arial" w:hAnsi="Arial" w:cs="Arial"/>
          <w:sz w:val="24"/>
          <w:szCs w:val="24"/>
        </w:rPr>
        <w:t>municipio</w:t>
      </w:r>
      <w:commentRangeEnd w:id="85"/>
      <w:r w:rsidR="00621630" w:rsidRPr="00621630">
        <w:rPr>
          <w:rStyle w:val="Refdecomentario"/>
          <w:rFonts w:ascii="Arial" w:hAnsi="Arial" w:cs="Arial"/>
          <w:sz w:val="24"/>
          <w:szCs w:val="24"/>
        </w:rPr>
        <w:commentReference w:id="85"/>
      </w:r>
      <w:r w:rsidRPr="00621630">
        <w:rPr>
          <w:rFonts w:ascii="Arial" w:hAnsi="Arial" w:cs="Arial"/>
          <w:sz w:val="24"/>
          <w:szCs w:val="24"/>
        </w:rPr>
        <w:t>.</w:t>
      </w:r>
    </w:p>
    <w:p w14:paraId="76F7F374" w14:textId="77777777" w:rsidR="00FF70FC" w:rsidRPr="00621630" w:rsidRDefault="00FF70FC" w:rsidP="008E39FD">
      <w:pPr>
        <w:pStyle w:val="Prrafodelista"/>
        <w:tabs>
          <w:tab w:val="left" w:pos="4474"/>
        </w:tabs>
        <w:spacing w:after="0"/>
        <w:jc w:val="both"/>
        <w:rPr>
          <w:rFonts w:ascii="Arial" w:hAnsi="Arial" w:cs="Arial"/>
          <w:sz w:val="24"/>
          <w:szCs w:val="24"/>
        </w:rPr>
      </w:pPr>
    </w:p>
    <w:p w14:paraId="2143A500" w14:textId="77777777" w:rsidR="00FF70FC" w:rsidRPr="00621630"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d) Proyección de viviendas a 20 años.</w:t>
      </w:r>
    </w:p>
    <w:p w14:paraId="3B1DAE38" w14:textId="77777777" w:rsidR="00FF70FC" w:rsidRPr="00621630" w:rsidRDefault="00FF70FC" w:rsidP="008E39FD">
      <w:pPr>
        <w:pStyle w:val="Prrafodelista"/>
        <w:tabs>
          <w:tab w:val="left" w:pos="4474"/>
        </w:tabs>
        <w:spacing w:after="0"/>
        <w:jc w:val="both"/>
        <w:rPr>
          <w:rFonts w:ascii="Arial" w:hAnsi="Arial" w:cs="Arial"/>
          <w:sz w:val="24"/>
          <w:szCs w:val="24"/>
        </w:rPr>
      </w:pPr>
    </w:p>
    <w:p w14:paraId="7CB15D2D" w14:textId="77777777" w:rsidR="00FF70FC" w:rsidRPr="00621630"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e) Estudios socioeconómicos de la población, para los sectores residencial, oficial, comercial e industrial.</w:t>
      </w:r>
    </w:p>
    <w:p w14:paraId="3B508873" w14:textId="77777777" w:rsidR="00FF70FC" w:rsidRPr="00621630" w:rsidRDefault="00FF70FC" w:rsidP="008E39FD">
      <w:pPr>
        <w:tabs>
          <w:tab w:val="left" w:pos="4474"/>
        </w:tabs>
        <w:spacing w:after="0"/>
        <w:jc w:val="both"/>
        <w:rPr>
          <w:rFonts w:ascii="Arial" w:hAnsi="Arial" w:cs="Arial"/>
          <w:sz w:val="24"/>
          <w:szCs w:val="24"/>
        </w:rPr>
      </w:pPr>
    </w:p>
    <w:p w14:paraId="1B8F7C6C" w14:textId="77777777" w:rsidR="00FF70FC" w:rsidRPr="00621630"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f) Demanda anual de gas proyectada a 20 años, se debe presentar con los consumos diferenciados por sector residencial, oficial, comercial e industrial.</w:t>
      </w:r>
    </w:p>
    <w:p w14:paraId="6AA4EA23" w14:textId="77777777" w:rsidR="00FF70FC" w:rsidRPr="00621630" w:rsidRDefault="00FF70FC" w:rsidP="008E39FD">
      <w:pPr>
        <w:pStyle w:val="Prrafodelista"/>
        <w:tabs>
          <w:tab w:val="left" w:pos="4474"/>
        </w:tabs>
        <w:spacing w:after="0"/>
        <w:jc w:val="both"/>
        <w:rPr>
          <w:rFonts w:ascii="Arial" w:hAnsi="Arial" w:cs="Arial"/>
          <w:sz w:val="24"/>
          <w:szCs w:val="24"/>
        </w:rPr>
      </w:pPr>
    </w:p>
    <w:p w14:paraId="53B735AD" w14:textId="77777777" w:rsidR="00FF70FC" w:rsidRPr="00621630"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g) Consumo promedio mensual de gas combustible para los sectores residencial, oficial, comercial e industrial.</w:t>
      </w:r>
    </w:p>
    <w:p w14:paraId="36931C71" w14:textId="77777777" w:rsidR="00FF70FC" w:rsidRPr="00621630" w:rsidRDefault="00FF70FC" w:rsidP="008E39FD">
      <w:pPr>
        <w:pStyle w:val="Prrafodelista"/>
        <w:tabs>
          <w:tab w:val="left" w:pos="4474"/>
        </w:tabs>
        <w:spacing w:after="0"/>
        <w:jc w:val="both"/>
        <w:rPr>
          <w:rFonts w:ascii="Arial" w:hAnsi="Arial" w:cs="Arial"/>
          <w:sz w:val="24"/>
          <w:szCs w:val="24"/>
        </w:rPr>
      </w:pPr>
    </w:p>
    <w:p w14:paraId="44B6F8C9" w14:textId="77777777" w:rsidR="00FF70FC" w:rsidRPr="009732D2" w:rsidRDefault="00FF70FC" w:rsidP="008E39FD">
      <w:pPr>
        <w:pStyle w:val="Prrafodelista"/>
        <w:tabs>
          <w:tab w:val="left" w:pos="4474"/>
        </w:tabs>
        <w:spacing w:after="0"/>
        <w:jc w:val="both"/>
        <w:rPr>
          <w:rFonts w:ascii="Arial" w:hAnsi="Arial" w:cs="Arial"/>
          <w:sz w:val="24"/>
          <w:szCs w:val="24"/>
        </w:rPr>
      </w:pPr>
      <w:r w:rsidRPr="00621630">
        <w:rPr>
          <w:rFonts w:ascii="Arial" w:hAnsi="Arial" w:cs="Arial"/>
          <w:sz w:val="24"/>
          <w:szCs w:val="24"/>
        </w:rPr>
        <w:t>h) Certificado de viabilidad del modelo de negocio frente a otros sustitutos energéticos por parte del representante</w:t>
      </w:r>
      <w:r w:rsidRPr="009732D2">
        <w:rPr>
          <w:rFonts w:ascii="Arial" w:hAnsi="Arial" w:cs="Arial"/>
          <w:sz w:val="24"/>
          <w:szCs w:val="24"/>
        </w:rPr>
        <w:t xml:space="preserve"> legal del Solicitante.</w:t>
      </w:r>
    </w:p>
    <w:p w14:paraId="3A7319C7" w14:textId="77777777" w:rsidR="00FF70FC" w:rsidRPr="009732D2" w:rsidRDefault="00FF70FC" w:rsidP="008E39FD">
      <w:pPr>
        <w:pStyle w:val="Prrafodelista"/>
        <w:tabs>
          <w:tab w:val="left" w:pos="4474"/>
        </w:tabs>
        <w:spacing w:after="0"/>
        <w:jc w:val="both"/>
        <w:rPr>
          <w:rFonts w:ascii="Arial" w:hAnsi="Arial" w:cs="Arial"/>
          <w:sz w:val="24"/>
          <w:szCs w:val="24"/>
        </w:rPr>
      </w:pPr>
    </w:p>
    <w:p w14:paraId="6CB0AA34" w14:textId="77777777" w:rsidR="00FF70FC" w:rsidRPr="007A6730" w:rsidRDefault="00FF70FC" w:rsidP="008E39FD">
      <w:pPr>
        <w:tabs>
          <w:tab w:val="left" w:pos="4474"/>
        </w:tabs>
        <w:spacing w:after="0"/>
        <w:jc w:val="both"/>
        <w:rPr>
          <w:rFonts w:ascii="Arial" w:hAnsi="Arial" w:cs="Arial"/>
          <w:sz w:val="24"/>
          <w:szCs w:val="24"/>
        </w:rPr>
      </w:pPr>
      <w:r>
        <w:rPr>
          <w:rFonts w:ascii="Arial" w:hAnsi="Arial" w:cs="Arial"/>
          <w:sz w:val="24"/>
          <w:szCs w:val="24"/>
        </w:rPr>
        <w:t>Lo anterior, n</w:t>
      </w:r>
      <w:r w:rsidRPr="007A6730">
        <w:rPr>
          <w:rFonts w:ascii="Arial" w:hAnsi="Arial" w:cs="Arial"/>
          <w:sz w:val="24"/>
          <w:szCs w:val="24"/>
        </w:rPr>
        <w:t>o aplica para proyectos que busquen adelantar la construcción de Conexiones y/o de Redes Internas.</w:t>
      </w:r>
    </w:p>
    <w:p w14:paraId="507E6E99" w14:textId="77777777" w:rsidR="00FF70FC" w:rsidRPr="009732D2" w:rsidRDefault="00FF70FC" w:rsidP="008E39FD">
      <w:pPr>
        <w:pStyle w:val="Prrafodelista"/>
        <w:tabs>
          <w:tab w:val="left" w:pos="4474"/>
        </w:tabs>
        <w:spacing w:after="0"/>
        <w:jc w:val="both"/>
        <w:rPr>
          <w:rFonts w:ascii="Arial" w:hAnsi="Arial" w:cs="Arial"/>
          <w:sz w:val="24"/>
          <w:szCs w:val="24"/>
        </w:rPr>
      </w:pPr>
    </w:p>
    <w:p w14:paraId="1D65B807" w14:textId="4A4CCC4B" w:rsidR="00FF70FC" w:rsidRPr="009732D2" w:rsidRDefault="00FF70FC" w:rsidP="00DC2088">
      <w:pPr>
        <w:tabs>
          <w:tab w:val="left" w:pos="4474"/>
        </w:tabs>
        <w:spacing w:after="0"/>
        <w:jc w:val="both"/>
        <w:rPr>
          <w:rFonts w:ascii="Arial" w:hAnsi="Arial" w:cs="Arial"/>
          <w:sz w:val="24"/>
          <w:szCs w:val="24"/>
        </w:rPr>
      </w:pPr>
      <w:r w:rsidRPr="00DC2088">
        <w:rPr>
          <w:rFonts w:ascii="Arial" w:hAnsi="Arial" w:cs="Arial"/>
          <w:b/>
          <w:bCs/>
          <w:sz w:val="24"/>
          <w:szCs w:val="24"/>
        </w:rPr>
        <w:t xml:space="preserve">Nota </w:t>
      </w:r>
      <w:r w:rsidR="00DC2088" w:rsidRPr="00DC2088">
        <w:rPr>
          <w:rFonts w:ascii="Arial" w:hAnsi="Arial" w:cs="Arial"/>
          <w:b/>
          <w:bCs/>
          <w:sz w:val="24"/>
          <w:szCs w:val="24"/>
        </w:rPr>
        <w:t>Especial</w:t>
      </w:r>
      <w:r w:rsidRPr="009732D2">
        <w:rPr>
          <w:rFonts w:ascii="Arial" w:hAnsi="Arial" w:cs="Arial"/>
          <w:b/>
          <w:bCs/>
          <w:sz w:val="24"/>
          <w:szCs w:val="24"/>
        </w:rPr>
        <w:t xml:space="preserve"> 1:</w:t>
      </w:r>
      <w:r w:rsidRPr="009732D2">
        <w:rPr>
          <w:rFonts w:ascii="Arial" w:hAnsi="Arial" w:cs="Arial"/>
          <w:sz w:val="24"/>
          <w:szCs w:val="24"/>
        </w:rPr>
        <w:t xml:space="preserve"> Todos los certificados </w:t>
      </w:r>
      <w:r w:rsidRPr="00621630">
        <w:rPr>
          <w:rFonts w:ascii="Arial" w:hAnsi="Arial" w:cs="Arial"/>
          <w:sz w:val="24"/>
          <w:szCs w:val="24"/>
          <w:highlight w:val="yellow"/>
        </w:rPr>
        <w:t>de los que trata este numeral</w:t>
      </w:r>
      <w:r w:rsidRPr="009732D2">
        <w:rPr>
          <w:rFonts w:ascii="Arial" w:hAnsi="Arial" w:cs="Arial"/>
          <w:sz w:val="24"/>
          <w:szCs w:val="24"/>
        </w:rPr>
        <w:t xml:space="preserve"> deben haber sido expedidos con una antelación no mayor de seis (6) meses, contados desde la fecha de presentación del proyecto ante </w:t>
      </w:r>
      <w:r>
        <w:rPr>
          <w:rFonts w:ascii="Arial" w:hAnsi="Arial" w:cs="Arial"/>
          <w:sz w:val="24"/>
          <w:szCs w:val="24"/>
        </w:rPr>
        <w:t>el FONENERGÍA</w:t>
      </w:r>
      <w:r w:rsidRPr="009732D2">
        <w:rPr>
          <w:rFonts w:ascii="Arial" w:hAnsi="Arial" w:cs="Arial"/>
          <w:sz w:val="24"/>
          <w:szCs w:val="24"/>
        </w:rPr>
        <w:t>, a excepción de los que se solicitan con una fecha de expedición no mayor a 30 días.</w:t>
      </w:r>
    </w:p>
    <w:p w14:paraId="6251B337" w14:textId="77777777" w:rsidR="00FF70FC" w:rsidRPr="009732D2" w:rsidRDefault="00FF70FC" w:rsidP="008E39FD">
      <w:pPr>
        <w:pStyle w:val="Prrafodelista"/>
        <w:tabs>
          <w:tab w:val="left" w:pos="4474"/>
        </w:tabs>
        <w:spacing w:after="0"/>
        <w:jc w:val="both"/>
        <w:rPr>
          <w:rFonts w:ascii="Arial" w:hAnsi="Arial" w:cs="Arial"/>
          <w:sz w:val="24"/>
          <w:szCs w:val="24"/>
        </w:rPr>
      </w:pPr>
    </w:p>
    <w:p w14:paraId="73553A8A" w14:textId="7179E278" w:rsidR="00FF70FC" w:rsidRPr="009732D2" w:rsidRDefault="00FF70FC" w:rsidP="00DC2088">
      <w:pPr>
        <w:tabs>
          <w:tab w:val="left" w:pos="4474"/>
        </w:tabs>
        <w:spacing w:after="0"/>
        <w:jc w:val="both"/>
        <w:rPr>
          <w:rFonts w:ascii="Arial" w:hAnsi="Arial" w:cs="Arial"/>
          <w:b/>
          <w:bCs/>
          <w:sz w:val="24"/>
          <w:szCs w:val="24"/>
        </w:rPr>
      </w:pPr>
      <w:r w:rsidRPr="005A29A5">
        <w:rPr>
          <w:rFonts w:ascii="Arial" w:hAnsi="Arial" w:cs="Arial"/>
          <w:b/>
          <w:sz w:val="24"/>
          <w:szCs w:val="24"/>
        </w:rPr>
        <w:lastRenderedPageBreak/>
        <w:t xml:space="preserve">Nota </w:t>
      </w:r>
      <w:r w:rsidR="00DC2088" w:rsidRPr="005A29A5">
        <w:rPr>
          <w:rFonts w:ascii="Arial" w:hAnsi="Arial" w:cs="Arial"/>
          <w:b/>
          <w:sz w:val="24"/>
          <w:szCs w:val="24"/>
        </w:rPr>
        <w:t>Especial</w:t>
      </w:r>
      <w:r w:rsidRPr="005A29A5">
        <w:rPr>
          <w:rFonts w:ascii="Arial" w:hAnsi="Arial" w:cs="Arial"/>
          <w:b/>
          <w:sz w:val="24"/>
          <w:szCs w:val="24"/>
        </w:rPr>
        <w:t xml:space="preserve"> 2:</w:t>
      </w:r>
      <w:r w:rsidRPr="005A29A5">
        <w:rPr>
          <w:rFonts w:ascii="Arial" w:hAnsi="Arial" w:cs="Arial"/>
          <w:sz w:val="24"/>
          <w:szCs w:val="24"/>
        </w:rPr>
        <w:t xml:space="preserve"> Según aplique, el solicitante deberá utilizar los </w:t>
      </w:r>
      <w:r w:rsidRPr="007A6730">
        <w:rPr>
          <w:rFonts w:ascii="Arial" w:hAnsi="Arial" w:cs="Arial"/>
          <w:sz w:val="24"/>
          <w:szCs w:val="24"/>
          <w:highlight w:val="yellow"/>
        </w:rPr>
        <w:t>formatos</w:t>
      </w:r>
      <w:r w:rsidRPr="005A29A5">
        <w:rPr>
          <w:rFonts w:ascii="Arial" w:hAnsi="Arial" w:cs="Arial"/>
          <w:sz w:val="24"/>
          <w:szCs w:val="24"/>
        </w:rPr>
        <w:t xml:space="preserve"> contenidos en el Anexo de este Manual.</w:t>
      </w:r>
    </w:p>
    <w:p w14:paraId="27B3C01D" w14:textId="77777777" w:rsidR="00FF70FC" w:rsidRPr="009732D2" w:rsidRDefault="00FF70FC" w:rsidP="008E39FD">
      <w:pPr>
        <w:pStyle w:val="Prrafodelista"/>
        <w:tabs>
          <w:tab w:val="left" w:pos="4474"/>
        </w:tabs>
        <w:spacing w:after="0"/>
        <w:jc w:val="both"/>
        <w:rPr>
          <w:rFonts w:ascii="Arial" w:hAnsi="Arial" w:cs="Arial"/>
          <w:b/>
          <w:bCs/>
          <w:sz w:val="24"/>
          <w:szCs w:val="24"/>
        </w:rPr>
      </w:pPr>
    </w:p>
    <w:p w14:paraId="35DDD54E" w14:textId="26188E52" w:rsidR="00FF70FC" w:rsidRPr="009732D2" w:rsidRDefault="00FF70FC" w:rsidP="00DC2088">
      <w:pPr>
        <w:spacing w:after="0"/>
        <w:jc w:val="both"/>
        <w:rPr>
          <w:rFonts w:ascii="Arial" w:eastAsia="Times New Roman" w:hAnsi="Arial" w:cs="Arial"/>
          <w:sz w:val="24"/>
          <w:szCs w:val="24"/>
        </w:rPr>
      </w:pPr>
      <w:r w:rsidRPr="00DC2088">
        <w:rPr>
          <w:rFonts w:ascii="Arial" w:hAnsi="Arial" w:cs="Arial"/>
          <w:b/>
          <w:bCs/>
          <w:sz w:val="24"/>
          <w:szCs w:val="24"/>
        </w:rPr>
        <w:t xml:space="preserve">Nota </w:t>
      </w:r>
      <w:r w:rsidR="00DC2088">
        <w:rPr>
          <w:rFonts w:ascii="Arial" w:hAnsi="Arial" w:cs="Arial"/>
          <w:b/>
          <w:bCs/>
          <w:sz w:val="24"/>
          <w:szCs w:val="24"/>
        </w:rPr>
        <w:t>Especial</w:t>
      </w:r>
      <w:r w:rsidRPr="009732D2">
        <w:rPr>
          <w:rFonts w:ascii="Arial" w:hAnsi="Arial" w:cs="Arial"/>
          <w:b/>
          <w:bCs/>
          <w:sz w:val="24"/>
          <w:szCs w:val="24"/>
        </w:rPr>
        <w:t xml:space="preserve"> 3: </w:t>
      </w:r>
      <w:r w:rsidRPr="009732D2">
        <w:rPr>
          <w:rFonts w:ascii="Arial" w:eastAsia="Times New Roman" w:hAnsi="Arial" w:cs="Arial"/>
          <w:sz w:val="24"/>
          <w:szCs w:val="24"/>
        </w:rPr>
        <w:t xml:space="preserve">Para el caso de los proyectos que no cumplan con los requisitos definidos en el presente Manual, o el documento que lo modifique o sustituya, el FONENERGÍA deberá notificar al solicitante para que realice la respectiva subsanación </w:t>
      </w:r>
      <w:r w:rsidR="00621630">
        <w:rPr>
          <w:rFonts w:ascii="Arial" w:eastAsia="Times New Roman" w:hAnsi="Arial" w:cs="Arial"/>
          <w:sz w:val="24"/>
          <w:szCs w:val="24"/>
        </w:rPr>
        <w:t>y, de considerarlo, lo podrá presentar nuevamente</w:t>
      </w:r>
      <w:r w:rsidRPr="009732D2">
        <w:rPr>
          <w:rFonts w:ascii="Arial" w:eastAsia="Times New Roman" w:hAnsi="Arial" w:cs="Arial"/>
          <w:sz w:val="24"/>
          <w:szCs w:val="24"/>
        </w:rPr>
        <w:t>.</w:t>
      </w:r>
    </w:p>
    <w:p w14:paraId="1A4CD0BA" w14:textId="77777777" w:rsidR="00FF70FC" w:rsidRPr="009732D2" w:rsidRDefault="00FF70FC" w:rsidP="008E39FD">
      <w:pPr>
        <w:pStyle w:val="Prrafodelista"/>
        <w:spacing w:after="0"/>
        <w:jc w:val="both"/>
        <w:rPr>
          <w:rFonts w:ascii="Arial" w:eastAsia="Times New Roman" w:hAnsi="Arial" w:cs="Arial"/>
          <w:sz w:val="24"/>
          <w:szCs w:val="24"/>
        </w:rPr>
      </w:pPr>
    </w:p>
    <w:p w14:paraId="0FF03CAD" w14:textId="77777777" w:rsidR="00FF70FC" w:rsidRPr="009732D2" w:rsidRDefault="00FF70FC" w:rsidP="00DC2088">
      <w:pPr>
        <w:spacing w:after="0"/>
        <w:jc w:val="both"/>
        <w:rPr>
          <w:rFonts w:ascii="Arial" w:eastAsia="Times New Roman" w:hAnsi="Arial" w:cs="Arial"/>
          <w:sz w:val="24"/>
          <w:szCs w:val="24"/>
        </w:rPr>
      </w:pPr>
      <w:r w:rsidRPr="009732D2">
        <w:rPr>
          <w:rFonts w:ascii="Arial" w:eastAsia="Times New Roman" w:hAnsi="Arial" w:cs="Arial"/>
          <w:sz w:val="24"/>
          <w:szCs w:val="24"/>
        </w:rPr>
        <w:t>En caso de no presentarse la subsanación solicitada en el plazo establecido, el proyecto será rechazado y devuelto por el FONENERGÍA al solicitante.</w:t>
      </w:r>
    </w:p>
    <w:p w14:paraId="0E5468CE" w14:textId="77777777" w:rsidR="00FF70FC" w:rsidRPr="007A6730" w:rsidRDefault="00FF70FC" w:rsidP="008E39FD">
      <w:pPr>
        <w:spacing w:after="0"/>
        <w:jc w:val="both"/>
        <w:rPr>
          <w:rFonts w:ascii="Arial" w:eastAsia="Times New Roman" w:hAnsi="Arial" w:cs="Arial"/>
          <w:sz w:val="24"/>
          <w:szCs w:val="24"/>
        </w:rPr>
      </w:pPr>
    </w:p>
    <w:p w14:paraId="574563E7" w14:textId="38A810FA" w:rsidR="00FF70FC" w:rsidRPr="009732D2" w:rsidRDefault="00FF70FC" w:rsidP="00DC2088">
      <w:pPr>
        <w:spacing w:after="0"/>
        <w:jc w:val="both"/>
        <w:rPr>
          <w:rFonts w:ascii="Arial" w:eastAsia="Times New Roman" w:hAnsi="Arial" w:cs="Arial"/>
          <w:sz w:val="24"/>
          <w:szCs w:val="24"/>
        </w:rPr>
      </w:pPr>
      <w:r w:rsidRPr="009732D2">
        <w:rPr>
          <w:rFonts w:ascii="Arial" w:eastAsia="Times New Roman" w:hAnsi="Arial" w:cs="Arial"/>
          <w:sz w:val="24"/>
          <w:szCs w:val="24"/>
        </w:rPr>
        <w:t xml:space="preserve">Si el Proyecto es rechazado, este podrá ser presentado de nuevo en </w:t>
      </w:r>
      <w:r w:rsidR="00BB79F1">
        <w:rPr>
          <w:rFonts w:ascii="Arial" w:eastAsia="Times New Roman" w:hAnsi="Arial" w:cs="Arial"/>
          <w:sz w:val="24"/>
          <w:szCs w:val="24"/>
        </w:rPr>
        <w:t>el</w:t>
      </w:r>
      <w:r w:rsidRPr="009732D2">
        <w:rPr>
          <w:rFonts w:ascii="Arial" w:eastAsia="Times New Roman" w:hAnsi="Arial" w:cs="Arial"/>
          <w:sz w:val="24"/>
          <w:szCs w:val="24"/>
        </w:rPr>
        <w:t xml:space="preserve"> siguiente </w:t>
      </w:r>
      <w:r w:rsidR="00BB79F1">
        <w:rPr>
          <w:rFonts w:ascii="Arial" w:eastAsia="Times New Roman" w:hAnsi="Arial" w:cs="Arial"/>
          <w:sz w:val="24"/>
          <w:szCs w:val="24"/>
        </w:rPr>
        <w:t>periodo</w:t>
      </w:r>
      <w:r w:rsidRPr="009732D2">
        <w:rPr>
          <w:rFonts w:ascii="Arial" w:eastAsia="Times New Roman" w:hAnsi="Arial" w:cs="Arial"/>
          <w:sz w:val="24"/>
          <w:szCs w:val="24"/>
        </w:rPr>
        <w:t>.</w:t>
      </w:r>
    </w:p>
    <w:p w14:paraId="1C16702F" w14:textId="77777777" w:rsidR="00FF70FC" w:rsidRPr="009732D2" w:rsidRDefault="00FF70FC" w:rsidP="008E39FD">
      <w:pPr>
        <w:pStyle w:val="Prrafodelista"/>
        <w:spacing w:after="0"/>
        <w:jc w:val="both"/>
        <w:rPr>
          <w:rFonts w:ascii="Arial" w:eastAsia="Times New Roman" w:hAnsi="Arial" w:cs="Arial"/>
          <w:sz w:val="24"/>
          <w:szCs w:val="24"/>
        </w:rPr>
      </w:pPr>
    </w:p>
    <w:p w14:paraId="23DA77B1" w14:textId="5647B79D" w:rsidR="00FF70FC" w:rsidRPr="009732D2" w:rsidRDefault="00FF70FC" w:rsidP="00DC2088">
      <w:pPr>
        <w:spacing w:after="0"/>
        <w:jc w:val="both"/>
        <w:rPr>
          <w:rFonts w:ascii="Arial" w:eastAsia="Times New Roman" w:hAnsi="Arial" w:cs="Arial"/>
          <w:sz w:val="24"/>
          <w:szCs w:val="24"/>
        </w:rPr>
      </w:pPr>
      <w:r w:rsidRPr="00C61171">
        <w:rPr>
          <w:rFonts w:ascii="Arial" w:eastAsia="Times New Roman" w:hAnsi="Arial" w:cs="Arial"/>
          <w:b/>
          <w:sz w:val="24"/>
          <w:szCs w:val="24"/>
        </w:rPr>
        <w:t xml:space="preserve">Nota </w:t>
      </w:r>
      <w:r w:rsidR="00DC2088" w:rsidRPr="00C61171">
        <w:rPr>
          <w:rFonts w:ascii="Arial" w:eastAsia="Times New Roman" w:hAnsi="Arial" w:cs="Arial"/>
          <w:b/>
          <w:sz w:val="24"/>
          <w:szCs w:val="24"/>
        </w:rPr>
        <w:t xml:space="preserve">Especial </w:t>
      </w:r>
      <w:r w:rsidRPr="00C61171">
        <w:rPr>
          <w:rFonts w:ascii="Arial" w:eastAsia="Times New Roman" w:hAnsi="Arial" w:cs="Arial"/>
          <w:b/>
          <w:sz w:val="24"/>
          <w:szCs w:val="24"/>
        </w:rPr>
        <w:t>4.</w:t>
      </w:r>
      <w:r w:rsidRPr="00C61171">
        <w:rPr>
          <w:rFonts w:ascii="Arial" w:eastAsia="Times New Roman" w:hAnsi="Arial" w:cs="Arial"/>
          <w:sz w:val="24"/>
          <w:szCs w:val="24"/>
        </w:rPr>
        <w:t xml:space="preserve"> Aquellos proyectos a los que no se les apruebe la cofinanciación por falta de disponibilidad de recursos en determinada vigencia, podrán ser actualizados por parte del solicitante y presentados al FONENERGÍA para </w:t>
      </w:r>
      <w:r w:rsidR="00BB79F1">
        <w:rPr>
          <w:rFonts w:ascii="Arial" w:eastAsia="Times New Roman" w:hAnsi="Arial" w:cs="Arial"/>
          <w:sz w:val="24"/>
          <w:szCs w:val="24"/>
        </w:rPr>
        <w:t>el</w:t>
      </w:r>
      <w:r w:rsidRPr="00C61171">
        <w:rPr>
          <w:rFonts w:ascii="Arial" w:eastAsia="Times New Roman" w:hAnsi="Arial" w:cs="Arial"/>
          <w:sz w:val="24"/>
          <w:szCs w:val="24"/>
        </w:rPr>
        <w:t xml:space="preserve"> siguiente </w:t>
      </w:r>
      <w:r w:rsidR="00BB79F1">
        <w:rPr>
          <w:rFonts w:ascii="Arial" w:eastAsia="Times New Roman" w:hAnsi="Arial" w:cs="Arial"/>
          <w:sz w:val="24"/>
          <w:szCs w:val="24"/>
        </w:rPr>
        <w:t>periodo</w:t>
      </w:r>
      <w:r w:rsidRPr="00C61171">
        <w:rPr>
          <w:rFonts w:ascii="Arial" w:eastAsia="Times New Roman" w:hAnsi="Arial" w:cs="Arial"/>
          <w:sz w:val="24"/>
          <w:szCs w:val="24"/>
        </w:rPr>
        <w:t>.</w:t>
      </w:r>
    </w:p>
    <w:p w14:paraId="30C0FFFD" w14:textId="77777777" w:rsidR="00EC5774" w:rsidRPr="00C63186" w:rsidRDefault="00EC5774" w:rsidP="008E39FD">
      <w:pPr>
        <w:spacing w:after="0"/>
        <w:ind w:left="360"/>
        <w:jc w:val="both"/>
        <w:rPr>
          <w:rFonts w:ascii="Arial" w:hAnsi="Arial" w:cs="Arial"/>
          <w:sz w:val="24"/>
          <w:szCs w:val="24"/>
        </w:rPr>
      </w:pPr>
    </w:p>
    <w:p w14:paraId="27A77C78" w14:textId="77777777" w:rsidR="009855B4" w:rsidRDefault="009855B4" w:rsidP="008E39FD">
      <w:pPr>
        <w:pStyle w:val="Prrafodelista"/>
        <w:spacing w:after="0"/>
        <w:jc w:val="both"/>
        <w:rPr>
          <w:rFonts w:ascii="Arial" w:eastAsia="Times New Roman" w:hAnsi="Arial" w:cs="Arial"/>
          <w:sz w:val="24"/>
          <w:szCs w:val="24"/>
          <w:lang w:eastAsia="es-MX"/>
        </w:rPr>
      </w:pPr>
    </w:p>
    <w:p w14:paraId="0860797A" w14:textId="3D73BCB2" w:rsidR="00B37C09" w:rsidRPr="00E82DCB" w:rsidRDefault="009855B4" w:rsidP="00E82DCB">
      <w:pPr>
        <w:pStyle w:val="Ttulo3"/>
        <w:ind w:left="720" w:hanging="720"/>
        <w:jc w:val="center"/>
        <w:rPr>
          <w:lang w:eastAsia="es-MX"/>
        </w:rPr>
      </w:pPr>
      <w:bookmarkStart w:id="86" w:name="_Toc224844318"/>
      <w:r>
        <w:rPr>
          <w:lang w:eastAsia="es-MX"/>
        </w:rPr>
        <w:t xml:space="preserve">CAPÍTULO </w:t>
      </w:r>
      <w:r w:rsidR="00B37C09">
        <w:rPr>
          <w:lang w:eastAsia="es-MX"/>
        </w:rPr>
        <w:t>III</w:t>
      </w:r>
      <w:bookmarkEnd w:id="86"/>
    </w:p>
    <w:p w14:paraId="7684512A" w14:textId="1C1AC94A" w:rsidR="009855B4" w:rsidRPr="00B03685" w:rsidRDefault="001C2088" w:rsidP="00E82DCB">
      <w:pPr>
        <w:pStyle w:val="Ttulo4"/>
        <w:jc w:val="center"/>
        <w:rPr>
          <w:lang w:eastAsia="es-MX"/>
        </w:rPr>
      </w:pPr>
      <w:bookmarkStart w:id="87" w:name="_Toc224844319"/>
      <w:r>
        <w:rPr>
          <w:lang w:eastAsia="es-MX"/>
        </w:rPr>
        <w:t>VIABILIZACIÓN</w:t>
      </w:r>
      <w:bookmarkEnd w:id="87"/>
    </w:p>
    <w:p w14:paraId="03E17FBE" w14:textId="77777777" w:rsidR="00D373AB" w:rsidRPr="00E82DCB" w:rsidRDefault="00D373AB" w:rsidP="00E82DCB">
      <w:pPr>
        <w:spacing w:after="0"/>
        <w:rPr>
          <w:rFonts w:ascii="Arial" w:eastAsia="Times New Roman" w:hAnsi="Arial" w:cs="Arial"/>
          <w:b/>
          <w:sz w:val="24"/>
          <w:szCs w:val="24"/>
          <w:lang w:eastAsia="es-MX"/>
        </w:rPr>
      </w:pPr>
    </w:p>
    <w:p w14:paraId="0146F192" w14:textId="5B1A2849" w:rsidR="009E0388" w:rsidRPr="00EC3E77" w:rsidRDefault="00EC3E77" w:rsidP="00E82DCB">
      <w:pPr>
        <w:pStyle w:val="Ttulo5"/>
        <w:ind w:left="1008" w:hanging="1008"/>
      </w:pPr>
      <w:bookmarkStart w:id="88" w:name="_Toc224844320"/>
      <w:bookmarkStart w:id="89" w:name="_Hlk219711310"/>
      <w:r w:rsidRPr="00EC3E77">
        <w:rPr>
          <w:bCs/>
        </w:rPr>
        <w:t xml:space="preserve">II-3.1 </w:t>
      </w:r>
      <w:r w:rsidR="00665028" w:rsidRPr="00EC3E77">
        <w:t>Metodología para la evaluación técnica y financiera de los proyectos</w:t>
      </w:r>
      <w:bookmarkEnd w:id="88"/>
      <w:r w:rsidR="00665028" w:rsidRPr="00EC3E77">
        <w:t xml:space="preserve"> </w:t>
      </w:r>
    </w:p>
    <w:bookmarkEnd w:id="89"/>
    <w:p w14:paraId="19AE2E68" w14:textId="77777777" w:rsidR="009E0388" w:rsidRPr="00C63186" w:rsidRDefault="009E0388" w:rsidP="008E39FD">
      <w:pPr>
        <w:shd w:val="clear" w:color="auto" w:fill="FFFFFF" w:themeFill="background1"/>
        <w:spacing w:after="0"/>
        <w:jc w:val="both"/>
        <w:rPr>
          <w:rFonts w:ascii="Arial" w:eastAsia="Times New Roman" w:hAnsi="Arial" w:cs="Arial"/>
          <w:sz w:val="24"/>
          <w:szCs w:val="24"/>
          <w:lang w:eastAsia="es-CO"/>
        </w:rPr>
      </w:pPr>
    </w:p>
    <w:p w14:paraId="17DD7BB1" w14:textId="045F6470" w:rsidR="009A0E27" w:rsidRDefault="009A0E27" w:rsidP="008E39FD">
      <w:pPr>
        <w:shd w:val="clear" w:color="auto" w:fill="FFFFFF"/>
        <w:spacing w:before="100" w:beforeAutospacing="1" w:after="100" w:afterAutospacing="1"/>
        <w:jc w:val="both"/>
        <w:rPr>
          <w:rFonts w:ascii="Arial" w:eastAsia="Times New Roman" w:hAnsi="Arial" w:cs="Arial"/>
          <w:sz w:val="24"/>
          <w:szCs w:val="24"/>
          <w:lang w:eastAsia="es-CO"/>
        </w:rPr>
      </w:pPr>
      <w:bookmarkStart w:id="90" w:name="_Hlk219711365"/>
      <w:r>
        <w:rPr>
          <w:rFonts w:ascii="Arial" w:eastAsia="Times New Roman" w:hAnsi="Arial" w:cs="Arial"/>
          <w:sz w:val="24"/>
          <w:szCs w:val="24"/>
          <w:lang w:eastAsia="es-CO"/>
        </w:rPr>
        <w:t xml:space="preserve">El FONENERGÍA </w:t>
      </w:r>
      <w:r w:rsidR="00B93C81">
        <w:rPr>
          <w:rFonts w:ascii="Arial" w:eastAsia="Times New Roman" w:hAnsi="Arial" w:cs="Arial"/>
          <w:sz w:val="24"/>
          <w:szCs w:val="24"/>
          <w:lang w:eastAsia="es-CO"/>
        </w:rPr>
        <w:t>efectuará</w:t>
      </w:r>
      <w:r>
        <w:rPr>
          <w:rFonts w:ascii="Arial" w:eastAsia="Times New Roman" w:hAnsi="Arial" w:cs="Arial"/>
          <w:sz w:val="24"/>
          <w:szCs w:val="24"/>
          <w:lang w:eastAsia="es-CO"/>
        </w:rPr>
        <w:t xml:space="preserve"> la </w:t>
      </w:r>
      <w:r w:rsidR="00AF3D40">
        <w:rPr>
          <w:rFonts w:ascii="Arial" w:eastAsia="Times New Roman" w:hAnsi="Arial" w:cs="Arial"/>
          <w:sz w:val="24"/>
          <w:szCs w:val="24"/>
          <w:lang w:eastAsia="es-CO"/>
        </w:rPr>
        <w:t xml:space="preserve">evaluación técnica y financiera </w:t>
      </w:r>
      <w:r>
        <w:rPr>
          <w:rFonts w:ascii="Arial" w:eastAsia="Times New Roman" w:hAnsi="Arial" w:cs="Arial"/>
          <w:sz w:val="24"/>
          <w:szCs w:val="24"/>
          <w:lang w:eastAsia="es-CO"/>
        </w:rPr>
        <w:t xml:space="preserve">de los proyectos </w:t>
      </w:r>
      <w:r w:rsidR="00801151">
        <w:rPr>
          <w:rFonts w:ascii="Arial" w:eastAsia="Times New Roman" w:hAnsi="Arial" w:cs="Arial"/>
          <w:sz w:val="24"/>
          <w:szCs w:val="24"/>
          <w:lang w:eastAsia="es-CO"/>
        </w:rPr>
        <w:t xml:space="preserve">presentados </w:t>
      </w:r>
      <w:r w:rsidR="009C0739">
        <w:rPr>
          <w:rFonts w:ascii="Arial" w:eastAsia="Times New Roman" w:hAnsi="Arial" w:cs="Arial"/>
          <w:sz w:val="24"/>
          <w:szCs w:val="24"/>
          <w:lang w:eastAsia="es-CO"/>
        </w:rPr>
        <w:t xml:space="preserve">para obtener </w:t>
      </w:r>
      <w:r>
        <w:rPr>
          <w:rFonts w:ascii="Arial" w:eastAsia="Times New Roman" w:hAnsi="Arial" w:cs="Arial"/>
          <w:sz w:val="24"/>
          <w:szCs w:val="24"/>
          <w:lang w:eastAsia="es-CO"/>
        </w:rPr>
        <w:t>cofinancia</w:t>
      </w:r>
      <w:r w:rsidR="009C0739">
        <w:rPr>
          <w:rFonts w:ascii="Arial" w:eastAsia="Times New Roman" w:hAnsi="Arial" w:cs="Arial"/>
          <w:sz w:val="24"/>
          <w:szCs w:val="24"/>
          <w:lang w:eastAsia="es-CO"/>
        </w:rPr>
        <w:t>ción del Fondo</w:t>
      </w:r>
      <w:r>
        <w:rPr>
          <w:rFonts w:ascii="Arial" w:eastAsia="Times New Roman" w:hAnsi="Arial" w:cs="Arial"/>
          <w:sz w:val="24"/>
          <w:szCs w:val="24"/>
          <w:lang w:eastAsia="es-CO"/>
        </w:rPr>
        <w:t xml:space="preserve">, </w:t>
      </w:r>
      <w:r w:rsidR="00797A29">
        <w:rPr>
          <w:rFonts w:ascii="Arial" w:eastAsia="Times New Roman" w:hAnsi="Arial" w:cs="Arial"/>
          <w:sz w:val="24"/>
          <w:szCs w:val="24"/>
          <w:lang w:eastAsia="es-CO"/>
        </w:rPr>
        <w:t>para lo cual verificará</w:t>
      </w:r>
      <w:r>
        <w:rPr>
          <w:rFonts w:ascii="Arial" w:eastAsia="Times New Roman" w:hAnsi="Arial" w:cs="Arial"/>
          <w:sz w:val="24"/>
          <w:szCs w:val="24"/>
          <w:lang w:eastAsia="es-CO"/>
        </w:rPr>
        <w:t>:</w:t>
      </w:r>
    </w:p>
    <w:p w14:paraId="26DEEC4D" w14:textId="36E9C666" w:rsidR="009A0E27" w:rsidRDefault="00797A29" w:rsidP="00B320D0">
      <w:pPr>
        <w:pStyle w:val="Prrafodelista"/>
        <w:numPr>
          <w:ilvl w:val="0"/>
          <w:numId w:val="139"/>
        </w:numPr>
        <w:shd w:val="clear" w:color="auto" w:fill="FFFFFF"/>
        <w:spacing w:before="100" w:beforeAutospacing="1" w:after="100" w:afterAutospacing="1"/>
        <w:jc w:val="both"/>
        <w:rPr>
          <w:rFonts w:ascii="Arial" w:eastAsia="Times New Roman" w:hAnsi="Arial" w:cs="Arial"/>
          <w:sz w:val="24"/>
          <w:szCs w:val="24"/>
          <w:lang w:eastAsia="es-CO"/>
        </w:rPr>
      </w:pPr>
      <w:r>
        <w:rPr>
          <w:rFonts w:ascii="Arial" w:eastAsia="Times New Roman" w:hAnsi="Arial" w:cs="Arial"/>
          <w:sz w:val="24"/>
          <w:szCs w:val="24"/>
          <w:lang w:eastAsia="es-CO"/>
        </w:rPr>
        <w:t>Q</w:t>
      </w:r>
      <w:r w:rsidR="009A0E27" w:rsidRPr="007A6730">
        <w:rPr>
          <w:rFonts w:ascii="Arial" w:eastAsia="Times New Roman" w:hAnsi="Arial" w:cs="Arial"/>
          <w:sz w:val="24"/>
          <w:szCs w:val="24"/>
          <w:lang w:eastAsia="es-CO"/>
        </w:rPr>
        <w:t xml:space="preserve">ue el Solicitante anexe todos los requisitos de presentación </w:t>
      </w:r>
      <w:r w:rsidR="009A0E27" w:rsidRPr="007A6730" w:rsidDel="009B259F">
        <w:rPr>
          <w:rFonts w:ascii="Arial" w:eastAsia="Times New Roman" w:hAnsi="Arial" w:cs="Arial"/>
          <w:sz w:val="24"/>
          <w:szCs w:val="24"/>
          <w:lang w:eastAsia="es-CO"/>
        </w:rPr>
        <w:t xml:space="preserve">de </w:t>
      </w:r>
      <w:r w:rsidR="009A0E27" w:rsidRPr="007A6730">
        <w:rPr>
          <w:rFonts w:ascii="Arial" w:eastAsia="Times New Roman" w:hAnsi="Arial" w:cs="Arial"/>
          <w:sz w:val="24"/>
          <w:szCs w:val="24"/>
          <w:lang w:eastAsia="es-CO"/>
        </w:rPr>
        <w:t>los documentos exigidos</w:t>
      </w:r>
      <w:r w:rsidR="009A0E27">
        <w:rPr>
          <w:rFonts w:ascii="Arial" w:eastAsia="Times New Roman" w:hAnsi="Arial" w:cs="Arial"/>
          <w:sz w:val="24"/>
          <w:szCs w:val="24"/>
          <w:lang w:eastAsia="es-CO"/>
        </w:rPr>
        <w:t xml:space="preserve"> en el presente manual</w:t>
      </w:r>
      <w:r w:rsidR="009A0E27" w:rsidRPr="007A6730">
        <w:rPr>
          <w:rFonts w:ascii="Arial" w:eastAsia="Times New Roman" w:hAnsi="Arial" w:cs="Arial"/>
          <w:sz w:val="24"/>
          <w:szCs w:val="24"/>
          <w:lang w:eastAsia="es-CO"/>
        </w:rPr>
        <w:t>, de acuerdo con las características específicas del proyecto.</w:t>
      </w:r>
    </w:p>
    <w:p w14:paraId="511C05E3" w14:textId="77777777" w:rsidR="009A0E27" w:rsidRDefault="009A0E27" w:rsidP="008E39FD">
      <w:pPr>
        <w:pStyle w:val="Prrafodelista"/>
        <w:shd w:val="clear" w:color="auto" w:fill="FFFFFF"/>
        <w:spacing w:before="100" w:beforeAutospacing="1" w:after="100" w:afterAutospacing="1"/>
        <w:jc w:val="both"/>
        <w:rPr>
          <w:rFonts w:ascii="Arial" w:eastAsia="Times New Roman" w:hAnsi="Arial" w:cs="Arial"/>
          <w:sz w:val="24"/>
          <w:szCs w:val="24"/>
          <w:lang w:eastAsia="es-CO"/>
        </w:rPr>
      </w:pPr>
    </w:p>
    <w:p w14:paraId="3B1AACFB" w14:textId="4C65E4DA" w:rsidR="009A0E27" w:rsidRDefault="00797A29" w:rsidP="00B320D0">
      <w:pPr>
        <w:pStyle w:val="Prrafodelista"/>
        <w:numPr>
          <w:ilvl w:val="0"/>
          <w:numId w:val="139"/>
        </w:numPr>
        <w:shd w:val="clear" w:color="auto" w:fill="FFFFFF"/>
        <w:spacing w:before="100" w:beforeAutospacing="1" w:after="100" w:afterAutospacing="1"/>
        <w:jc w:val="both"/>
        <w:rPr>
          <w:rFonts w:ascii="Arial" w:eastAsia="Times New Roman" w:hAnsi="Arial" w:cs="Arial"/>
          <w:sz w:val="24"/>
          <w:szCs w:val="24"/>
          <w:lang w:eastAsia="es-CO"/>
        </w:rPr>
      </w:pPr>
      <w:r>
        <w:rPr>
          <w:rFonts w:ascii="Arial" w:eastAsia="Times New Roman" w:hAnsi="Arial" w:cs="Arial"/>
          <w:sz w:val="24"/>
          <w:szCs w:val="24"/>
          <w:lang w:eastAsia="es-CO"/>
        </w:rPr>
        <w:t>Que</w:t>
      </w:r>
      <w:r w:rsidR="009A0E27" w:rsidRPr="007A6730">
        <w:rPr>
          <w:rFonts w:ascii="Arial" w:eastAsia="Times New Roman" w:hAnsi="Arial" w:cs="Arial"/>
          <w:sz w:val="24"/>
          <w:szCs w:val="24"/>
          <w:lang w:eastAsia="es-CO"/>
        </w:rPr>
        <w:t xml:space="preserve"> el proyecto de infraestructura se formule en la Metodología General Ajustada del Departamento Nacional de Planeación - DNP vigente y en los parámetros definidos. Además, se debe verificar la consistencia de la información contenida en la metodología con los documentos soporte.</w:t>
      </w:r>
    </w:p>
    <w:p w14:paraId="096AF905" w14:textId="77777777" w:rsidR="009A0E27" w:rsidRPr="007A6730" w:rsidRDefault="009A0E27" w:rsidP="008E39FD">
      <w:pPr>
        <w:pStyle w:val="Prrafodelista"/>
        <w:rPr>
          <w:rFonts w:ascii="Arial" w:eastAsia="Times New Roman" w:hAnsi="Arial" w:cs="Arial"/>
          <w:sz w:val="24"/>
          <w:szCs w:val="24"/>
          <w:lang w:eastAsia="es-CO"/>
        </w:rPr>
      </w:pPr>
    </w:p>
    <w:p w14:paraId="15B3E1D7" w14:textId="194D1C1B" w:rsidR="009A0E27" w:rsidRPr="00CB0443" w:rsidRDefault="00BB79F1" w:rsidP="00B320D0">
      <w:pPr>
        <w:pStyle w:val="Prrafodelista"/>
        <w:numPr>
          <w:ilvl w:val="0"/>
          <w:numId w:val="139"/>
        </w:numPr>
        <w:shd w:val="clear" w:color="auto" w:fill="FFFFFF"/>
        <w:spacing w:after="0"/>
        <w:jc w:val="both"/>
      </w:pPr>
      <w:r>
        <w:rPr>
          <w:rFonts w:ascii="Arial" w:eastAsia="Times New Roman" w:hAnsi="Arial" w:cs="Arial"/>
          <w:sz w:val="24"/>
          <w:szCs w:val="24"/>
          <w:lang w:eastAsia="es-CO"/>
        </w:rPr>
        <w:t>L</w:t>
      </w:r>
      <w:r w:rsidR="009A0E27" w:rsidRPr="007A6730">
        <w:rPr>
          <w:rFonts w:ascii="Arial" w:eastAsia="Times New Roman" w:hAnsi="Arial" w:cs="Arial"/>
          <w:sz w:val="24"/>
          <w:szCs w:val="24"/>
          <w:lang w:eastAsia="es-CO"/>
        </w:rPr>
        <w:t>a capacidad financiera del Solicitante para la construcción y operación de los proyectos a ser cofinanciados con recursos del FONENERGÍA, para lo anterior se verificará el cumplimiento de los indicadores financieros descritos a continuación:</w:t>
      </w:r>
    </w:p>
    <w:p w14:paraId="27EBE6A9" w14:textId="77777777" w:rsidR="00CB0443" w:rsidRPr="00CB0443" w:rsidRDefault="00CB0443" w:rsidP="00CB0443">
      <w:pPr>
        <w:shd w:val="clear" w:color="auto" w:fill="FFFFFF"/>
        <w:spacing w:after="0"/>
        <w:ind w:left="360"/>
        <w:jc w:val="both"/>
      </w:pPr>
    </w:p>
    <w:tbl>
      <w:tblPr>
        <w:tblStyle w:val="Tablaconcuadrcula"/>
        <w:tblW w:w="0" w:type="auto"/>
        <w:tblInd w:w="720" w:type="dxa"/>
        <w:tblLook w:val="04A0" w:firstRow="1" w:lastRow="0" w:firstColumn="1" w:lastColumn="0" w:noHBand="0" w:noVBand="1"/>
      </w:tblPr>
      <w:tblGrid>
        <w:gridCol w:w="4662"/>
        <w:gridCol w:w="4012"/>
      </w:tblGrid>
      <w:tr w:rsidR="009A0E27" w:rsidRPr="008E5694" w14:paraId="73E04212" w14:textId="77777777">
        <w:tc>
          <w:tcPr>
            <w:tcW w:w="4662" w:type="dxa"/>
            <w:vAlign w:val="center"/>
          </w:tcPr>
          <w:p w14:paraId="30EBBAF1"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eastAsia="Times New Roman" w:hAnsi="Arial" w:cs="Arial"/>
                <w:sz w:val="21"/>
                <w:szCs w:val="21"/>
                <w:lang w:eastAsia="es-CO"/>
              </w:rPr>
              <w:t>INDICADOR</w:t>
            </w:r>
          </w:p>
        </w:tc>
        <w:tc>
          <w:tcPr>
            <w:tcW w:w="4012" w:type="dxa"/>
            <w:vAlign w:val="center"/>
          </w:tcPr>
          <w:p w14:paraId="5E6F6E1D"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eastAsia="Times New Roman" w:hAnsi="Arial" w:cs="Arial"/>
                <w:sz w:val="21"/>
                <w:szCs w:val="21"/>
                <w:lang w:eastAsia="es-CO"/>
              </w:rPr>
              <w:t>MARGEN SOLICITADO</w:t>
            </w:r>
          </w:p>
        </w:tc>
      </w:tr>
      <w:tr w:rsidR="009A0E27" w:rsidRPr="008E5694" w14:paraId="6B7B5AF8" w14:textId="77777777">
        <w:tc>
          <w:tcPr>
            <w:tcW w:w="4662" w:type="dxa"/>
            <w:vAlign w:val="center"/>
          </w:tcPr>
          <w:p w14:paraId="7D53B02F" w14:textId="77777777" w:rsidR="009A0E27" w:rsidRPr="007A6730" w:rsidRDefault="009A0E27" w:rsidP="008E39FD">
            <w:pPr>
              <w:pStyle w:val="Prrafodelista"/>
              <w:spacing w:before="100" w:beforeAutospacing="1" w:after="100" w:afterAutospacing="1"/>
              <w:ind w:left="0"/>
              <w:jc w:val="both"/>
              <w:rPr>
                <w:rFonts w:ascii="Arial" w:eastAsia="Times New Roman" w:hAnsi="Arial" w:cs="Arial"/>
                <w:sz w:val="21"/>
                <w:szCs w:val="21"/>
                <w:lang w:eastAsia="es-CO"/>
              </w:rPr>
            </w:pPr>
            <w:r w:rsidRPr="007A6730">
              <w:rPr>
                <w:rFonts w:ascii="Arial" w:eastAsia="Times New Roman" w:hAnsi="Arial" w:cs="Arial"/>
                <w:sz w:val="21"/>
                <w:szCs w:val="21"/>
                <w:lang w:eastAsia="es-CO"/>
              </w:rPr>
              <w:t>DE LIQUIDEZ</w:t>
            </w:r>
          </w:p>
        </w:tc>
        <w:tc>
          <w:tcPr>
            <w:tcW w:w="4012" w:type="dxa"/>
            <w:vAlign w:val="center"/>
          </w:tcPr>
          <w:p w14:paraId="0E9B00D3"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hAnsi="Arial" w:cs="Arial"/>
                <w:sz w:val="21"/>
                <w:szCs w:val="21"/>
              </w:rPr>
              <w:t>≥ 1.20</w:t>
            </w:r>
          </w:p>
        </w:tc>
      </w:tr>
      <w:tr w:rsidR="009A0E27" w:rsidRPr="008E5694" w14:paraId="0A1F9640" w14:textId="77777777">
        <w:tc>
          <w:tcPr>
            <w:tcW w:w="4662" w:type="dxa"/>
            <w:vAlign w:val="center"/>
          </w:tcPr>
          <w:p w14:paraId="765DBE66" w14:textId="77777777" w:rsidR="009A0E27" w:rsidRPr="007A6730" w:rsidRDefault="009A0E27" w:rsidP="008E39FD">
            <w:pPr>
              <w:pStyle w:val="Prrafodelista"/>
              <w:spacing w:before="100" w:beforeAutospacing="1" w:after="100" w:afterAutospacing="1"/>
              <w:ind w:left="0"/>
              <w:jc w:val="both"/>
              <w:rPr>
                <w:rFonts w:ascii="Arial" w:eastAsia="Times New Roman" w:hAnsi="Arial" w:cs="Arial"/>
                <w:sz w:val="21"/>
                <w:szCs w:val="21"/>
                <w:lang w:eastAsia="es-CO"/>
              </w:rPr>
            </w:pPr>
            <w:r w:rsidRPr="007A6730">
              <w:rPr>
                <w:rFonts w:ascii="Arial" w:eastAsia="Times New Roman" w:hAnsi="Arial" w:cs="Arial"/>
                <w:sz w:val="21"/>
                <w:szCs w:val="21"/>
                <w:lang w:eastAsia="es-CO"/>
              </w:rPr>
              <w:t>MARGEN DE ENDEUDAMIENTO</w:t>
            </w:r>
          </w:p>
        </w:tc>
        <w:tc>
          <w:tcPr>
            <w:tcW w:w="4012" w:type="dxa"/>
            <w:vAlign w:val="center"/>
          </w:tcPr>
          <w:p w14:paraId="055E34E3"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hAnsi="Arial" w:cs="Arial"/>
                <w:sz w:val="21"/>
                <w:szCs w:val="21"/>
              </w:rPr>
              <w:t>≤ 0.65</w:t>
            </w:r>
          </w:p>
        </w:tc>
      </w:tr>
      <w:tr w:rsidR="009A0E27" w:rsidRPr="008E5694" w14:paraId="139ABFFA" w14:textId="77777777">
        <w:tc>
          <w:tcPr>
            <w:tcW w:w="4662" w:type="dxa"/>
            <w:vAlign w:val="center"/>
          </w:tcPr>
          <w:p w14:paraId="78D3C80C" w14:textId="77777777" w:rsidR="009A0E27" w:rsidRPr="007A6730" w:rsidRDefault="009A0E27" w:rsidP="008E39FD">
            <w:pPr>
              <w:pStyle w:val="Prrafodelista"/>
              <w:spacing w:before="100" w:beforeAutospacing="1" w:after="100" w:afterAutospacing="1"/>
              <w:ind w:left="0"/>
              <w:jc w:val="both"/>
              <w:rPr>
                <w:rFonts w:ascii="Arial" w:eastAsia="Times New Roman" w:hAnsi="Arial" w:cs="Arial"/>
                <w:sz w:val="21"/>
                <w:szCs w:val="21"/>
                <w:lang w:eastAsia="es-CO"/>
              </w:rPr>
            </w:pPr>
            <w:r w:rsidRPr="007A6730">
              <w:rPr>
                <w:rFonts w:ascii="Arial" w:eastAsia="Times New Roman" w:hAnsi="Arial" w:cs="Arial"/>
                <w:sz w:val="21"/>
                <w:szCs w:val="21"/>
                <w:lang w:eastAsia="es-CO"/>
              </w:rPr>
              <w:t>RAZÓN DE COBERTURA DE INTERESES</w:t>
            </w:r>
          </w:p>
        </w:tc>
        <w:tc>
          <w:tcPr>
            <w:tcW w:w="4012" w:type="dxa"/>
          </w:tcPr>
          <w:p w14:paraId="6FAE7A67"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hAnsi="Arial" w:cs="Arial"/>
                <w:sz w:val="21"/>
                <w:szCs w:val="21"/>
              </w:rPr>
              <w:t>≥ 2.67</w:t>
            </w:r>
          </w:p>
        </w:tc>
      </w:tr>
      <w:tr w:rsidR="009A0E27" w:rsidRPr="008E5694" w14:paraId="4F3BC123" w14:textId="77777777">
        <w:tc>
          <w:tcPr>
            <w:tcW w:w="4662" w:type="dxa"/>
            <w:vAlign w:val="center"/>
          </w:tcPr>
          <w:p w14:paraId="32C3855B" w14:textId="77777777" w:rsidR="009A0E27" w:rsidRPr="007A6730" w:rsidRDefault="009A0E27" w:rsidP="008E39FD">
            <w:pPr>
              <w:pStyle w:val="Prrafodelista"/>
              <w:spacing w:before="100" w:beforeAutospacing="1" w:after="100" w:afterAutospacing="1"/>
              <w:ind w:left="0"/>
              <w:jc w:val="both"/>
              <w:rPr>
                <w:rFonts w:ascii="Arial" w:eastAsia="Times New Roman" w:hAnsi="Arial" w:cs="Arial"/>
                <w:sz w:val="21"/>
                <w:szCs w:val="21"/>
                <w:lang w:eastAsia="es-CO"/>
              </w:rPr>
            </w:pPr>
            <w:r w:rsidRPr="007A6730">
              <w:rPr>
                <w:rFonts w:ascii="Arial" w:eastAsia="Times New Roman" w:hAnsi="Arial" w:cs="Arial"/>
                <w:sz w:val="21"/>
                <w:szCs w:val="21"/>
                <w:lang w:eastAsia="es-CO"/>
              </w:rPr>
              <w:t>DE CAPITAL DE TRABAJO</w:t>
            </w:r>
          </w:p>
        </w:tc>
        <w:tc>
          <w:tcPr>
            <w:tcW w:w="4012" w:type="dxa"/>
            <w:vAlign w:val="center"/>
          </w:tcPr>
          <w:p w14:paraId="11DFBBFE"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hAnsi="Arial" w:cs="Arial"/>
                <w:sz w:val="21"/>
                <w:szCs w:val="21"/>
              </w:rPr>
              <w:t>≥ (Valor del Proyecto/Número de días del Proyecto)*90</w:t>
            </w:r>
          </w:p>
        </w:tc>
      </w:tr>
      <w:tr w:rsidR="009A0E27" w:rsidRPr="008E5694" w14:paraId="5379E048" w14:textId="77777777">
        <w:tc>
          <w:tcPr>
            <w:tcW w:w="4662" w:type="dxa"/>
            <w:vAlign w:val="center"/>
          </w:tcPr>
          <w:p w14:paraId="426D2897" w14:textId="77777777" w:rsidR="009A0E27" w:rsidRPr="007A6730" w:rsidRDefault="009A0E27" w:rsidP="008E39FD">
            <w:pPr>
              <w:pStyle w:val="Prrafodelista"/>
              <w:spacing w:before="100" w:beforeAutospacing="1" w:after="100" w:afterAutospacing="1"/>
              <w:ind w:left="0"/>
              <w:jc w:val="both"/>
              <w:rPr>
                <w:rFonts w:ascii="Arial" w:eastAsia="Times New Roman" w:hAnsi="Arial" w:cs="Arial"/>
                <w:sz w:val="21"/>
                <w:szCs w:val="21"/>
                <w:lang w:eastAsia="es-CO"/>
              </w:rPr>
            </w:pPr>
            <w:r w:rsidRPr="007A6730">
              <w:rPr>
                <w:rFonts w:ascii="Arial" w:eastAsia="Times New Roman" w:hAnsi="Arial" w:cs="Arial"/>
                <w:sz w:val="21"/>
                <w:szCs w:val="21"/>
                <w:lang w:eastAsia="es-CO"/>
              </w:rPr>
              <w:t>DE RENTABILIDAD DEL PATRIMONIO</w:t>
            </w:r>
          </w:p>
        </w:tc>
        <w:tc>
          <w:tcPr>
            <w:tcW w:w="4012" w:type="dxa"/>
            <w:vAlign w:val="center"/>
          </w:tcPr>
          <w:p w14:paraId="70BB10A1"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hAnsi="Arial" w:cs="Arial"/>
                <w:sz w:val="21"/>
                <w:szCs w:val="21"/>
              </w:rPr>
              <w:t>≥ 0.08</w:t>
            </w:r>
          </w:p>
        </w:tc>
      </w:tr>
      <w:tr w:rsidR="009A0E27" w:rsidRPr="008E5694" w14:paraId="17339AA7" w14:textId="77777777">
        <w:tc>
          <w:tcPr>
            <w:tcW w:w="4662" w:type="dxa"/>
            <w:vAlign w:val="center"/>
          </w:tcPr>
          <w:p w14:paraId="059E044D" w14:textId="77777777" w:rsidR="009A0E27" w:rsidRPr="007A6730" w:rsidRDefault="009A0E27" w:rsidP="008E39FD">
            <w:pPr>
              <w:pStyle w:val="Prrafodelista"/>
              <w:spacing w:before="100" w:beforeAutospacing="1" w:after="100" w:afterAutospacing="1"/>
              <w:ind w:left="0"/>
              <w:jc w:val="both"/>
              <w:rPr>
                <w:rFonts w:ascii="Arial" w:eastAsia="Times New Roman" w:hAnsi="Arial" w:cs="Arial"/>
                <w:sz w:val="21"/>
                <w:szCs w:val="21"/>
                <w:lang w:eastAsia="es-CO"/>
              </w:rPr>
            </w:pPr>
            <w:r w:rsidRPr="007A6730">
              <w:rPr>
                <w:rFonts w:ascii="Arial" w:eastAsia="Times New Roman" w:hAnsi="Arial" w:cs="Arial"/>
                <w:sz w:val="21"/>
                <w:szCs w:val="21"/>
                <w:lang w:eastAsia="es-CO"/>
              </w:rPr>
              <w:t>DE RENTABILIDAD DEL ACTIVO</w:t>
            </w:r>
          </w:p>
        </w:tc>
        <w:tc>
          <w:tcPr>
            <w:tcW w:w="4012" w:type="dxa"/>
            <w:vAlign w:val="center"/>
          </w:tcPr>
          <w:p w14:paraId="1A179ECB" w14:textId="77777777" w:rsidR="009A0E27" w:rsidRPr="007A6730" w:rsidRDefault="009A0E27" w:rsidP="008E39FD">
            <w:pPr>
              <w:pStyle w:val="Prrafodelista"/>
              <w:spacing w:before="100" w:beforeAutospacing="1" w:after="100" w:afterAutospacing="1"/>
              <w:ind w:left="0"/>
              <w:jc w:val="center"/>
              <w:rPr>
                <w:rFonts w:ascii="Arial" w:eastAsia="Times New Roman" w:hAnsi="Arial" w:cs="Arial"/>
                <w:sz w:val="21"/>
                <w:szCs w:val="21"/>
                <w:lang w:eastAsia="es-CO"/>
              </w:rPr>
            </w:pPr>
            <w:r w:rsidRPr="007A6730">
              <w:rPr>
                <w:rFonts w:ascii="Arial" w:hAnsi="Arial" w:cs="Arial"/>
                <w:sz w:val="21"/>
                <w:szCs w:val="21"/>
              </w:rPr>
              <w:t>≥ 0.04</w:t>
            </w:r>
          </w:p>
        </w:tc>
      </w:tr>
    </w:tbl>
    <w:p w14:paraId="31C0C865" w14:textId="77777777" w:rsidR="009A0E27" w:rsidRPr="00797A29" w:rsidRDefault="009A0E27" w:rsidP="00797A29">
      <w:pPr>
        <w:shd w:val="clear" w:color="auto" w:fill="FFFFFF"/>
        <w:spacing w:after="0"/>
        <w:ind w:left="360"/>
        <w:jc w:val="both"/>
        <w:rPr>
          <w:rFonts w:ascii="Arial" w:eastAsia="Times New Roman" w:hAnsi="Arial" w:cs="Arial"/>
          <w:sz w:val="24"/>
          <w:szCs w:val="24"/>
          <w:lang w:eastAsia="es-CO"/>
        </w:rPr>
      </w:pPr>
    </w:p>
    <w:p w14:paraId="4BD4885B" w14:textId="41FACDA4" w:rsidR="009A0E27" w:rsidRDefault="00797A29"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lastRenderedPageBreak/>
        <w:t>Q</w:t>
      </w:r>
      <w:r w:rsidR="009A0E27" w:rsidRPr="00797A29">
        <w:rPr>
          <w:rFonts w:ascii="Arial" w:eastAsia="Times New Roman" w:hAnsi="Arial" w:cs="Arial"/>
          <w:sz w:val="24"/>
          <w:szCs w:val="24"/>
          <w:lang w:eastAsia="es-CO"/>
        </w:rPr>
        <w:t xml:space="preserve">ue la solicitud de cofinanciación realizada por el Solicitante no supere los límites establecidos en el presente </w:t>
      </w:r>
      <w:r w:rsidR="00BB79F1">
        <w:rPr>
          <w:rFonts w:ascii="Arial" w:eastAsia="Times New Roman" w:hAnsi="Arial" w:cs="Arial"/>
          <w:sz w:val="24"/>
          <w:szCs w:val="24"/>
          <w:lang w:eastAsia="es-CO"/>
        </w:rPr>
        <w:t>M</w:t>
      </w:r>
      <w:r w:rsidR="009A0E27" w:rsidRPr="00797A29">
        <w:rPr>
          <w:rFonts w:ascii="Arial" w:eastAsia="Times New Roman" w:hAnsi="Arial" w:cs="Arial"/>
          <w:sz w:val="24"/>
          <w:szCs w:val="24"/>
          <w:lang w:eastAsia="es-CO"/>
        </w:rPr>
        <w:t>anual.</w:t>
      </w:r>
    </w:p>
    <w:p w14:paraId="74828276" w14:textId="77777777" w:rsidR="00797A29" w:rsidRPr="00797A29" w:rsidRDefault="00797A29" w:rsidP="00797A29">
      <w:pPr>
        <w:shd w:val="clear" w:color="auto" w:fill="FFFFFF"/>
        <w:spacing w:after="0"/>
        <w:ind w:left="360"/>
        <w:jc w:val="both"/>
        <w:rPr>
          <w:rFonts w:ascii="Arial" w:eastAsia="Times New Roman" w:hAnsi="Arial" w:cs="Arial"/>
          <w:sz w:val="24"/>
          <w:szCs w:val="24"/>
          <w:lang w:eastAsia="es-CO"/>
        </w:rPr>
      </w:pPr>
    </w:p>
    <w:p w14:paraId="337FF7B5" w14:textId="52890A56" w:rsidR="009A0E27" w:rsidRPr="00797A29" w:rsidRDefault="00B213C1"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Qu</w:t>
      </w:r>
      <w:r w:rsidR="009A0E27" w:rsidRPr="00797A29">
        <w:rPr>
          <w:rFonts w:ascii="Arial" w:eastAsia="Times New Roman" w:hAnsi="Arial" w:cs="Arial"/>
          <w:sz w:val="24"/>
          <w:szCs w:val="24"/>
          <w:lang w:eastAsia="es-CO"/>
        </w:rPr>
        <w:t>e el proyecto presente el cierre financiero requerido para el desarrollo y ejecución del proyecto, según aplique.</w:t>
      </w:r>
    </w:p>
    <w:p w14:paraId="4F4E9CC4" w14:textId="77777777" w:rsidR="009A0E27" w:rsidRPr="00797A29" w:rsidRDefault="009A0E27" w:rsidP="00797A29">
      <w:pPr>
        <w:shd w:val="clear" w:color="auto" w:fill="FFFFFF"/>
        <w:spacing w:after="0"/>
        <w:ind w:left="360"/>
        <w:jc w:val="both"/>
        <w:rPr>
          <w:rFonts w:ascii="Arial" w:eastAsia="Times New Roman" w:hAnsi="Arial" w:cs="Arial"/>
          <w:sz w:val="24"/>
          <w:szCs w:val="24"/>
          <w:lang w:eastAsia="es-CO"/>
        </w:rPr>
      </w:pPr>
    </w:p>
    <w:p w14:paraId="15E0E605" w14:textId="3B393E3C" w:rsidR="009A0E27" w:rsidRPr="00797A29" w:rsidRDefault="00B213C1"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Qu</w:t>
      </w:r>
      <w:r w:rsidR="009A0E27" w:rsidRPr="00797A29">
        <w:rPr>
          <w:rFonts w:ascii="Arial" w:eastAsia="Times New Roman" w:hAnsi="Arial" w:cs="Arial"/>
          <w:sz w:val="24"/>
          <w:szCs w:val="24"/>
          <w:lang w:eastAsia="es-CO"/>
        </w:rPr>
        <w:t>e los cupos de crédito o de endeudamiento se encuentren vigentes y que tengan destinación específica para el proyecto.</w:t>
      </w:r>
    </w:p>
    <w:p w14:paraId="6FE506FC" w14:textId="77777777" w:rsidR="009A0E27" w:rsidRPr="00D167C8" w:rsidRDefault="009A0E27" w:rsidP="00D167C8">
      <w:pPr>
        <w:pStyle w:val="Prrafodelista"/>
        <w:rPr>
          <w:rFonts w:ascii="Arial" w:eastAsia="Times New Roman" w:hAnsi="Arial" w:cs="Arial"/>
          <w:sz w:val="24"/>
          <w:szCs w:val="24"/>
          <w:lang w:eastAsia="es-CO"/>
        </w:rPr>
      </w:pPr>
    </w:p>
    <w:p w14:paraId="7E276937" w14:textId="6001C39E" w:rsidR="009A0E27" w:rsidRPr="00D167C8" w:rsidRDefault="00BB79F1"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L</w:t>
      </w:r>
      <w:r w:rsidR="009A0E27" w:rsidRPr="00D167C8">
        <w:rPr>
          <w:rFonts w:ascii="Arial" w:eastAsia="Times New Roman" w:hAnsi="Arial" w:cs="Arial"/>
          <w:sz w:val="24"/>
          <w:szCs w:val="24"/>
          <w:lang w:eastAsia="es-CO"/>
        </w:rPr>
        <w:t xml:space="preserve">a presentación de las solicitudes de autorizaciones, permisos, concesiones o solicitudes de licencia ambiental, de conformidad con lo establecido en el presente </w:t>
      </w:r>
      <w:r>
        <w:rPr>
          <w:rFonts w:ascii="Arial" w:eastAsia="Times New Roman" w:hAnsi="Arial" w:cs="Arial"/>
          <w:sz w:val="24"/>
          <w:szCs w:val="24"/>
          <w:lang w:eastAsia="es-CO"/>
        </w:rPr>
        <w:t>M</w:t>
      </w:r>
      <w:r w:rsidR="009A0E27" w:rsidRPr="00D167C8">
        <w:rPr>
          <w:rFonts w:ascii="Arial" w:eastAsia="Times New Roman" w:hAnsi="Arial" w:cs="Arial"/>
          <w:sz w:val="24"/>
          <w:szCs w:val="24"/>
          <w:lang w:eastAsia="es-CO"/>
        </w:rPr>
        <w:t>anual.</w:t>
      </w:r>
    </w:p>
    <w:p w14:paraId="48FC4DE7" w14:textId="77777777" w:rsidR="009A0E27" w:rsidRPr="00D167C8" w:rsidRDefault="009A0E27" w:rsidP="00D167C8">
      <w:pPr>
        <w:shd w:val="clear" w:color="auto" w:fill="FFFFFF"/>
        <w:spacing w:after="0"/>
        <w:ind w:left="360"/>
        <w:jc w:val="both"/>
        <w:rPr>
          <w:rFonts w:ascii="Arial" w:eastAsia="Times New Roman" w:hAnsi="Arial" w:cs="Arial"/>
          <w:sz w:val="24"/>
          <w:szCs w:val="24"/>
          <w:lang w:eastAsia="es-CO"/>
        </w:rPr>
      </w:pPr>
    </w:p>
    <w:p w14:paraId="1245788D" w14:textId="32E4F8F8" w:rsidR="009A0E27" w:rsidRPr="00D167C8" w:rsidRDefault="00BB79F1"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E</w:t>
      </w:r>
      <w:r w:rsidR="009A0E27" w:rsidRPr="00D167C8">
        <w:rPr>
          <w:rFonts w:ascii="Arial" w:eastAsia="Times New Roman" w:hAnsi="Arial" w:cs="Arial"/>
          <w:sz w:val="24"/>
          <w:szCs w:val="24"/>
          <w:lang w:eastAsia="es-CO"/>
        </w:rPr>
        <w:t>l comportamiento de las diferentes variables definidas en los Estudios de Preinversión solicitados como requisito.</w:t>
      </w:r>
    </w:p>
    <w:p w14:paraId="0E2E86B4" w14:textId="77777777" w:rsidR="009A0E27" w:rsidRPr="00D167C8" w:rsidRDefault="009A0E27" w:rsidP="00D167C8">
      <w:pPr>
        <w:shd w:val="clear" w:color="auto" w:fill="FFFFFF"/>
        <w:spacing w:after="0"/>
        <w:ind w:left="360"/>
        <w:jc w:val="both"/>
        <w:rPr>
          <w:rFonts w:ascii="Arial" w:eastAsia="Times New Roman" w:hAnsi="Arial" w:cs="Arial"/>
          <w:sz w:val="24"/>
          <w:szCs w:val="24"/>
          <w:lang w:eastAsia="es-CO"/>
        </w:rPr>
      </w:pPr>
    </w:p>
    <w:p w14:paraId="29F253D3" w14:textId="6C2C898C" w:rsidR="009A0E27" w:rsidRPr="00D167C8" w:rsidRDefault="00BB79F1"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L</w:t>
      </w:r>
      <w:r w:rsidR="009A0E27" w:rsidRPr="00D167C8">
        <w:rPr>
          <w:rFonts w:ascii="Arial" w:eastAsia="Times New Roman" w:hAnsi="Arial" w:cs="Arial"/>
          <w:sz w:val="24"/>
          <w:szCs w:val="24"/>
          <w:lang w:eastAsia="es-CO"/>
        </w:rPr>
        <w:t>a coherencia de los costos directos e indirectos, relacionados en el presupuesto y el cronograma de actividades, el flujo de caja, los análisis de precios unitarios y/o Unidades Constructivas y otros documentos cuando corresponda.</w:t>
      </w:r>
    </w:p>
    <w:p w14:paraId="5086947A" w14:textId="77777777" w:rsidR="009A0E27" w:rsidRPr="00DC38EE" w:rsidRDefault="009A0E27" w:rsidP="00DC38EE">
      <w:pPr>
        <w:shd w:val="clear" w:color="auto" w:fill="FFFFFF"/>
        <w:spacing w:after="0"/>
        <w:ind w:left="360"/>
        <w:jc w:val="both"/>
        <w:rPr>
          <w:rFonts w:ascii="Arial" w:eastAsia="Times New Roman" w:hAnsi="Arial" w:cs="Arial"/>
          <w:sz w:val="24"/>
          <w:szCs w:val="24"/>
          <w:lang w:eastAsia="es-CO"/>
        </w:rPr>
      </w:pPr>
    </w:p>
    <w:p w14:paraId="55FAE975" w14:textId="64788188" w:rsidR="009A0E27"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Q</w:t>
      </w:r>
      <w:r w:rsidR="009A0E27" w:rsidRPr="00DC38EE">
        <w:rPr>
          <w:rFonts w:ascii="Arial" w:eastAsia="Times New Roman" w:hAnsi="Arial" w:cs="Arial"/>
          <w:sz w:val="24"/>
          <w:szCs w:val="24"/>
          <w:lang w:eastAsia="es-CO"/>
        </w:rPr>
        <w:t>ue las cantidades de obra definidas en el presupuesto estén acordes con los diseños, memorias de cálculo y con los planes técnicos de ingeniería básica y de detalle.</w:t>
      </w:r>
    </w:p>
    <w:p w14:paraId="3A194A8C" w14:textId="77777777" w:rsidR="00BB79F1" w:rsidRPr="00BB79F1" w:rsidRDefault="00BB79F1" w:rsidP="00BB79F1">
      <w:pPr>
        <w:pStyle w:val="Prrafodelista"/>
        <w:rPr>
          <w:rFonts w:ascii="Arial" w:eastAsia="Times New Roman" w:hAnsi="Arial" w:cs="Arial"/>
          <w:sz w:val="24"/>
          <w:szCs w:val="24"/>
          <w:lang w:eastAsia="es-CO"/>
        </w:rPr>
      </w:pPr>
    </w:p>
    <w:p w14:paraId="0D70BB42" w14:textId="299C1B11"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L</w:t>
      </w:r>
      <w:r w:rsidR="009A0E27" w:rsidRPr="00DC38EE">
        <w:rPr>
          <w:rFonts w:ascii="Arial" w:eastAsia="Times New Roman" w:hAnsi="Arial" w:cs="Arial"/>
          <w:sz w:val="24"/>
          <w:szCs w:val="24"/>
          <w:lang w:eastAsia="es-CO"/>
        </w:rPr>
        <w:t>a existencia</w:t>
      </w:r>
      <w:r w:rsidR="00FE4175" w:rsidRPr="00DC38EE">
        <w:rPr>
          <w:rFonts w:ascii="Arial" w:eastAsia="Times New Roman" w:hAnsi="Arial" w:cs="Arial"/>
          <w:sz w:val="24"/>
          <w:szCs w:val="24"/>
          <w:lang w:eastAsia="es-CO"/>
        </w:rPr>
        <w:t>, en caso de que resulte aplicable,</w:t>
      </w:r>
      <w:r>
        <w:rPr>
          <w:rFonts w:ascii="Arial" w:eastAsia="Times New Roman" w:hAnsi="Arial" w:cs="Arial"/>
          <w:sz w:val="24"/>
          <w:szCs w:val="24"/>
          <w:lang w:eastAsia="es-CO"/>
        </w:rPr>
        <w:t xml:space="preserve"> </w:t>
      </w:r>
      <w:r w:rsidR="009A0E27" w:rsidRPr="00DC38EE">
        <w:rPr>
          <w:rFonts w:ascii="Arial" w:eastAsia="Times New Roman" w:hAnsi="Arial" w:cs="Arial"/>
          <w:sz w:val="24"/>
          <w:szCs w:val="24"/>
          <w:lang w:eastAsia="es-CO"/>
        </w:rPr>
        <w:t>del esquema de interventoría formulado para la correcta ejecución del proyecto.</w:t>
      </w:r>
    </w:p>
    <w:p w14:paraId="38CC8B53"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1A09B969" w14:textId="0922B3B9"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L</w:t>
      </w:r>
      <w:r w:rsidR="009A0E27" w:rsidRPr="00DC38EE">
        <w:rPr>
          <w:rFonts w:ascii="Arial" w:eastAsia="Times New Roman" w:hAnsi="Arial" w:cs="Arial"/>
          <w:sz w:val="24"/>
          <w:szCs w:val="24"/>
          <w:lang w:eastAsia="es-CO"/>
        </w:rPr>
        <w:t>a consistencia del certificado de estratificación con los planos técnicos del proyecto y el presupuesto de obras presentado por el Solicitante.</w:t>
      </w:r>
    </w:p>
    <w:p w14:paraId="021AA4D9"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5332D90B" w14:textId="41BB0F4F"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E</w:t>
      </w:r>
      <w:r w:rsidR="009A0E27" w:rsidRPr="00DC38EE">
        <w:rPr>
          <w:rFonts w:ascii="Arial" w:eastAsia="Times New Roman" w:hAnsi="Arial" w:cs="Arial"/>
          <w:sz w:val="24"/>
          <w:szCs w:val="24"/>
          <w:lang w:eastAsia="es-CO"/>
        </w:rPr>
        <w:t>l certificado de la empresa distribuidora que prestará el servicio de gas combustible por redes, en el que se indique que cuenta con el transporte necesario para atender la demanda del proyecto (anexar copia del contrato con el tercero).</w:t>
      </w:r>
    </w:p>
    <w:p w14:paraId="60BD6E63"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5E40B251" w14:textId="796B072E"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E</w:t>
      </w:r>
      <w:r w:rsidR="009A0E27" w:rsidRPr="00DC38EE">
        <w:rPr>
          <w:rFonts w:ascii="Arial" w:eastAsia="Times New Roman" w:hAnsi="Arial" w:cs="Arial"/>
          <w:sz w:val="24"/>
          <w:szCs w:val="24"/>
          <w:lang w:eastAsia="es-CO"/>
        </w:rPr>
        <w:t>l diagrama de prestación del servicio, que indique de manera general la prestación del servicio de gas combustible en el proyecto, capacidades de suministro y transporte, esquema logístico de entrega del energético hasta la estación del proyecto, la distribución por redes y la puesta en servicio a los usuarios beneficiados.</w:t>
      </w:r>
    </w:p>
    <w:p w14:paraId="7305ABE8"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3BA0E55B" w14:textId="342FDA72"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E</w:t>
      </w:r>
      <w:r w:rsidR="009A0E27" w:rsidRPr="00DC38EE">
        <w:rPr>
          <w:rFonts w:ascii="Arial" w:eastAsia="Times New Roman" w:hAnsi="Arial" w:cs="Arial"/>
          <w:sz w:val="24"/>
          <w:szCs w:val="24"/>
          <w:lang w:eastAsia="es-CO"/>
        </w:rPr>
        <w:t>l cálculo de la demanda de gas combustible y sus proyecciones en un horizonte de 20 años.</w:t>
      </w:r>
    </w:p>
    <w:p w14:paraId="268BBA7D"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597E0C80" w14:textId="36CA92FE"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Que</w:t>
      </w:r>
      <w:r w:rsidR="009A0E27" w:rsidRPr="00DC38EE">
        <w:rPr>
          <w:rFonts w:ascii="Arial" w:eastAsia="Times New Roman" w:hAnsi="Arial" w:cs="Arial"/>
          <w:sz w:val="24"/>
          <w:szCs w:val="24"/>
          <w:lang w:eastAsia="es-CO"/>
        </w:rPr>
        <w:t xml:space="preserve"> el flujo de caja, la proyección de ejecución presupuestal y el cronograma estén acordes con el presupuesto definido en la formulación.</w:t>
      </w:r>
    </w:p>
    <w:p w14:paraId="53B26217"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7D69F327" w14:textId="29F2EF09" w:rsidR="009A0E27" w:rsidRPr="00DC38EE" w:rsidRDefault="0014366F" w:rsidP="00B320D0">
      <w:pPr>
        <w:pStyle w:val="Prrafodelista"/>
        <w:numPr>
          <w:ilvl w:val="0"/>
          <w:numId w:val="139"/>
        </w:numPr>
        <w:shd w:val="clear" w:color="auto" w:fill="FFFFFF"/>
        <w:spacing w:after="0"/>
        <w:jc w:val="both"/>
        <w:rPr>
          <w:rFonts w:ascii="Arial" w:eastAsia="Times New Roman" w:hAnsi="Arial" w:cs="Arial"/>
          <w:sz w:val="24"/>
          <w:szCs w:val="24"/>
          <w:lang w:eastAsia="es-CO"/>
        </w:rPr>
      </w:pPr>
      <w:r>
        <w:rPr>
          <w:rFonts w:ascii="Arial" w:eastAsia="Times New Roman" w:hAnsi="Arial" w:cs="Arial"/>
          <w:sz w:val="24"/>
          <w:szCs w:val="24"/>
          <w:lang w:eastAsia="es-CO"/>
        </w:rPr>
        <w:t>Q</w:t>
      </w:r>
      <w:r w:rsidR="009A0E27" w:rsidRPr="00DC38EE">
        <w:rPr>
          <w:rFonts w:ascii="Arial" w:eastAsia="Times New Roman" w:hAnsi="Arial" w:cs="Arial"/>
          <w:sz w:val="24"/>
          <w:szCs w:val="24"/>
          <w:lang w:eastAsia="es-CO"/>
        </w:rPr>
        <w:t>ue el proyecto sea funcional, presente costos razonables y que sea sostenible en el horizonte de vida.</w:t>
      </w:r>
    </w:p>
    <w:p w14:paraId="64A22776" w14:textId="77777777" w:rsidR="009A0E27" w:rsidRPr="00DC38EE" w:rsidRDefault="009A0E27" w:rsidP="0014366F">
      <w:pPr>
        <w:shd w:val="clear" w:color="auto" w:fill="FFFFFF"/>
        <w:spacing w:after="0"/>
        <w:ind w:left="360"/>
        <w:jc w:val="both"/>
        <w:rPr>
          <w:rFonts w:ascii="Arial" w:eastAsia="Times New Roman" w:hAnsi="Arial" w:cs="Arial"/>
          <w:sz w:val="24"/>
          <w:szCs w:val="24"/>
          <w:lang w:eastAsia="es-CO"/>
        </w:rPr>
      </w:pPr>
    </w:p>
    <w:p w14:paraId="0CC46916" w14:textId="78C5A087" w:rsidR="009E0388" w:rsidRPr="00DC38EE" w:rsidRDefault="007F7862" w:rsidP="00F5242C">
      <w:pPr>
        <w:jc w:val="both"/>
        <w:rPr>
          <w:rFonts w:ascii="Arial" w:eastAsia="Times New Roman" w:hAnsi="Arial" w:cs="Arial"/>
          <w:sz w:val="24"/>
          <w:szCs w:val="24"/>
          <w:lang w:eastAsia="es-CO"/>
        </w:rPr>
      </w:pPr>
      <w:r>
        <w:rPr>
          <w:rFonts w:ascii="Arial" w:eastAsia="Times New Roman" w:hAnsi="Arial" w:cs="Arial"/>
          <w:b/>
          <w:bCs/>
          <w:sz w:val="24"/>
          <w:szCs w:val="24"/>
          <w:lang w:eastAsia="es-CO"/>
        </w:rPr>
        <w:t xml:space="preserve">Nota Especial: </w:t>
      </w:r>
      <w:r w:rsidR="00F5242C" w:rsidRPr="00F5242C">
        <w:rPr>
          <w:rFonts w:ascii="Arial" w:eastAsia="Times New Roman" w:hAnsi="Arial" w:cs="Arial"/>
          <w:sz w:val="24"/>
          <w:szCs w:val="24"/>
          <w:lang w:eastAsia="es-CO"/>
        </w:rPr>
        <w:t>Lo</w:t>
      </w:r>
      <w:r w:rsidR="009A0E27" w:rsidRPr="00DC38EE">
        <w:rPr>
          <w:rFonts w:ascii="Arial" w:eastAsia="Times New Roman" w:hAnsi="Arial" w:cs="Arial"/>
          <w:sz w:val="24"/>
          <w:szCs w:val="24"/>
          <w:lang w:eastAsia="es-CO"/>
        </w:rPr>
        <w:t xml:space="preserve">s proyectos recibidos </w:t>
      </w:r>
      <w:r w:rsidR="00F5242C">
        <w:rPr>
          <w:rFonts w:ascii="Arial" w:eastAsia="Times New Roman" w:hAnsi="Arial" w:cs="Arial"/>
          <w:sz w:val="24"/>
          <w:szCs w:val="24"/>
          <w:lang w:eastAsia="es-CO"/>
        </w:rPr>
        <w:t xml:space="preserve">y/o estructurados </w:t>
      </w:r>
      <w:r w:rsidR="0043288D">
        <w:rPr>
          <w:rFonts w:ascii="Arial" w:eastAsia="Times New Roman" w:hAnsi="Arial" w:cs="Arial"/>
          <w:sz w:val="24"/>
          <w:szCs w:val="24"/>
          <w:lang w:eastAsia="es-CO"/>
        </w:rPr>
        <w:t xml:space="preserve">por Fonenergía, </w:t>
      </w:r>
      <w:r w:rsidR="009A0E27" w:rsidRPr="00B56C62">
        <w:rPr>
          <w:rFonts w:ascii="Arial" w:eastAsia="Times New Roman" w:hAnsi="Arial" w:cs="Arial"/>
          <w:sz w:val="24"/>
          <w:szCs w:val="24"/>
          <w:highlight w:val="yellow"/>
          <w:lang w:eastAsia="es-CO"/>
        </w:rPr>
        <w:t>deben coincidir</w:t>
      </w:r>
      <w:r w:rsidR="009A0E27" w:rsidRPr="00DC38EE">
        <w:rPr>
          <w:rFonts w:ascii="Arial" w:eastAsia="Times New Roman" w:hAnsi="Arial" w:cs="Arial"/>
          <w:sz w:val="24"/>
          <w:szCs w:val="24"/>
          <w:lang w:eastAsia="es-CO"/>
        </w:rPr>
        <w:t xml:space="preserve"> en el número de usuarios beneficiados.</w:t>
      </w:r>
      <w:bookmarkEnd w:id="90"/>
    </w:p>
    <w:p w14:paraId="36E001FE" w14:textId="099D7FE2" w:rsidR="001C2088" w:rsidRDefault="001C2088" w:rsidP="00835D7F">
      <w:pPr>
        <w:pStyle w:val="Ttulo3"/>
        <w:ind w:left="720" w:hanging="720"/>
        <w:jc w:val="center"/>
      </w:pPr>
      <w:bookmarkStart w:id="91" w:name="_Toc224844321"/>
      <w:r>
        <w:t xml:space="preserve">CAPÍTULO </w:t>
      </w:r>
      <w:r w:rsidR="007E22DA">
        <w:t>IV</w:t>
      </w:r>
      <w:bookmarkEnd w:id="91"/>
    </w:p>
    <w:p w14:paraId="21DFF5FB" w14:textId="5846FBB6" w:rsidR="001C2088" w:rsidRDefault="001C2088" w:rsidP="00835D7F">
      <w:pPr>
        <w:pStyle w:val="Ttulo4"/>
        <w:ind w:left="864" w:hanging="864"/>
        <w:jc w:val="center"/>
      </w:pPr>
      <w:bookmarkStart w:id="92" w:name="_Toc224844322"/>
      <w:r>
        <w:t>PRIORIZACIÓN</w:t>
      </w:r>
      <w:bookmarkEnd w:id="92"/>
    </w:p>
    <w:p w14:paraId="08625ADC" w14:textId="77777777" w:rsidR="003C4E11" w:rsidRPr="003C4E11" w:rsidRDefault="003C4E11" w:rsidP="003C4E11"/>
    <w:p w14:paraId="7CAA325B" w14:textId="5978E081" w:rsidR="00102D8A" w:rsidRDefault="00102D8A" w:rsidP="00954F72">
      <w:pPr>
        <w:shd w:val="clear" w:color="auto" w:fill="FFFFFF"/>
        <w:spacing w:after="0"/>
        <w:jc w:val="both"/>
        <w:rPr>
          <w:rFonts w:ascii="Arial" w:eastAsia="Times New Roman" w:hAnsi="Arial" w:cs="Arial"/>
          <w:sz w:val="24"/>
          <w:szCs w:val="24"/>
          <w:lang w:eastAsia="es-CO"/>
        </w:rPr>
      </w:pPr>
      <w:commentRangeStart w:id="93"/>
      <w:r w:rsidRPr="00954F72">
        <w:rPr>
          <w:rFonts w:ascii="Arial" w:eastAsia="Times New Roman" w:hAnsi="Arial" w:cs="Arial"/>
          <w:sz w:val="24"/>
          <w:szCs w:val="24"/>
          <w:lang w:eastAsia="es-CO"/>
        </w:rPr>
        <w:t xml:space="preserve">El FONENERGÍA tendrá en cuenta los proyectos que se radiquen </w:t>
      </w:r>
      <w:r w:rsidR="00B56C62">
        <w:rPr>
          <w:rFonts w:ascii="Arial" w:eastAsia="Times New Roman" w:hAnsi="Arial" w:cs="Arial"/>
          <w:sz w:val="24"/>
          <w:szCs w:val="24"/>
          <w:lang w:eastAsia="es-CO"/>
        </w:rPr>
        <w:t xml:space="preserve">desde el 2 de enero </w:t>
      </w:r>
      <w:r w:rsidRPr="00954F72">
        <w:rPr>
          <w:rFonts w:ascii="Arial" w:eastAsia="Times New Roman" w:hAnsi="Arial" w:cs="Arial"/>
          <w:sz w:val="24"/>
          <w:szCs w:val="24"/>
          <w:lang w:eastAsia="es-CO"/>
        </w:rPr>
        <w:t>hasta el 30 de septiembre de</w:t>
      </w:r>
      <w:r w:rsidR="00B56C62">
        <w:rPr>
          <w:rFonts w:ascii="Arial" w:eastAsia="Times New Roman" w:hAnsi="Arial" w:cs="Arial"/>
          <w:sz w:val="24"/>
          <w:szCs w:val="24"/>
          <w:lang w:eastAsia="es-CO"/>
        </w:rPr>
        <w:t xml:space="preserve">l respectivo </w:t>
      </w:r>
      <w:r w:rsidRPr="00954F72">
        <w:rPr>
          <w:rFonts w:ascii="Arial" w:eastAsia="Times New Roman" w:hAnsi="Arial" w:cs="Arial"/>
          <w:sz w:val="24"/>
          <w:szCs w:val="24"/>
          <w:lang w:eastAsia="es-CO"/>
        </w:rPr>
        <w:t>año y presentará el orden de prioridad de los proyectos elegibles ante del 10 de diciembre de</w:t>
      </w:r>
      <w:r w:rsidR="00B56C62">
        <w:rPr>
          <w:rFonts w:ascii="Arial" w:eastAsia="Times New Roman" w:hAnsi="Arial" w:cs="Arial"/>
          <w:sz w:val="24"/>
          <w:szCs w:val="24"/>
          <w:lang w:eastAsia="es-CO"/>
        </w:rPr>
        <w:t xml:space="preserve">l correspondiente </w:t>
      </w:r>
      <w:r w:rsidRPr="00954F72">
        <w:rPr>
          <w:rFonts w:ascii="Arial" w:eastAsia="Times New Roman" w:hAnsi="Arial" w:cs="Arial"/>
          <w:sz w:val="24"/>
          <w:szCs w:val="24"/>
          <w:lang w:eastAsia="es-CO"/>
        </w:rPr>
        <w:t>año.</w:t>
      </w:r>
      <w:commentRangeEnd w:id="93"/>
      <w:r w:rsidR="00B56C62">
        <w:rPr>
          <w:rStyle w:val="Refdecomentario"/>
          <w:rFonts w:ascii="Arial" w:eastAsia="Times New Roman" w:hAnsi="Arial" w:cs="Arial"/>
          <w:sz w:val="24"/>
          <w:szCs w:val="24"/>
          <w:lang w:eastAsia="es-CO"/>
        </w:rPr>
        <w:commentReference w:id="93"/>
      </w:r>
    </w:p>
    <w:p w14:paraId="38C642B0" w14:textId="77777777" w:rsidR="00954F72" w:rsidRPr="00954F72" w:rsidRDefault="00954F72" w:rsidP="00954F72">
      <w:pPr>
        <w:shd w:val="clear" w:color="auto" w:fill="FFFFFF"/>
        <w:spacing w:after="0"/>
        <w:jc w:val="both"/>
        <w:rPr>
          <w:rFonts w:ascii="Arial" w:eastAsia="Times New Roman" w:hAnsi="Arial" w:cs="Arial"/>
          <w:sz w:val="24"/>
          <w:szCs w:val="24"/>
          <w:lang w:eastAsia="es-CO"/>
        </w:rPr>
      </w:pPr>
    </w:p>
    <w:p w14:paraId="285ABFDA" w14:textId="330E3D50" w:rsidR="00102D8A" w:rsidRPr="00954F72" w:rsidRDefault="00102D8A" w:rsidP="00954F72">
      <w:pPr>
        <w:shd w:val="clear" w:color="auto" w:fill="FFFFFF"/>
        <w:spacing w:after="0"/>
        <w:jc w:val="both"/>
        <w:rPr>
          <w:rFonts w:ascii="Arial" w:eastAsia="Times New Roman" w:hAnsi="Arial" w:cs="Arial"/>
          <w:sz w:val="24"/>
          <w:szCs w:val="24"/>
          <w:lang w:eastAsia="es-CO"/>
        </w:rPr>
      </w:pPr>
      <w:r w:rsidRPr="00954F72">
        <w:rPr>
          <w:rFonts w:ascii="Arial" w:eastAsia="Times New Roman" w:hAnsi="Arial" w:cs="Arial"/>
          <w:sz w:val="24"/>
          <w:szCs w:val="24"/>
          <w:lang w:eastAsia="es-CO"/>
        </w:rPr>
        <w:t xml:space="preserve">En el evento en que dos o más proyectos tengan como resultado el mismo nivel de priorización, tendrá prelación aquel que atienda el mayor número de </w:t>
      </w:r>
      <w:r w:rsidR="00B56C62">
        <w:rPr>
          <w:rFonts w:ascii="Arial" w:eastAsia="Times New Roman" w:hAnsi="Arial" w:cs="Arial"/>
          <w:sz w:val="24"/>
          <w:szCs w:val="24"/>
          <w:lang w:eastAsia="es-CO"/>
        </w:rPr>
        <w:t>usuarios</w:t>
      </w:r>
      <w:r w:rsidRPr="00954F72">
        <w:rPr>
          <w:rFonts w:ascii="Arial" w:eastAsia="Times New Roman" w:hAnsi="Arial" w:cs="Arial"/>
          <w:sz w:val="24"/>
          <w:szCs w:val="24"/>
          <w:lang w:eastAsia="es-CO"/>
        </w:rPr>
        <w:t>. Si persiste el empate</w:t>
      </w:r>
      <w:r w:rsidR="00B56C62">
        <w:rPr>
          <w:rFonts w:ascii="Arial" w:eastAsia="Times New Roman" w:hAnsi="Arial" w:cs="Arial"/>
          <w:sz w:val="24"/>
          <w:szCs w:val="24"/>
          <w:lang w:eastAsia="es-CO"/>
        </w:rPr>
        <w:t>,</w:t>
      </w:r>
      <w:r w:rsidRPr="00954F72">
        <w:rPr>
          <w:rFonts w:ascii="Arial" w:eastAsia="Times New Roman" w:hAnsi="Arial" w:cs="Arial"/>
          <w:sz w:val="24"/>
          <w:szCs w:val="24"/>
          <w:lang w:eastAsia="es-CO"/>
        </w:rPr>
        <w:t xml:space="preserve"> se deberá priorizar aquel proyecto que </w:t>
      </w:r>
      <w:r w:rsidR="00B56C62">
        <w:rPr>
          <w:rFonts w:ascii="Arial" w:eastAsia="Times New Roman" w:hAnsi="Arial" w:cs="Arial"/>
          <w:sz w:val="24"/>
          <w:szCs w:val="24"/>
          <w:lang w:eastAsia="es-CO"/>
        </w:rPr>
        <w:t>presente el menor costo por usuario</w:t>
      </w:r>
      <w:r w:rsidRPr="00954F72">
        <w:rPr>
          <w:rFonts w:ascii="Arial" w:eastAsia="Times New Roman" w:hAnsi="Arial" w:cs="Arial"/>
          <w:sz w:val="24"/>
          <w:szCs w:val="24"/>
          <w:lang w:eastAsia="es-CO"/>
        </w:rPr>
        <w:t>.</w:t>
      </w:r>
    </w:p>
    <w:p w14:paraId="66059F8D" w14:textId="77777777" w:rsidR="00102D8A" w:rsidRDefault="00102D8A" w:rsidP="00485266"/>
    <w:p w14:paraId="33B0527A" w14:textId="13F46E6B" w:rsidR="00D14A6B" w:rsidRDefault="00485266" w:rsidP="00B56C62">
      <w:pPr>
        <w:pStyle w:val="Ttulo5"/>
        <w:ind w:hanging="15"/>
        <w:jc w:val="both"/>
      </w:pPr>
      <w:bookmarkStart w:id="94" w:name="_Toc224844323"/>
      <w:r w:rsidRPr="00485266">
        <w:rPr>
          <w:bCs/>
        </w:rPr>
        <w:t xml:space="preserve">II-4.1 </w:t>
      </w:r>
      <w:r w:rsidR="00D74374" w:rsidRPr="00485266">
        <w:t>Metodología de cálc</w:t>
      </w:r>
      <w:r w:rsidR="000D2B2F" w:rsidRPr="00485266">
        <w:t>ulo del índice de priorización de proyectos de infraestructura elegibles, INPRI.</w:t>
      </w:r>
      <w:bookmarkEnd w:id="94"/>
    </w:p>
    <w:p w14:paraId="405B0524" w14:textId="77777777" w:rsidR="00B56C62" w:rsidRPr="00B56C62" w:rsidRDefault="00B56C62" w:rsidP="00B56C62"/>
    <w:p w14:paraId="75E8BD0E" w14:textId="77777777" w:rsidR="009F4A0B" w:rsidRDefault="009F4A0B" w:rsidP="008E39FD">
      <w:pPr>
        <w:spacing w:after="0"/>
        <w:jc w:val="both"/>
        <w:rPr>
          <w:rFonts w:ascii="Arial" w:eastAsia="Times New Roman" w:hAnsi="Arial" w:cs="Arial"/>
          <w:sz w:val="24"/>
          <w:szCs w:val="24"/>
        </w:rPr>
      </w:pPr>
      <w:r>
        <w:rPr>
          <w:rFonts w:ascii="Arial" w:eastAsia="Times New Roman" w:hAnsi="Arial" w:cs="Arial"/>
          <w:sz w:val="24"/>
          <w:szCs w:val="24"/>
        </w:rPr>
        <w:t>El FONENERGÍA a</w:t>
      </w:r>
      <w:r w:rsidRPr="00487A0A">
        <w:rPr>
          <w:rFonts w:ascii="Arial" w:eastAsia="Times New Roman" w:hAnsi="Arial" w:cs="Arial"/>
          <w:sz w:val="24"/>
          <w:szCs w:val="24"/>
        </w:rPr>
        <w:t>plicará la siguiente metodología</w:t>
      </w:r>
      <w:r>
        <w:rPr>
          <w:rFonts w:ascii="Arial" w:eastAsia="Times New Roman" w:hAnsi="Arial" w:cs="Arial"/>
          <w:sz w:val="24"/>
          <w:szCs w:val="24"/>
        </w:rPr>
        <w:t xml:space="preserve"> </w:t>
      </w:r>
      <w:r w:rsidRPr="00487A0A">
        <w:rPr>
          <w:rFonts w:ascii="Arial" w:eastAsia="Times New Roman" w:hAnsi="Arial" w:cs="Arial"/>
          <w:sz w:val="24"/>
          <w:szCs w:val="24"/>
        </w:rPr>
        <w:t>para el cálculo del Índice de Priorización de Proyectos de Infraestructura con concepto</w:t>
      </w:r>
      <w:r>
        <w:rPr>
          <w:rFonts w:ascii="Arial" w:eastAsia="Times New Roman" w:hAnsi="Arial" w:cs="Arial"/>
          <w:sz w:val="24"/>
          <w:szCs w:val="24"/>
        </w:rPr>
        <w:t xml:space="preserve"> </w:t>
      </w:r>
      <w:r w:rsidRPr="00487A0A">
        <w:rPr>
          <w:rFonts w:ascii="Arial" w:eastAsia="Times New Roman" w:hAnsi="Arial" w:cs="Arial"/>
          <w:sz w:val="24"/>
          <w:szCs w:val="24"/>
        </w:rPr>
        <w:t>favorable de elegibilidad</w:t>
      </w:r>
      <w:r>
        <w:rPr>
          <w:rFonts w:ascii="Arial" w:eastAsia="Times New Roman" w:hAnsi="Arial" w:cs="Arial"/>
          <w:sz w:val="24"/>
          <w:szCs w:val="24"/>
        </w:rPr>
        <w:t>.</w:t>
      </w:r>
    </w:p>
    <w:p w14:paraId="7CA9C25C" w14:textId="77777777" w:rsidR="009F4A0B" w:rsidRDefault="009F4A0B" w:rsidP="008E39FD">
      <w:pPr>
        <w:spacing w:after="0"/>
        <w:jc w:val="both"/>
        <w:rPr>
          <w:rFonts w:ascii="Arial" w:eastAsia="Times New Roman" w:hAnsi="Arial" w:cs="Arial"/>
          <w:sz w:val="24"/>
          <w:szCs w:val="24"/>
        </w:rPr>
      </w:pPr>
    </w:p>
    <w:p w14:paraId="1792426E" w14:textId="77777777" w:rsidR="009F4A0B" w:rsidRDefault="009F4A0B" w:rsidP="008E39FD">
      <w:pPr>
        <w:spacing w:after="0"/>
        <w:jc w:val="both"/>
        <w:rPr>
          <w:rFonts w:ascii="Arial" w:eastAsia="Times New Roman" w:hAnsi="Arial" w:cs="Arial"/>
          <w:sz w:val="24"/>
          <w:szCs w:val="24"/>
        </w:rPr>
      </w:pPr>
      <w:r w:rsidRPr="00CE4752">
        <w:rPr>
          <w:rFonts w:ascii="Arial" w:eastAsia="Times New Roman" w:hAnsi="Arial" w:cs="Arial"/>
          <w:sz w:val="24"/>
          <w:szCs w:val="24"/>
        </w:rPr>
        <w:t>Para calcular este indicador se aplica la siguiente ecuación:</w:t>
      </w:r>
    </w:p>
    <w:p w14:paraId="610B24F0" w14:textId="77777777" w:rsidR="009F4A0B" w:rsidRDefault="009F4A0B" w:rsidP="008E39FD">
      <w:pPr>
        <w:spacing w:after="0"/>
        <w:jc w:val="both"/>
        <w:rPr>
          <w:rFonts w:ascii="Arial" w:eastAsia="Times New Roman" w:hAnsi="Arial" w:cs="Arial"/>
          <w:sz w:val="24"/>
          <w:szCs w:val="24"/>
        </w:rPr>
      </w:pPr>
    </w:p>
    <w:p w14:paraId="0395071F" w14:textId="1003A171" w:rsidR="009F4A0B" w:rsidRPr="005F31DF" w:rsidRDefault="009F4A0B" w:rsidP="008E39FD">
      <w:pPr>
        <w:spacing w:after="0"/>
        <w:jc w:val="center"/>
        <w:rPr>
          <w:rFonts w:ascii="Arial" w:eastAsia="Times New Roman" w:hAnsi="Arial" w:cs="Arial"/>
          <w:b/>
          <w:sz w:val="24"/>
          <w:szCs w:val="24"/>
          <w:lang w:val="de-DE"/>
        </w:rPr>
      </w:pPr>
      <w:r w:rsidRPr="005F31DF">
        <w:rPr>
          <w:rFonts w:ascii="Arial" w:eastAsia="Times New Roman" w:hAnsi="Arial" w:cs="Arial"/>
          <w:b/>
          <w:sz w:val="24"/>
          <w:szCs w:val="24"/>
          <w:lang w:val="de-DE"/>
        </w:rPr>
        <w:t xml:space="preserve">INPRI = </w:t>
      </w:r>
      <w:r w:rsidR="00B56C62">
        <w:rPr>
          <w:rFonts w:ascii="Arial" w:eastAsia="Times New Roman" w:hAnsi="Arial" w:cs="Arial"/>
          <w:b/>
          <w:sz w:val="24"/>
          <w:szCs w:val="24"/>
          <w:lang w:val="de-DE"/>
        </w:rPr>
        <w:t>(</w:t>
      </w:r>
      <w:r w:rsidRPr="005F31DF">
        <w:rPr>
          <w:rFonts w:ascii="Arial" w:eastAsia="Times New Roman" w:hAnsi="Arial" w:cs="Arial"/>
          <w:b/>
          <w:sz w:val="24"/>
          <w:szCs w:val="24"/>
          <w:lang w:val="de-DE"/>
        </w:rPr>
        <w:t>NBI * COB * Dm * L * CO</w:t>
      </w:r>
      <w:r w:rsidR="00B56C62">
        <w:rPr>
          <w:rFonts w:ascii="Arial" w:eastAsia="Times New Roman" w:hAnsi="Arial" w:cs="Arial"/>
          <w:b/>
          <w:sz w:val="24"/>
          <w:szCs w:val="24"/>
          <w:lang w:val="de-DE"/>
        </w:rPr>
        <w:t>) + 0,1</w:t>
      </w:r>
    </w:p>
    <w:p w14:paraId="073EF460" w14:textId="77777777" w:rsidR="009F4A0B" w:rsidRPr="005F31DF" w:rsidRDefault="009F4A0B" w:rsidP="008E39FD">
      <w:pPr>
        <w:spacing w:after="0"/>
        <w:rPr>
          <w:rFonts w:ascii="Arial" w:eastAsia="Times New Roman" w:hAnsi="Arial" w:cs="Arial"/>
          <w:sz w:val="24"/>
          <w:szCs w:val="24"/>
          <w:lang w:val="de-DE"/>
        </w:rPr>
      </w:pPr>
    </w:p>
    <w:p w14:paraId="1531BEA0" w14:textId="77777777" w:rsidR="009F4A0B" w:rsidRDefault="009F4A0B" w:rsidP="008E39FD">
      <w:pPr>
        <w:spacing w:after="0"/>
        <w:rPr>
          <w:rFonts w:ascii="Arial" w:eastAsia="Times New Roman" w:hAnsi="Arial" w:cs="Arial"/>
          <w:sz w:val="24"/>
          <w:szCs w:val="24"/>
        </w:rPr>
      </w:pPr>
      <w:r w:rsidRPr="007A6730">
        <w:rPr>
          <w:rFonts w:ascii="Arial" w:eastAsia="Times New Roman" w:hAnsi="Arial" w:cs="Arial"/>
          <w:sz w:val="24"/>
          <w:szCs w:val="24"/>
        </w:rPr>
        <w:t>Lo anterior, aplica con fundamento en los siguientes criterios:</w:t>
      </w:r>
    </w:p>
    <w:p w14:paraId="49BD6AD2" w14:textId="77777777" w:rsidR="009E0388" w:rsidRPr="00C63186" w:rsidRDefault="009E0388" w:rsidP="008E39FD">
      <w:pPr>
        <w:spacing w:after="0"/>
        <w:jc w:val="both"/>
        <w:rPr>
          <w:rFonts w:ascii="Arial" w:eastAsia="Times New Roman" w:hAnsi="Arial" w:cs="Arial"/>
        </w:rPr>
      </w:pPr>
    </w:p>
    <w:p w14:paraId="7498F523" w14:textId="77777777" w:rsidR="00F81496" w:rsidRPr="007A6730" w:rsidRDefault="00F81496" w:rsidP="008E39FD">
      <w:pPr>
        <w:spacing w:after="0"/>
        <w:ind w:left="567"/>
        <w:jc w:val="both"/>
        <w:rPr>
          <w:rFonts w:ascii="Arial" w:hAnsi="Arial" w:cs="Arial"/>
          <w:sz w:val="24"/>
          <w:szCs w:val="24"/>
        </w:rPr>
      </w:pPr>
      <w:r w:rsidRPr="00B56C62">
        <w:rPr>
          <w:rFonts w:ascii="Arial" w:hAnsi="Arial" w:cs="Arial"/>
          <w:sz w:val="24"/>
          <w:szCs w:val="24"/>
        </w:rPr>
        <w:t>a)</w:t>
      </w:r>
      <w:r w:rsidRPr="007A6730">
        <w:rPr>
          <w:rFonts w:ascii="Arial" w:hAnsi="Arial" w:cs="Arial"/>
          <w:sz w:val="24"/>
          <w:szCs w:val="24"/>
        </w:rPr>
        <w:t xml:space="preserve"> Mayor Índice de Necesidades Básicas Insatisfechas (NBI), definido por el Departamento Administrativo Nacional de Estadística, DANE, para el municipio, sector rural o para la población objeto del proyecto. En este último caso, el Solicitante deberá adjuntar, a su costo, la certificación de dicho índice.</w:t>
      </w:r>
    </w:p>
    <w:p w14:paraId="2B013E45" w14:textId="77777777" w:rsidR="00F81496" w:rsidRPr="007A6730" w:rsidRDefault="00F81496" w:rsidP="008E39FD">
      <w:pPr>
        <w:spacing w:after="0"/>
        <w:ind w:left="567"/>
        <w:jc w:val="both"/>
        <w:rPr>
          <w:rFonts w:ascii="Arial" w:hAnsi="Arial" w:cs="Arial"/>
          <w:sz w:val="24"/>
          <w:szCs w:val="24"/>
        </w:rPr>
      </w:pPr>
    </w:p>
    <w:p w14:paraId="69BEAEF6" w14:textId="77777777" w:rsidR="00F81496" w:rsidRPr="007A6730" w:rsidRDefault="00F81496" w:rsidP="008E39FD">
      <w:pPr>
        <w:spacing w:after="0"/>
        <w:ind w:left="567"/>
        <w:jc w:val="both"/>
        <w:rPr>
          <w:rFonts w:ascii="Arial" w:hAnsi="Arial" w:cs="Arial"/>
          <w:sz w:val="24"/>
          <w:szCs w:val="24"/>
        </w:rPr>
      </w:pPr>
      <w:r w:rsidRPr="00B56C62">
        <w:rPr>
          <w:rFonts w:ascii="Arial" w:hAnsi="Arial" w:cs="Arial"/>
          <w:sz w:val="24"/>
          <w:szCs w:val="24"/>
        </w:rPr>
        <w:t>b)</w:t>
      </w:r>
      <w:r w:rsidRPr="007A6730">
        <w:rPr>
          <w:rFonts w:ascii="Arial" w:hAnsi="Arial" w:cs="Arial"/>
          <w:sz w:val="24"/>
          <w:szCs w:val="24"/>
        </w:rPr>
        <w:t xml:space="preserve"> Número de usuarios directamente beneficiados con el proyecto. </w:t>
      </w:r>
    </w:p>
    <w:p w14:paraId="534B01A9" w14:textId="77777777" w:rsidR="00F81496" w:rsidRPr="007A6730" w:rsidRDefault="00F81496" w:rsidP="008E39FD">
      <w:pPr>
        <w:spacing w:after="0"/>
        <w:ind w:left="567"/>
        <w:jc w:val="both"/>
        <w:rPr>
          <w:rFonts w:ascii="Arial" w:hAnsi="Arial" w:cs="Arial"/>
          <w:sz w:val="24"/>
          <w:szCs w:val="24"/>
        </w:rPr>
      </w:pPr>
    </w:p>
    <w:p w14:paraId="7F8B989E" w14:textId="77777777" w:rsidR="00F81496" w:rsidRPr="007A6730" w:rsidRDefault="00F81496" w:rsidP="008E39FD">
      <w:pPr>
        <w:spacing w:after="0"/>
        <w:ind w:left="567"/>
        <w:jc w:val="both"/>
        <w:rPr>
          <w:rFonts w:ascii="Arial" w:hAnsi="Arial" w:cs="Arial"/>
          <w:sz w:val="24"/>
          <w:szCs w:val="24"/>
        </w:rPr>
      </w:pPr>
      <w:r w:rsidRPr="00B56C62">
        <w:rPr>
          <w:rFonts w:ascii="Arial" w:hAnsi="Arial" w:cs="Arial"/>
          <w:sz w:val="24"/>
          <w:szCs w:val="24"/>
        </w:rPr>
        <w:t>c)</w:t>
      </w:r>
      <w:r w:rsidRPr="007A6730">
        <w:rPr>
          <w:rFonts w:ascii="Arial" w:hAnsi="Arial" w:cs="Arial"/>
          <w:sz w:val="24"/>
          <w:szCs w:val="24"/>
        </w:rPr>
        <w:t xml:space="preserve"> Demanda de gas combustible esperada por el proyecto. </w:t>
      </w:r>
    </w:p>
    <w:p w14:paraId="296AD8A4" w14:textId="77777777" w:rsidR="00F81496" w:rsidRPr="007A6730" w:rsidRDefault="00F81496" w:rsidP="008E39FD">
      <w:pPr>
        <w:spacing w:after="0"/>
        <w:ind w:left="567"/>
        <w:jc w:val="both"/>
        <w:rPr>
          <w:rFonts w:ascii="Arial" w:hAnsi="Arial" w:cs="Arial"/>
          <w:sz w:val="24"/>
          <w:szCs w:val="24"/>
        </w:rPr>
      </w:pPr>
    </w:p>
    <w:p w14:paraId="0305CD25" w14:textId="77777777" w:rsidR="00F81496" w:rsidRDefault="00F81496" w:rsidP="008E39FD">
      <w:pPr>
        <w:spacing w:after="0"/>
        <w:ind w:left="567"/>
        <w:jc w:val="both"/>
        <w:rPr>
          <w:rFonts w:ascii="Arial" w:hAnsi="Arial" w:cs="Arial"/>
          <w:sz w:val="24"/>
          <w:szCs w:val="24"/>
        </w:rPr>
      </w:pPr>
      <w:r w:rsidRPr="00B56C62">
        <w:rPr>
          <w:rFonts w:ascii="Arial" w:hAnsi="Arial" w:cs="Arial"/>
          <w:sz w:val="24"/>
          <w:szCs w:val="24"/>
        </w:rPr>
        <w:t>d)</w:t>
      </w:r>
      <w:r w:rsidRPr="007A6730">
        <w:rPr>
          <w:rFonts w:ascii="Arial" w:hAnsi="Arial" w:cs="Arial"/>
          <w:sz w:val="24"/>
          <w:szCs w:val="24"/>
        </w:rPr>
        <w:t xml:space="preserve"> Ubicación del proyecto dentro del área de influencia del gasoducto troncal o fuente de abastecimiento de gas combustible. </w:t>
      </w:r>
    </w:p>
    <w:p w14:paraId="7FB5C5A7" w14:textId="77777777" w:rsidR="00C57A43" w:rsidRDefault="00C57A43" w:rsidP="008E39FD">
      <w:pPr>
        <w:spacing w:after="0"/>
        <w:ind w:left="567"/>
        <w:jc w:val="both"/>
        <w:rPr>
          <w:rFonts w:ascii="Arial" w:hAnsi="Arial" w:cs="Arial"/>
          <w:sz w:val="24"/>
          <w:szCs w:val="24"/>
        </w:rPr>
      </w:pPr>
    </w:p>
    <w:p w14:paraId="408CA850" w14:textId="4D3B54C0" w:rsidR="00F81496" w:rsidRDefault="00C57A43" w:rsidP="00C57A43">
      <w:pPr>
        <w:spacing w:after="0"/>
        <w:ind w:left="567"/>
        <w:jc w:val="both"/>
        <w:rPr>
          <w:rFonts w:ascii="Arial" w:hAnsi="Arial" w:cs="Arial"/>
          <w:sz w:val="24"/>
          <w:szCs w:val="24"/>
        </w:rPr>
      </w:pPr>
      <w:r w:rsidRPr="00C57A43">
        <w:rPr>
          <w:rFonts w:ascii="Arial" w:hAnsi="Arial" w:cs="Arial"/>
          <w:sz w:val="24"/>
          <w:szCs w:val="24"/>
        </w:rPr>
        <w:t>e)</w:t>
      </w:r>
      <w:r>
        <w:rPr>
          <w:rFonts w:ascii="Arial" w:hAnsi="Arial" w:cs="Arial"/>
          <w:sz w:val="24"/>
          <w:szCs w:val="24"/>
        </w:rPr>
        <w:t xml:space="preserve"> </w:t>
      </w:r>
      <w:r w:rsidR="00F81496" w:rsidRPr="00C57A43">
        <w:rPr>
          <w:rFonts w:ascii="Arial" w:hAnsi="Arial" w:cs="Arial"/>
          <w:sz w:val="24"/>
          <w:szCs w:val="24"/>
        </w:rPr>
        <w:t>Cofinanciación, distinta de la que se solicita al Fondo, respecto del valor total del proyecto de infraestructura.</w:t>
      </w:r>
    </w:p>
    <w:p w14:paraId="537ADFAC" w14:textId="77777777" w:rsidR="00C57A43" w:rsidRDefault="00C57A43" w:rsidP="00C57A43">
      <w:pPr>
        <w:spacing w:after="0"/>
        <w:ind w:left="567"/>
        <w:jc w:val="both"/>
        <w:rPr>
          <w:rFonts w:ascii="Arial" w:hAnsi="Arial" w:cs="Arial"/>
          <w:sz w:val="24"/>
          <w:szCs w:val="24"/>
        </w:rPr>
      </w:pPr>
    </w:p>
    <w:p w14:paraId="1523BC45" w14:textId="77777777" w:rsidR="00C57A43" w:rsidRPr="00C57A43" w:rsidRDefault="00C57A43" w:rsidP="00C57A43">
      <w:pPr>
        <w:spacing w:after="0"/>
        <w:ind w:left="567"/>
        <w:jc w:val="both"/>
        <w:rPr>
          <w:rFonts w:ascii="Arial" w:hAnsi="Arial" w:cs="Arial"/>
          <w:b/>
          <w:bCs/>
          <w:sz w:val="24"/>
          <w:szCs w:val="24"/>
        </w:rPr>
      </w:pPr>
      <w:r w:rsidRPr="00C57A43">
        <w:rPr>
          <w:rFonts w:ascii="Arial" w:hAnsi="Arial" w:cs="Arial"/>
          <w:sz w:val="24"/>
          <w:szCs w:val="24"/>
        </w:rPr>
        <w:t>f) Valor adicional para</w:t>
      </w:r>
      <w:r w:rsidRPr="00C57A43">
        <w:rPr>
          <w:rFonts w:ascii="Arial" w:hAnsi="Arial" w:cs="Arial"/>
          <w:b/>
          <w:bCs/>
          <w:sz w:val="24"/>
          <w:szCs w:val="24"/>
        </w:rPr>
        <w:t xml:space="preserve"> </w:t>
      </w:r>
      <w:r w:rsidRPr="00C57A43">
        <w:rPr>
          <w:rFonts w:ascii="Arial" w:hAnsi="Arial" w:cs="Arial"/>
          <w:sz w:val="24"/>
          <w:szCs w:val="24"/>
        </w:rPr>
        <w:t>aquellos proyectos cuyos beneficiarios acrediten, por parte de la autoridad competente, que pertenecen a determinado grupo étnico.</w:t>
      </w:r>
    </w:p>
    <w:p w14:paraId="5933BF59" w14:textId="16FA4DA1" w:rsidR="00C57A43" w:rsidRPr="00C57A43" w:rsidRDefault="00C57A43" w:rsidP="00C57A43">
      <w:pPr>
        <w:spacing w:after="0"/>
        <w:ind w:left="567"/>
        <w:jc w:val="both"/>
        <w:rPr>
          <w:rFonts w:ascii="Arial" w:hAnsi="Arial" w:cs="Arial"/>
          <w:sz w:val="24"/>
          <w:szCs w:val="24"/>
        </w:rPr>
      </w:pPr>
    </w:p>
    <w:p w14:paraId="0F7A934A" w14:textId="0C50BB4E" w:rsidR="00E570F9" w:rsidRPr="007F667D" w:rsidRDefault="007F667D" w:rsidP="00E82DCB">
      <w:pPr>
        <w:pStyle w:val="Ttulo5"/>
        <w:ind w:left="1008" w:hanging="1008"/>
      </w:pPr>
      <w:bookmarkStart w:id="95" w:name="_Toc224844324"/>
      <w:r w:rsidRPr="007F667D">
        <w:rPr>
          <w:bCs/>
        </w:rPr>
        <w:t xml:space="preserve">II-4.2 </w:t>
      </w:r>
      <w:r w:rsidR="00E570F9" w:rsidRPr="007F667D">
        <w:t>Indicador para priorizar proyectos de infraestructura, INPRI</w:t>
      </w:r>
      <w:bookmarkEnd w:id="95"/>
      <w:r w:rsidR="00E570F9" w:rsidRPr="007F667D">
        <w:t xml:space="preserve"> </w:t>
      </w:r>
    </w:p>
    <w:p w14:paraId="6C713EC5" w14:textId="77777777" w:rsidR="00E570F9" w:rsidRPr="007A6730" w:rsidRDefault="00E570F9" w:rsidP="008E39FD">
      <w:pPr>
        <w:spacing w:after="0"/>
        <w:jc w:val="both"/>
        <w:rPr>
          <w:rFonts w:ascii="Arial" w:hAnsi="Arial" w:cs="Arial"/>
          <w:sz w:val="24"/>
          <w:szCs w:val="24"/>
        </w:rPr>
      </w:pPr>
    </w:p>
    <w:p w14:paraId="4F81F0F2" w14:textId="77777777" w:rsidR="00E570F9" w:rsidRPr="007A6730" w:rsidRDefault="00E570F9" w:rsidP="008E39FD">
      <w:pPr>
        <w:spacing w:after="0"/>
        <w:jc w:val="both"/>
        <w:rPr>
          <w:rFonts w:ascii="Arial" w:eastAsia="Times New Roman" w:hAnsi="Arial" w:cs="Arial"/>
          <w:sz w:val="24"/>
          <w:szCs w:val="24"/>
        </w:rPr>
      </w:pPr>
      <w:r w:rsidRPr="007A6730">
        <w:rPr>
          <w:rFonts w:ascii="Arial" w:eastAsia="Times New Roman" w:hAnsi="Arial" w:cs="Arial"/>
          <w:sz w:val="24"/>
          <w:szCs w:val="24"/>
        </w:rPr>
        <w:lastRenderedPageBreak/>
        <w:t>Los proyectos e</w:t>
      </w:r>
      <w:r>
        <w:rPr>
          <w:rFonts w:ascii="Arial" w:eastAsia="Times New Roman" w:hAnsi="Arial" w:cs="Arial"/>
          <w:sz w:val="24"/>
          <w:szCs w:val="24"/>
        </w:rPr>
        <w:t>legibles</w:t>
      </w:r>
      <w:r w:rsidRPr="007A6730">
        <w:rPr>
          <w:rFonts w:ascii="Arial" w:eastAsia="Times New Roman" w:hAnsi="Arial" w:cs="Arial"/>
          <w:sz w:val="24"/>
          <w:szCs w:val="24"/>
        </w:rPr>
        <w:t xml:space="preserve"> se clasificarán una vez al año por </w:t>
      </w:r>
      <w:r>
        <w:rPr>
          <w:rFonts w:ascii="Arial" w:eastAsia="Times New Roman" w:hAnsi="Arial" w:cs="Arial"/>
          <w:sz w:val="24"/>
          <w:szCs w:val="24"/>
        </w:rPr>
        <w:t>el FONENERGÍA</w:t>
      </w:r>
      <w:r w:rsidRPr="007A6730">
        <w:rPr>
          <w:rFonts w:ascii="Arial" w:eastAsia="Times New Roman" w:hAnsi="Arial" w:cs="Arial"/>
          <w:sz w:val="24"/>
          <w:szCs w:val="24"/>
        </w:rPr>
        <w:t>, según el indicador de priorización establecido a continuación:</w:t>
      </w:r>
    </w:p>
    <w:p w14:paraId="4705449D" w14:textId="77777777" w:rsidR="00E570F9" w:rsidRPr="007A6730" w:rsidRDefault="00E570F9" w:rsidP="008E39FD">
      <w:pPr>
        <w:spacing w:after="0"/>
        <w:jc w:val="both"/>
        <w:rPr>
          <w:rFonts w:ascii="Arial" w:hAnsi="Arial" w:cs="Arial"/>
          <w:sz w:val="24"/>
          <w:szCs w:val="24"/>
        </w:rPr>
      </w:pPr>
    </w:p>
    <w:p w14:paraId="30260690" w14:textId="2E775C95" w:rsidR="00E570F9" w:rsidRPr="007A6730" w:rsidRDefault="00E570F9" w:rsidP="00C57A43">
      <w:pPr>
        <w:pStyle w:val="Prrafodelista"/>
        <w:numPr>
          <w:ilvl w:val="0"/>
          <w:numId w:val="140"/>
        </w:numPr>
        <w:spacing w:after="0"/>
        <w:ind w:left="567" w:firstLine="0"/>
        <w:jc w:val="both"/>
        <w:rPr>
          <w:rFonts w:ascii="Arial" w:hAnsi="Arial" w:cs="Arial"/>
          <w:b/>
          <w:bCs/>
          <w:sz w:val="24"/>
          <w:szCs w:val="24"/>
        </w:rPr>
      </w:pPr>
      <w:r w:rsidRPr="007A6730">
        <w:rPr>
          <w:rFonts w:ascii="Arial" w:hAnsi="Arial" w:cs="Arial"/>
          <w:b/>
          <w:bCs/>
          <w:sz w:val="24"/>
          <w:szCs w:val="24"/>
        </w:rPr>
        <w:t>NBI:</w:t>
      </w:r>
      <w:r w:rsidRPr="007A6730">
        <w:rPr>
          <w:rFonts w:ascii="Arial" w:hAnsi="Arial" w:cs="Arial"/>
          <w:sz w:val="24"/>
          <w:szCs w:val="24"/>
        </w:rPr>
        <w:t xml:space="preserve"> </w:t>
      </w:r>
      <w:r w:rsidRPr="007A6730">
        <w:rPr>
          <w:rFonts w:ascii="Arial" w:hAnsi="Arial" w:cs="Arial"/>
          <w:b/>
          <w:bCs/>
          <w:sz w:val="24"/>
          <w:szCs w:val="24"/>
        </w:rPr>
        <w:t xml:space="preserve">Índice de </w:t>
      </w:r>
      <w:r w:rsidR="00C57A43">
        <w:rPr>
          <w:rFonts w:ascii="Arial" w:hAnsi="Arial" w:cs="Arial"/>
          <w:b/>
          <w:bCs/>
          <w:sz w:val="24"/>
          <w:szCs w:val="24"/>
        </w:rPr>
        <w:t>N</w:t>
      </w:r>
      <w:r w:rsidRPr="007A6730">
        <w:rPr>
          <w:rFonts w:ascii="Arial" w:hAnsi="Arial" w:cs="Arial"/>
          <w:b/>
          <w:bCs/>
          <w:sz w:val="24"/>
          <w:szCs w:val="24"/>
        </w:rPr>
        <w:t xml:space="preserve">ecesidades </w:t>
      </w:r>
      <w:r w:rsidR="00C57A43">
        <w:rPr>
          <w:rFonts w:ascii="Arial" w:hAnsi="Arial" w:cs="Arial"/>
          <w:b/>
          <w:bCs/>
          <w:sz w:val="24"/>
          <w:szCs w:val="24"/>
        </w:rPr>
        <w:t>B</w:t>
      </w:r>
      <w:r w:rsidRPr="007A6730">
        <w:rPr>
          <w:rFonts w:ascii="Arial" w:hAnsi="Arial" w:cs="Arial"/>
          <w:b/>
          <w:bCs/>
          <w:sz w:val="24"/>
          <w:szCs w:val="24"/>
        </w:rPr>
        <w:t xml:space="preserve">ásicas </w:t>
      </w:r>
      <w:r w:rsidR="00C57A43">
        <w:rPr>
          <w:rFonts w:ascii="Arial" w:hAnsi="Arial" w:cs="Arial"/>
          <w:b/>
          <w:bCs/>
          <w:sz w:val="24"/>
          <w:szCs w:val="24"/>
        </w:rPr>
        <w:t>I</w:t>
      </w:r>
      <w:r w:rsidRPr="007A6730">
        <w:rPr>
          <w:rFonts w:ascii="Arial" w:hAnsi="Arial" w:cs="Arial"/>
          <w:b/>
          <w:bCs/>
          <w:sz w:val="24"/>
          <w:szCs w:val="24"/>
        </w:rPr>
        <w:t xml:space="preserve">nsatisfechas </w:t>
      </w:r>
    </w:p>
    <w:p w14:paraId="3DD69FC0" w14:textId="77777777" w:rsidR="00E570F9" w:rsidRPr="007A6730" w:rsidRDefault="00E570F9" w:rsidP="00C57A43">
      <w:pPr>
        <w:spacing w:after="0"/>
        <w:ind w:left="567"/>
        <w:jc w:val="both"/>
        <w:rPr>
          <w:rFonts w:ascii="Arial" w:hAnsi="Arial" w:cs="Arial"/>
          <w:sz w:val="24"/>
          <w:szCs w:val="24"/>
        </w:rPr>
      </w:pPr>
    </w:p>
    <w:p w14:paraId="6DBB4FA1" w14:textId="77777777" w:rsidR="00E570F9" w:rsidRPr="007A6730" w:rsidRDefault="00E570F9" w:rsidP="00C57A43">
      <w:pPr>
        <w:spacing w:after="0"/>
        <w:ind w:left="567"/>
        <w:jc w:val="both"/>
        <w:rPr>
          <w:rFonts w:ascii="Arial" w:hAnsi="Arial" w:cs="Arial"/>
          <w:sz w:val="24"/>
          <w:szCs w:val="24"/>
        </w:rPr>
      </w:pPr>
      <w:r w:rsidRPr="007A6730">
        <w:rPr>
          <w:rFonts w:ascii="Arial" w:hAnsi="Arial" w:cs="Arial"/>
          <w:sz w:val="24"/>
          <w:szCs w:val="24"/>
        </w:rPr>
        <w:t xml:space="preserve">Mayor índice de Necesidades Básicas Insatisfechas (NBI) definido por el Departamento Administrativo Nacional de Estadística, DANE, para el municipio, sector rural o para la población objeto del proyecto. En este último caso, el Solicitante deberá adjuntar, a su costo, la certificación de dicho índice. Para proyectos que beneficien a poblaciones de distintos municipios, y que van a ser atendidos por el mismo Solicitante, se tendrá en cuenta si es rural o urbana, posteriormente se calculará el NBI del proyecto como promedio ponderado. </w:t>
      </w:r>
    </w:p>
    <w:p w14:paraId="45EACD3F" w14:textId="77777777" w:rsidR="00E570F9" w:rsidRPr="007A6730" w:rsidRDefault="00E570F9" w:rsidP="00C57A43">
      <w:pPr>
        <w:spacing w:after="0"/>
        <w:ind w:left="567"/>
        <w:jc w:val="both"/>
        <w:rPr>
          <w:rFonts w:ascii="Arial" w:hAnsi="Arial" w:cs="Arial"/>
          <w:sz w:val="24"/>
          <w:szCs w:val="24"/>
        </w:rPr>
      </w:pPr>
    </w:p>
    <w:p w14:paraId="5BD0CA2B" w14:textId="77777777" w:rsidR="00E570F9" w:rsidRPr="007A6730" w:rsidRDefault="00E570F9" w:rsidP="00C57A43">
      <w:pPr>
        <w:pStyle w:val="Prrafodelista"/>
        <w:numPr>
          <w:ilvl w:val="0"/>
          <w:numId w:val="140"/>
        </w:numPr>
        <w:spacing w:after="0"/>
        <w:ind w:left="567" w:firstLine="0"/>
        <w:jc w:val="both"/>
        <w:rPr>
          <w:rFonts w:ascii="Arial" w:hAnsi="Arial" w:cs="Arial"/>
          <w:b/>
          <w:bCs/>
          <w:sz w:val="24"/>
          <w:szCs w:val="24"/>
        </w:rPr>
      </w:pPr>
      <w:r w:rsidRPr="007A6730">
        <w:rPr>
          <w:rFonts w:ascii="Arial" w:hAnsi="Arial" w:cs="Arial"/>
          <w:b/>
          <w:bCs/>
          <w:sz w:val="24"/>
          <w:szCs w:val="24"/>
        </w:rPr>
        <w:t>COB: Índice de cobertura</w:t>
      </w:r>
    </w:p>
    <w:p w14:paraId="73E8BD1E" w14:textId="77777777" w:rsidR="00E570F9" w:rsidRPr="007A6730" w:rsidRDefault="00E570F9" w:rsidP="00C57A43">
      <w:pPr>
        <w:spacing w:after="0"/>
        <w:ind w:left="567"/>
        <w:jc w:val="both"/>
        <w:rPr>
          <w:rFonts w:ascii="Arial" w:hAnsi="Arial" w:cs="Arial"/>
          <w:sz w:val="24"/>
          <w:szCs w:val="24"/>
        </w:rPr>
      </w:pPr>
    </w:p>
    <w:p w14:paraId="42AC1E83" w14:textId="6BE36C70" w:rsidR="00E570F9" w:rsidRDefault="00E570F9" w:rsidP="00C57A43">
      <w:pPr>
        <w:spacing w:after="0"/>
        <w:ind w:left="567"/>
        <w:jc w:val="both"/>
        <w:rPr>
          <w:rFonts w:ascii="Arial" w:hAnsi="Arial" w:cs="Arial"/>
          <w:sz w:val="24"/>
          <w:szCs w:val="24"/>
        </w:rPr>
      </w:pPr>
      <w:r w:rsidRPr="007A6730">
        <w:rPr>
          <w:rFonts w:ascii="Arial" w:hAnsi="Arial" w:cs="Arial"/>
          <w:sz w:val="24"/>
          <w:szCs w:val="24"/>
        </w:rPr>
        <w:t>Corresponde a los datos reportados en el proyecto, relacionado con los usuarios beneficiados y el número de viviendas del centro poblado, información que se obtiene del estudio de mercado</w:t>
      </w:r>
      <w:r w:rsidR="00C57A43">
        <w:rPr>
          <w:rFonts w:ascii="Arial" w:hAnsi="Arial" w:cs="Arial"/>
          <w:sz w:val="24"/>
          <w:szCs w:val="24"/>
        </w:rPr>
        <w:t>:</w:t>
      </w:r>
      <w:r w:rsidRPr="007A6730">
        <w:rPr>
          <w:rFonts w:ascii="Arial" w:hAnsi="Arial" w:cs="Arial"/>
          <w:sz w:val="24"/>
          <w:szCs w:val="24"/>
        </w:rPr>
        <w:t xml:space="preserve"> </w:t>
      </w:r>
    </w:p>
    <w:p w14:paraId="601B4FBF" w14:textId="77777777" w:rsidR="00E570F9" w:rsidRDefault="00E570F9" w:rsidP="00C57A43">
      <w:pPr>
        <w:spacing w:after="0"/>
        <w:ind w:left="567"/>
        <w:jc w:val="both"/>
        <w:rPr>
          <w:rFonts w:ascii="Arial" w:hAnsi="Arial" w:cs="Arial"/>
          <w:sz w:val="24"/>
          <w:szCs w:val="24"/>
        </w:rPr>
      </w:pPr>
    </w:p>
    <w:p w14:paraId="12CF2928" w14:textId="77777777" w:rsidR="00E570F9" w:rsidRPr="00C57A43" w:rsidRDefault="00E570F9" w:rsidP="00C57A43">
      <w:pPr>
        <w:spacing w:after="0"/>
        <w:ind w:left="1983" w:firstLine="141"/>
        <w:rPr>
          <w:rFonts w:ascii="Arial" w:hAnsi="Arial" w:cs="Arial"/>
          <w:sz w:val="24"/>
          <w:szCs w:val="24"/>
        </w:rPr>
      </w:pPr>
      <w:r w:rsidRPr="00C57A43">
        <w:rPr>
          <w:rFonts w:ascii="Arial" w:hAnsi="Arial" w:cs="Arial"/>
          <w:sz w:val="24"/>
          <w:szCs w:val="24"/>
        </w:rPr>
        <w:t>COB= NU/VI</w:t>
      </w:r>
    </w:p>
    <w:p w14:paraId="306AA40C" w14:textId="77777777" w:rsidR="00E570F9" w:rsidRPr="007A6730" w:rsidRDefault="00E570F9" w:rsidP="00C57A43">
      <w:pPr>
        <w:spacing w:after="0"/>
        <w:ind w:left="567"/>
        <w:jc w:val="both"/>
        <w:rPr>
          <w:rFonts w:ascii="Arial" w:hAnsi="Arial" w:cs="Arial"/>
          <w:b/>
          <w:bCs/>
          <w:sz w:val="24"/>
          <w:szCs w:val="24"/>
        </w:rPr>
      </w:pPr>
    </w:p>
    <w:p w14:paraId="062422E6" w14:textId="77777777" w:rsidR="00E570F9" w:rsidRPr="007A6730" w:rsidRDefault="00E570F9" w:rsidP="00C57A43">
      <w:pPr>
        <w:spacing w:after="0"/>
        <w:ind w:left="1134"/>
        <w:jc w:val="both"/>
        <w:rPr>
          <w:rFonts w:ascii="Arial" w:hAnsi="Arial" w:cs="Arial"/>
          <w:sz w:val="24"/>
          <w:szCs w:val="24"/>
        </w:rPr>
      </w:pPr>
      <w:r w:rsidRPr="007A6730">
        <w:rPr>
          <w:rFonts w:ascii="Arial" w:hAnsi="Arial" w:cs="Arial"/>
          <w:b/>
          <w:bCs/>
          <w:sz w:val="24"/>
          <w:szCs w:val="24"/>
        </w:rPr>
        <w:t>NU:</w:t>
      </w:r>
      <w:r w:rsidRPr="007A6730">
        <w:rPr>
          <w:rFonts w:ascii="Arial" w:hAnsi="Arial" w:cs="Arial"/>
          <w:sz w:val="24"/>
          <w:szCs w:val="24"/>
        </w:rPr>
        <w:t xml:space="preserve"> Número de usuarios beneficiados con el proyecto. Para proyectos de Conexiones y Redes Internas a Usuarios de Menores Ingresos, es el número de usuarios que actualmente cuentan con la prestación efectiva del servicio, más los usuarios beneficiados con el proyecto. Se entiende por usuario una unidad familiar que efectivamente será conectada.</w:t>
      </w:r>
    </w:p>
    <w:p w14:paraId="335B906C" w14:textId="77777777" w:rsidR="00E570F9" w:rsidRPr="007A6730" w:rsidRDefault="00E570F9" w:rsidP="00C57A43">
      <w:pPr>
        <w:spacing w:after="0"/>
        <w:ind w:left="1134"/>
        <w:jc w:val="both"/>
        <w:rPr>
          <w:rFonts w:ascii="Arial" w:hAnsi="Arial" w:cs="Arial"/>
          <w:sz w:val="24"/>
          <w:szCs w:val="24"/>
        </w:rPr>
      </w:pPr>
    </w:p>
    <w:p w14:paraId="5AC041EB" w14:textId="77777777" w:rsidR="00E570F9" w:rsidRPr="007A6730" w:rsidRDefault="00E570F9" w:rsidP="00C57A43">
      <w:pPr>
        <w:spacing w:after="0"/>
        <w:ind w:left="1134"/>
        <w:jc w:val="both"/>
        <w:rPr>
          <w:rFonts w:ascii="Arial" w:hAnsi="Arial" w:cs="Arial"/>
          <w:sz w:val="24"/>
          <w:szCs w:val="24"/>
        </w:rPr>
      </w:pPr>
      <w:r w:rsidRPr="007A6730">
        <w:rPr>
          <w:rFonts w:ascii="Arial" w:hAnsi="Arial" w:cs="Arial"/>
          <w:b/>
          <w:bCs/>
          <w:sz w:val="24"/>
          <w:szCs w:val="24"/>
        </w:rPr>
        <w:t>VI:</w:t>
      </w:r>
      <w:r w:rsidRPr="007A6730">
        <w:rPr>
          <w:rFonts w:ascii="Arial" w:hAnsi="Arial" w:cs="Arial"/>
          <w:sz w:val="24"/>
          <w:szCs w:val="24"/>
        </w:rPr>
        <w:t xml:space="preserve"> Número de viviendas de la localidad o centro poblado. </w:t>
      </w:r>
    </w:p>
    <w:p w14:paraId="1CADC78A" w14:textId="77777777" w:rsidR="00E570F9" w:rsidRPr="007A6730" w:rsidRDefault="00E570F9" w:rsidP="00C57A43">
      <w:pPr>
        <w:spacing w:after="0"/>
        <w:ind w:left="567"/>
        <w:jc w:val="both"/>
        <w:rPr>
          <w:rFonts w:ascii="Arial" w:hAnsi="Arial" w:cs="Arial"/>
          <w:sz w:val="24"/>
          <w:szCs w:val="24"/>
        </w:rPr>
      </w:pPr>
    </w:p>
    <w:p w14:paraId="51CCB393" w14:textId="77777777" w:rsidR="00E570F9" w:rsidRPr="007A6730" w:rsidRDefault="00E570F9" w:rsidP="00C57A43">
      <w:pPr>
        <w:pStyle w:val="Prrafodelista"/>
        <w:numPr>
          <w:ilvl w:val="0"/>
          <w:numId w:val="140"/>
        </w:numPr>
        <w:spacing w:after="0"/>
        <w:ind w:left="567" w:firstLine="0"/>
        <w:jc w:val="both"/>
        <w:rPr>
          <w:rFonts w:ascii="Arial" w:hAnsi="Arial" w:cs="Arial"/>
          <w:b/>
          <w:bCs/>
          <w:sz w:val="24"/>
          <w:szCs w:val="24"/>
        </w:rPr>
      </w:pPr>
      <w:r w:rsidRPr="007A6730">
        <w:rPr>
          <w:rFonts w:ascii="Arial" w:hAnsi="Arial" w:cs="Arial"/>
          <w:b/>
          <w:bCs/>
          <w:sz w:val="24"/>
          <w:szCs w:val="24"/>
        </w:rPr>
        <w:t xml:space="preserve">Dm: Indicador de demanda del proyecto </w:t>
      </w:r>
    </w:p>
    <w:p w14:paraId="35120251" w14:textId="77777777" w:rsidR="00E570F9" w:rsidRPr="007A6730" w:rsidRDefault="00E570F9" w:rsidP="00C57A43">
      <w:pPr>
        <w:spacing w:after="0"/>
        <w:ind w:left="567"/>
        <w:jc w:val="both"/>
        <w:rPr>
          <w:rFonts w:ascii="Arial" w:hAnsi="Arial" w:cs="Arial"/>
          <w:sz w:val="24"/>
          <w:szCs w:val="24"/>
        </w:rPr>
      </w:pPr>
    </w:p>
    <w:p w14:paraId="0EEFB731" w14:textId="77777777" w:rsidR="00E570F9" w:rsidRPr="007A6730" w:rsidRDefault="00E570F9" w:rsidP="00C57A43">
      <w:pPr>
        <w:spacing w:after="0"/>
        <w:ind w:left="567"/>
        <w:jc w:val="both"/>
        <w:rPr>
          <w:rFonts w:ascii="Arial" w:hAnsi="Arial" w:cs="Arial"/>
          <w:sz w:val="24"/>
          <w:szCs w:val="24"/>
        </w:rPr>
      </w:pPr>
      <w:r w:rsidRPr="007A6730">
        <w:rPr>
          <w:rFonts w:ascii="Arial" w:hAnsi="Arial" w:cs="Arial"/>
          <w:sz w:val="24"/>
          <w:szCs w:val="24"/>
        </w:rPr>
        <w:t xml:space="preserve">Corresponde a la demanda anual en MBTU del proyecto a priorizar dividida entre la demanda anual en MBTU del proyecto con concepto favorable de elegibilidad con mayor consumo en el mismo periodo. </w:t>
      </w:r>
    </w:p>
    <w:p w14:paraId="1D539D82" w14:textId="77777777" w:rsidR="00E570F9" w:rsidRPr="007A6730" w:rsidRDefault="00E570F9" w:rsidP="00C57A43">
      <w:pPr>
        <w:spacing w:after="0"/>
        <w:ind w:left="567"/>
        <w:jc w:val="both"/>
        <w:rPr>
          <w:rFonts w:ascii="Arial" w:hAnsi="Arial" w:cs="Arial"/>
          <w:sz w:val="24"/>
          <w:szCs w:val="24"/>
        </w:rPr>
      </w:pPr>
    </w:p>
    <w:p w14:paraId="2BCE3B60" w14:textId="77777777" w:rsidR="00E570F9" w:rsidRPr="007A6730" w:rsidRDefault="00E570F9" w:rsidP="00C57A43">
      <w:pPr>
        <w:pStyle w:val="Prrafodelista"/>
        <w:numPr>
          <w:ilvl w:val="0"/>
          <w:numId w:val="140"/>
        </w:numPr>
        <w:spacing w:after="0"/>
        <w:ind w:left="567" w:firstLine="0"/>
        <w:jc w:val="both"/>
        <w:rPr>
          <w:rFonts w:ascii="Arial" w:hAnsi="Arial" w:cs="Arial"/>
          <w:b/>
          <w:bCs/>
          <w:sz w:val="24"/>
          <w:szCs w:val="24"/>
        </w:rPr>
      </w:pPr>
      <w:r w:rsidRPr="007A6730">
        <w:rPr>
          <w:rFonts w:ascii="Arial" w:hAnsi="Arial" w:cs="Arial"/>
          <w:b/>
          <w:bCs/>
          <w:sz w:val="24"/>
          <w:szCs w:val="24"/>
        </w:rPr>
        <w:t xml:space="preserve">L: Indicador de distancia </w:t>
      </w:r>
    </w:p>
    <w:p w14:paraId="21C89FBA" w14:textId="77777777" w:rsidR="00E570F9" w:rsidRPr="007A6730" w:rsidRDefault="00E570F9" w:rsidP="00C57A43">
      <w:pPr>
        <w:spacing w:after="0"/>
        <w:ind w:left="567"/>
        <w:jc w:val="both"/>
        <w:rPr>
          <w:rFonts w:ascii="Arial" w:hAnsi="Arial" w:cs="Arial"/>
          <w:sz w:val="24"/>
          <w:szCs w:val="24"/>
        </w:rPr>
      </w:pPr>
    </w:p>
    <w:p w14:paraId="28A471D9" w14:textId="77777777" w:rsidR="00E570F9" w:rsidRPr="007A6730" w:rsidRDefault="00E570F9" w:rsidP="00C57A43">
      <w:pPr>
        <w:spacing w:after="0"/>
        <w:ind w:left="567"/>
        <w:jc w:val="both"/>
        <w:rPr>
          <w:rFonts w:ascii="Arial" w:hAnsi="Arial" w:cs="Arial"/>
          <w:sz w:val="24"/>
          <w:szCs w:val="24"/>
        </w:rPr>
      </w:pPr>
      <w:r w:rsidRPr="007A6730">
        <w:rPr>
          <w:rFonts w:ascii="Arial" w:hAnsi="Arial" w:cs="Arial"/>
          <w:sz w:val="24"/>
          <w:szCs w:val="24"/>
        </w:rPr>
        <w:t xml:space="preserve">Corresponde a la distancia mínima en kilómetros (km) desde el punto de conexión del gasoducto troncal hasta la estación de entrega de todos los proyectos con concepto favorable de elegibilidad, dividida entre la distancia en km del proyecto a priorizar. Para proyectos de conexiones y redes internas a usuarios de menores ingresos, la variable L tomará un valor de uno (1). </w:t>
      </w:r>
    </w:p>
    <w:p w14:paraId="47B04C0D" w14:textId="77777777" w:rsidR="00E570F9" w:rsidRPr="007A6730" w:rsidRDefault="00E570F9" w:rsidP="00C57A43">
      <w:pPr>
        <w:spacing w:after="0"/>
        <w:ind w:left="567"/>
        <w:jc w:val="both"/>
        <w:rPr>
          <w:rFonts w:ascii="Arial" w:hAnsi="Arial" w:cs="Arial"/>
          <w:b/>
          <w:bCs/>
          <w:sz w:val="24"/>
          <w:szCs w:val="24"/>
        </w:rPr>
      </w:pPr>
    </w:p>
    <w:p w14:paraId="51626DBB" w14:textId="77777777" w:rsidR="00E570F9" w:rsidRPr="007A6730" w:rsidRDefault="00E570F9" w:rsidP="00C57A43">
      <w:pPr>
        <w:pStyle w:val="Prrafodelista"/>
        <w:numPr>
          <w:ilvl w:val="0"/>
          <w:numId w:val="140"/>
        </w:numPr>
        <w:spacing w:after="0"/>
        <w:ind w:left="567" w:firstLine="0"/>
        <w:jc w:val="both"/>
        <w:rPr>
          <w:rFonts w:ascii="Arial" w:hAnsi="Arial" w:cs="Arial"/>
          <w:b/>
          <w:bCs/>
          <w:sz w:val="24"/>
          <w:szCs w:val="24"/>
        </w:rPr>
      </w:pPr>
      <w:r w:rsidRPr="007A6730">
        <w:rPr>
          <w:rFonts w:ascii="Arial" w:hAnsi="Arial" w:cs="Arial"/>
          <w:b/>
          <w:bCs/>
          <w:sz w:val="24"/>
          <w:szCs w:val="24"/>
        </w:rPr>
        <w:t xml:space="preserve">CO: Índice de cofinanciación </w:t>
      </w:r>
    </w:p>
    <w:p w14:paraId="48188510" w14:textId="77777777" w:rsidR="00E570F9" w:rsidRPr="007A6730" w:rsidRDefault="00E570F9" w:rsidP="00C57A43">
      <w:pPr>
        <w:spacing w:after="0"/>
        <w:ind w:left="567"/>
        <w:jc w:val="both"/>
        <w:rPr>
          <w:rFonts w:ascii="Arial" w:hAnsi="Arial" w:cs="Arial"/>
          <w:sz w:val="24"/>
          <w:szCs w:val="24"/>
        </w:rPr>
      </w:pPr>
    </w:p>
    <w:p w14:paraId="6FB58064" w14:textId="77777777" w:rsidR="00E570F9" w:rsidRDefault="00E570F9" w:rsidP="00C57A43">
      <w:pPr>
        <w:spacing w:after="0"/>
        <w:ind w:left="567"/>
        <w:jc w:val="both"/>
        <w:rPr>
          <w:rFonts w:ascii="Arial" w:hAnsi="Arial" w:cs="Arial"/>
          <w:sz w:val="24"/>
          <w:szCs w:val="24"/>
        </w:rPr>
      </w:pPr>
      <w:r w:rsidRPr="007A6730">
        <w:rPr>
          <w:rFonts w:ascii="Arial" w:hAnsi="Arial" w:cs="Arial"/>
          <w:sz w:val="24"/>
          <w:szCs w:val="24"/>
        </w:rPr>
        <w:t>Es el indicador de cofinanciación del proyecto, por terceros diferentes al FONENERGÍA</w:t>
      </w:r>
      <w:r w:rsidRPr="007A6730" w:rsidDel="00B97068">
        <w:rPr>
          <w:rFonts w:ascii="Arial" w:hAnsi="Arial" w:cs="Arial"/>
          <w:sz w:val="24"/>
          <w:szCs w:val="24"/>
        </w:rPr>
        <w:t xml:space="preserve"> </w:t>
      </w:r>
      <w:r w:rsidRPr="007A6730">
        <w:rPr>
          <w:rFonts w:ascii="Arial" w:hAnsi="Arial" w:cs="Arial"/>
          <w:sz w:val="24"/>
          <w:szCs w:val="24"/>
        </w:rPr>
        <w:t xml:space="preserve">, expresado en un número decimal, que no podrá ser inferior a 0,30. </w:t>
      </w:r>
    </w:p>
    <w:p w14:paraId="6B3B6AC5" w14:textId="77777777" w:rsidR="00C01543" w:rsidRDefault="00C01543" w:rsidP="00C57A43">
      <w:pPr>
        <w:spacing w:after="0"/>
        <w:ind w:left="567"/>
        <w:jc w:val="both"/>
        <w:rPr>
          <w:rFonts w:ascii="Arial" w:hAnsi="Arial" w:cs="Arial"/>
          <w:sz w:val="24"/>
          <w:szCs w:val="24"/>
        </w:rPr>
      </w:pPr>
    </w:p>
    <w:p w14:paraId="03C78A92" w14:textId="70204AA7" w:rsidR="00C01543" w:rsidRPr="008D2B3E" w:rsidRDefault="00C01543" w:rsidP="00C01543">
      <w:pPr>
        <w:pStyle w:val="Prrafodelista"/>
        <w:numPr>
          <w:ilvl w:val="0"/>
          <w:numId w:val="140"/>
        </w:numPr>
        <w:spacing w:after="0"/>
        <w:ind w:left="993"/>
        <w:jc w:val="both"/>
        <w:rPr>
          <w:rFonts w:ascii="Arial" w:hAnsi="Arial" w:cs="Arial"/>
          <w:b/>
          <w:bCs/>
          <w:sz w:val="24"/>
          <w:szCs w:val="24"/>
        </w:rPr>
      </w:pPr>
      <w:r>
        <w:rPr>
          <w:rFonts w:ascii="Arial" w:hAnsi="Arial" w:cs="Arial"/>
          <w:b/>
          <w:bCs/>
          <w:sz w:val="24"/>
          <w:szCs w:val="24"/>
        </w:rPr>
        <w:lastRenderedPageBreak/>
        <w:t xml:space="preserve"> </w:t>
      </w:r>
      <w:r>
        <w:rPr>
          <w:rFonts w:ascii="Arial" w:hAnsi="Arial" w:cs="Arial"/>
          <w:b/>
          <w:bCs/>
          <w:sz w:val="24"/>
          <w:szCs w:val="24"/>
        </w:rPr>
        <w:tab/>
      </w:r>
      <w:r w:rsidRPr="008D2B3E">
        <w:rPr>
          <w:rFonts w:ascii="Arial" w:hAnsi="Arial" w:cs="Arial"/>
          <w:b/>
          <w:bCs/>
          <w:sz w:val="24"/>
          <w:szCs w:val="24"/>
        </w:rPr>
        <w:t>0,1: Grupos Etnicos</w:t>
      </w:r>
    </w:p>
    <w:p w14:paraId="191BC0A2" w14:textId="77777777" w:rsidR="00C01543" w:rsidRDefault="00C01543" w:rsidP="00C01543">
      <w:pPr>
        <w:spacing w:after="0"/>
        <w:jc w:val="both"/>
        <w:rPr>
          <w:rFonts w:ascii="Arial" w:hAnsi="Arial" w:cs="Arial"/>
          <w:sz w:val="24"/>
          <w:szCs w:val="24"/>
        </w:rPr>
      </w:pPr>
    </w:p>
    <w:p w14:paraId="58B9C62A" w14:textId="77777777" w:rsidR="00C01543" w:rsidRPr="008D2B3E" w:rsidRDefault="00C01543" w:rsidP="00C01543">
      <w:pPr>
        <w:spacing w:after="0"/>
        <w:jc w:val="both"/>
        <w:rPr>
          <w:rFonts w:ascii="Arial" w:hAnsi="Arial" w:cs="Arial"/>
          <w:sz w:val="24"/>
          <w:szCs w:val="24"/>
        </w:rPr>
      </w:pPr>
      <w:r>
        <w:rPr>
          <w:rFonts w:ascii="Arial" w:hAnsi="Arial" w:cs="Arial"/>
          <w:sz w:val="24"/>
          <w:szCs w:val="24"/>
        </w:rPr>
        <w:t>Valor adicional para aquellos proyectos que certifiquen por la autoridad competente  el beneficio a población de grupos étnicos.</w:t>
      </w:r>
    </w:p>
    <w:p w14:paraId="6D34AE78" w14:textId="77777777" w:rsidR="00C01543" w:rsidRDefault="00C01543" w:rsidP="00C57A43">
      <w:pPr>
        <w:spacing w:after="0"/>
        <w:ind w:left="567"/>
        <w:jc w:val="both"/>
        <w:rPr>
          <w:rFonts w:ascii="Arial" w:hAnsi="Arial" w:cs="Arial"/>
          <w:sz w:val="24"/>
          <w:szCs w:val="24"/>
        </w:rPr>
      </w:pPr>
    </w:p>
    <w:p w14:paraId="210B6468" w14:textId="77777777" w:rsidR="00E570F9" w:rsidRPr="007A6730" w:rsidRDefault="00E570F9" w:rsidP="008E39FD">
      <w:pPr>
        <w:spacing w:after="0"/>
        <w:jc w:val="both"/>
        <w:rPr>
          <w:rFonts w:ascii="Arial" w:hAnsi="Arial" w:cs="Arial"/>
          <w:sz w:val="24"/>
          <w:szCs w:val="24"/>
        </w:rPr>
      </w:pPr>
    </w:p>
    <w:p w14:paraId="20875037" w14:textId="7B7F63AD" w:rsidR="005C5870" w:rsidRDefault="00E478B8" w:rsidP="00835D7F">
      <w:pPr>
        <w:pStyle w:val="Ttulo3"/>
        <w:ind w:left="720" w:hanging="720"/>
        <w:jc w:val="center"/>
      </w:pPr>
      <w:bookmarkStart w:id="96" w:name="_Toc224844325"/>
      <w:r>
        <w:t xml:space="preserve">CAPÍTULO </w:t>
      </w:r>
      <w:r w:rsidR="00B363D4">
        <w:t>V</w:t>
      </w:r>
      <w:bookmarkEnd w:id="96"/>
    </w:p>
    <w:p w14:paraId="0EBD5E10" w14:textId="3B3B4568" w:rsidR="009C76C0" w:rsidRDefault="00585563" w:rsidP="00835D7F">
      <w:pPr>
        <w:pStyle w:val="Ttulo4"/>
        <w:ind w:left="864" w:hanging="864"/>
        <w:jc w:val="center"/>
      </w:pPr>
      <w:bookmarkStart w:id="97" w:name="_Toc224844326"/>
      <w:r>
        <w:t>ASIGNACIÓN DE RECURSOS</w:t>
      </w:r>
      <w:bookmarkEnd w:id="97"/>
    </w:p>
    <w:p w14:paraId="1BC8D870" w14:textId="77777777" w:rsidR="00585563" w:rsidRDefault="00585563" w:rsidP="008E39FD">
      <w:pPr>
        <w:spacing w:after="0"/>
        <w:jc w:val="both"/>
        <w:rPr>
          <w:rFonts w:ascii="Arial" w:hAnsi="Arial" w:cs="Arial"/>
          <w:sz w:val="24"/>
          <w:szCs w:val="24"/>
        </w:rPr>
      </w:pPr>
    </w:p>
    <w:p w14:paraId="5B25D5BF" w14:textId="4EB89F6C" w:rsidR="006E0C98" w:rsidRDefault="006E0C98" w:rsidP="008E39FD">
      <w:pPr>
        <w:spacing w:after="0"/>
        <w:jc w:val="both"/>
        <w:rPr>
          <w:rFonts w:ascii="Arial" w:hAnsi="Arial" w:cs="Arial"/>
          <w:sz w:val="24"/>
          <w:szCs w:val="24"/>
        </w:rPr>
      </w:pPr>
      <w:r w:rsidRPr="004B5CAC">
        <w:rPr>
          <w:rFonts w:ascii="Arial" w:hAnsi="Arial" w:cs="Arial"/>
          <w:sz w:val="24"/>
          <w:szCs w:val="24"/>
        </w:rPr>
        <w:t>Una vez surtido el trámite correspondiente ante FONENERGÍA por parte de los interesados en acceder a la cofinanciación del Fondo, se elaborará la lista de priorización de los proyectos que cuenten con concepto favorable de elegibilidad</w:t>
      </w:r>
    </w:p>
    <w:p w14:paraId="5585EE28" w14:textId="77777777" w:rsidR="006E0C98" w:rsidRPr="007A6730" w:rsidRDefault="006E0C98" w:rsidP="008E39FD">
      <w:pPr>
        <w:spacing w:after="0"/>
        <w:jc w:val="both"/>
        <w:rPr>
          <w:rFonts w:ascii="Arial" w:hAnsi="Arial" w:cs="Arial"/>
          <w:sz w:val="24"/>
          <w:szCs w:val="24"/>
        </w:rPr>
      </w:pPr>
    </w:p>
    <w:p w14:paraId="5679BD54" w14:textId="0995A18E" w:rsidR="006E0C98" w:rsidRDefault="006E0C98" w:rsidP="008E39FD">
      <w:pPr>
        <w:spacing w:after="0"/>
        <w:jc w:val="both"/>
        <w:rPr>
          <w:rFonts w:ascii="Arial" w:hAnsi="Arial" w:cs="Arial"/>
          <w:sz w:val="24"/>
          <w:szCs w:val="24"/>
        </w:rPr>
      </w:pPr>
      <w:r>
        <w:rPr>
          <w:rFonts w:ascii="Arial" w:hAnsi="Arial" w:cs="Arial"/>
          <w:sz w:val="24"/>
          <w:szCs w:val="24"/>
        </w:rPr>
        <w:t xml:space="preserve">El FONENERGÍA </w:t>
      </w:r>
      <w:r w:rsidRPr="007A6730">
        <w:rPr>
          <w:rFonts w:ascii="Arial" w:hAnsi="Arial" w:cs="Arial"/>
          <w:sz w:val="24"/>
          <w:szCs w:val="24"/>
        </w:rPr>
        <w:t xml:space="preserve">aprobará las solicitudes de cofinanciación, </w:t>
      </w:r>
      <w:r w:rsidR="00C01543">
        <w:rPr>
          <w:rFonts w:ascii="Arial" w:hAnsi="Arial" w:cs="Arial"/>
          <w:sz w:val="24"/>
          <w:szCs w:val="24"/>
        </w:rPr>
        <w:t>a través de su Comité de Administración.</w:t>
      </w:r>
    </w:p>
    <w:p w14:paraId="5BAE7DE5" w14:textId="77777777" w:rsidR="00C01543" w:rsidRPr="007A6730" w:rsidRDefault="00C01543" w:rsidP="008E39FD">
      <w:pPr>
        <w:spacing w:after="0"/>
        <w:jc w:val="both"/>
        <w:rPr>
          <w:rFonts w:ascii="Arial" w:hAnsi="Arial" w:cs="Arial"/>
          <w:sz w:val="24"/>
          <w:szCs w:val="24"/>
        </w:rPr>
      </w:pPr>
    </w:p>
    <w:p w14:paraId="176124AC" w14:textId="77777777" w:rsidR="006E0C98" w:rsidRPr="007A6730" w:rsidRDefault="006E0C98" w:rsidP="008E39FD">
      <w:pPr>
        <w:spacing w:after="0"/>
        <w:jc w:val="both"/>
        <w:rPr>
          <w:rFonts w:ascii="Arial" w:hAnsi="Arial" w:cs="Arial"/>
          <w:sz w:val="24"/>
          <w:szCs w:val="24"/>
        </w:rPr>
      </w:pPr>
      <w:r w:rsidRPr="007A6730">
        <w:rPr>
          <w:rFonts w:ascii="Arial" w:hAnsi="Arial" w:cs="Arial"/>
          <w:sz w:val="24"/>
          <w:szCs w:val="24"/>
        </w:rPr>
        <w:t>El aporte cofinanciado por el F</w:t>
      </w:r>
      <w:r>
        <w:rPr>
          <w:rFonts w:ascii="Arial" w:hAnsi="Arial" w:cs="Arial"/>
          <w:sz w:val="24"/>
          <w:szCs w:val="24"/>
        </w:rPr>
        <w:t>ONENERGÍA</w:t>
      </w:r>
      <w:r w:rsidRPr="007A6730">
        <w:rPr>
          <w:rFonts w:ascii="Arial" w:hAnsi="Arial" w:cs="Arial"/>
          <w:sz w:val="24"/>
          <w:szCs w:val="24"/>
        </w:rPr>
        <w:t>, corresponderá a una suma de dinero que no podrá ser aumentada. Los sobrecostos del proyecto cofinanciado deberán ser asumidos por el ejecutor del proyecto, con cargo a sus propios recursos; los valores no cubiertos por los recursos del Fondo, podrán ser asumidos por el ejecutor del proyecto, con cargo a sus propios recursos o por entes territoriales de conformidad con la normatividad aplicable para este efecto.</w:t>
      </w:r>
    </w:p>
    <w:p w14:paraId="04C89635" w14:textId="77777777" w:rsidR="006E0C98" w:rsidRPr="007A6730" w:rsidRDefault="006E0C98" w:rsidP="008E39FD">
      <w:pPr>
        <w:spacing w:after="0"/>
        <w:jc w:val="both"/>
        <w:rPr>
          <w:rFonts w:ascii="Arial" w:hAnsi="Arial" w:cs="Arial"/>
          <w:sz w:val="24"/>
          <w:szCs w:val="24"/>
        </w:rPr>
      </w:pPr>
    </w:p>
    <w:p w14:paraId="1E3719D1" w14:textId="2482549F" w:rsidR="006E0C98" w:rsidRDefault="00DD6E72" w:rsidP="008E39FD">
      <w:pPr>
        <w:spacing w:after="0"/>
        <w:jc w:val="both"/>
        <w:rPr>
          <w:rFonts w:ascii="Arial" w:hAnsi="Arial" w:cs="Arial"/>
          <w:sz w:val="24"/>
          <w:szCs w:val="24"/>
        </w:rPr>
      </w:pPr>
      <w:r w:rsidRPr="00B03685">
        <w:rPr>
          <w:rFonts w:ascii="Arial" w:hAnsi="Arial" w:cs="Arial"/>
          <w:b/>
          <w:sz w:val="24"/>
          <w:szCs w:val="24"/>
        </w:rPr>
        <w:t xml:space="preserve">Nota </w:t>
      </w:r>
      <w:r w:rsidRPr="00B03685">
        <w:rPr>
          <w:rFonts w:ascii="Arial" w:hAnsi="Arial" w:cs="Arial"/>
          <w:b/>
          <w:bCs/>
          <w:sz w:val="24"/>
          <w:szCs w:val="24"/>
        </w:rPr>
        <w:t>Especial</w:t>
      </w:r>
      <w:r w:rsidR="001D54F4">
        <w:rPr>
          <w:rFonts w:ascii="Arial" w:hAnsi="Arial" w:cs="Arial"/>
          <w:b/>
          <w:bCs/>
          <w:sz w:val="24"/>
          <w:szCs w:val="24"/>
        </w:rPr>
        <w:t xml:space="preserve"> 1</w:t>
      </w:r>
      <w:r w:rsidR="006E0C98" w:rsidRPr="00B03685">
        <w:rPr>
          <w:rFonts w:ascii="Arial" w:hAnsi="Arial" w:cs="Arial"/>
          <w:b/>
          <w:sz w:val="24"/>
          <w:szCs w:val="24"/>
        </w:rPr>
        <w:t>:</w:t>
      </w:r>
      <w:r w:rsidR="006E0C98">
        <w:rPr>
          <w:rFonts w:ascii="Arial" w:hAnsi="Arial" w:cs="Arial"/>
          <w:sz w:val="24"/>
          <w:szCs w:val="24"/>
        </w:rPr>
        <w:t xml:space="preserve"> </w:t>
      </w:r>
      <w:r w:rsidR="006E0C98" w:rsidRPr="007A6730">
        <w:rPr>
          <w:rFonts w:ascii="Arial" w:hAnsi="Arial" w:cs="Arial"/>
          <w:sz w:val="24"/>
          <w:szCs w:val="24"/>
        </w:rPr>
        <w:t xml:space="preserve">Previo a la aprobación de recursos por parte del </w:t>
      </w:r>
      <w:r w:rsidR="006E0C98">
        <w:rPr>
          <w:rFonts w:ascii="Arial" w:hAnsi="Arial" w:cs="Arial"/>
          <w:sz w:val="24"/>
          <w:szCs w:val="24"/>
        </w:rPr>
        <w:t>FONENERGÍA</w:t>
      </w:r>
      <w:r w:rsidR="006E0C98" w:rsidRPr="007A6730">
        <w:rPr>
          <w:rFonts w:ascii="Arial" w:hAnsi="Arial" w:cs="Arial"/>
          <w:sz w:val="24"/>
          <w:szCs w:val="24"/>
        </w:rPr>
        <w:t>, el solicitante deberá declarar bajo la gravedad del juramento que no esté incurso en inhabilidad e incompatibilidad alguna</w:t>
      </w:r>
      <w:r w:rsidR="006E0C98">
        <w:rPr>
          <w:rFonts w:ascii="Arial" w:hAnsi="Arial" w:cs="Arial"/>
          <w:sz w:val="24"/>
          <w:szCs w:val="24"/>
        </w:rPr>
        <w:t xml:space="preserve">. </w:t>
      </w:r>
      <w:r w:rsidR="006E0C98" w:rsidRPr="007A6730">
        <w:rPr>
          <w:rFonts w:ascii="Arial" w:hAnsi="Arial" w:cs="Arial"/>
          <w:sz w:val="24"/>
          <w:szCs w:val="24"/>
        </w:rPr>
        <w:t xml:space="preserve">De ser así, el </w:t>
      </w:r>
      <w:r w:rsidR="006E0C98">
        <w:rPr>
          <w:rFonts w:ascii="Arial" w:hAnsi="Arial" w:cs="Arial"/>
          <w:sz w:val="24"/>
          <w:szCs w:val="24"/>
        </w:rPr>
        <w:t>FONENERGÍA</w:t>
      </w:r>
      <w:r w:rsidR="006E0C98" w:rsidRPr="007A6730">
        <w:rPr>
          <w:rFonts w:ascii="Arial" w:hAnsi="Arial" w:cs="Arial"/>
          <w:sz w:val="24"/>
          <w:szCs w:val="24"/>
        </w:rPr>
        <w:t xml:space="preserve"> se abstendrá de suscribir el respectivo convenio.</w:t>
      </w:r>
    </w:p>
    <w:p w14:paraId="293A0855" w14:textId="77777777" w:rsidR="009C76C0" w:rsidRDefault="009C76C0" w:rsidP="008E39FD"/>
    <w:p w14:paraId="325E69E4" w14:textId="1536F9A0" w:rsidR="009C76C0" w:rsidRPr="005C3090" w:rsidRDefault="005C3090" w:rsidP="00835D7F">
      <w:pPr>
        <w:pStyle w:val="Ttulo5"/>
        <w:ind w:left="1008" w:hanging="1008"/>
      </w:pPr>
      <w:bookmarkStart w:id="98" w:name="_Toc224844327"/>
      <w:r w:rsidRPr="005C3090">
        <w:rPr>
          <w:bCs/>
        </w:rPr>
        <w:t xml:space="preserve">II-5.1 </w:t>
      </w:r>
      <w:r w:rsidR="000E0E5D" w:rsidRPr="005C3090">
        <w:t>Suscripción del convenio de cofinanci</w:t>
      </w:r>
      <w:r w:rsidR="00DD6E72" w:rsidRPr="005C3090">
        <w:t>a</w:t>
      </w:r>
      <w:r w:rsidR="00343532" w:rsidRPr="005C3090">
        <w:t>ci</w:t>
      </w:r>
      <w:r w:rsidR="000E0E5D" w:rsidRPr="005C3090">
        <w:t>ón</w:t>
      </w:r>
      <w:bookmarkEnd w:id="98"/>
    </w:p>
    <w:p w14:paraId="6B110E77" w14:textId="77777777" w:rsidR="009C76C0" w:rsidRPr="00C63186" w:rsidRDefault="009C76C0" w:rsidP="00B03685">
      <w:pPr>
        <w:shd w:val="clear" w:color="auto" w:fill="FFFFFF" w:themeFill="background1"/>
        <w:spacing w:after="0"/>
        <w:jc w:val="both"/>
        <w:rPr>
          <w:rFonts w:ascii="Arial" w:hAnsi="Arial" w:cs="Arial"/>
          <w:b/>
          <w:bCs/>
          <w:sz w:val="24"/>
          <w:szCs w:val="24"/>
        </w:rPr>
      </w:pPr>
    </w:p>
    <w:p w14:paraId="7D340144" w14:textId="4811C27E" w:rsidR="00DF4134" w:rsidRPr="007A6730" w:rsidRDefault="00DF4134" w:rsidP="008E39FD">
      <w:pPr>
        <w:spacing w:after="0"/>
        <w:jc w:val="both"/>
        <w:rPr>
          <w:rFonts w:ascii="Arial" w:hAnsi="Arial" w:cs="Arial"/>
          <w:sz w:val="24"/>
          <w:szCs w:val="24"/>
        </w:rPr>
      </w:pPr>
      <w:r w:rsidRPr="007A6730">
        <w:rPr>
          <w:rFonts w:ascii="Arial" w:hAnsi="Arial" w:cs="Arial"/>
          <w:sz w:val="24"/>
          <w:szCs w:val="24"/>
        </w:rPr>
        <w:t xml:space="preserve">Una vez expedido el acto administrativo de que trata </w:t>
      </w:r>
      <w:r>
        <w:rPr>
          <w:rFonts w:ascii="Arial" w:hAnsi="Arial" w:cs="Arial"/>
          <w:sz w:val="24"/>
          <w:szCs w:val="24"/>
        </w:rPr>
        <w:t xml:space="preserve">el </w:t>
      </w:r>
      <w:r w:rsidRPr="007A6730">
        <w:rPr>
          <w:rFonts w:ascii="Arial" w:hAnsi="Arial" w:cs="Arial"/>
          <w:sz w:val="24"/>
          <w:szCs w:val="24"/>
        </w:rPr>
        <w:t xml:space="preserve">presente </w:t>
      </w:r>
      <w:r w:rsidR="00105B9A">
        <w:rPr>
          <w:rFonts w:ascii="Arial" w:hAnsi="Arial" w:cs="Arial"/>
          <w:sz w:val="24"/>
          <w:szCs w:val="24"/>
        </w:rPr>
        <w:t>M</w:t>
      </w:r>
      <w:r>
        <w:rPr>
          <w:rFonts w:ascii="Arial" w:hAnsi="Arial" w:cs="Arial"/>
          <w:sz w:val="24"/>
          <w:szCs w:val="24"/>
        </w:rPr>
        <w:t>anual</w:t>
      </w:r>
      <w:r w:rsidRPr="007A6730">
        <w:rPr>
          <w:rFonts w:ascii="Arial" w:hAnsi="Arial" w:cs="Arial"/>
          <w:sz w:val="24"/>
          <w:szCs w:val="24"/>
        </w:rPr>
        <w:t xml:space="preserve">, se suscribirá un convenio de cofinanciación entre el </w:t>
      </w:r>
      <w:r>
        <w:rPr>
          <w:rFonts w:ascii="Arial" w:hAnsi="Arial" w:cs="Arial"/>
          <w:sz w:val="24"/>
          <w:szCs w:val="24"/>
        </w:rPr>
        <w:t>FONENERGÍA</w:t>
      </w:r>
      <w:r w:rsidRPr="007A6730">
        <w:rPr>
          <w:rFonts w:ascii="Arial" w:hAnsi="Arial" w:cs="Arial"/>
          <w:sz w:val="24"/>
          <w:szCs w:val="24"/>
        </w:rPr>
        <w:t xml:space="preserve"> en su calidad de Administrador del Fondo y el solicitante, en el cual se definirán las obligaciones de las partes, sin perjuicio del cumplimiento de las obligaciones estipuladas en este</w:t>
      </w:r>
      <w:r>
        <w:rPr>
          <w:rFonts w:ascii="Arial" w:hAnsi="Arial" w:cs="Arial"/>
          <w:sz w:val="24"/>
          <w:szCs w:val="24"/>
        </w:rPr>
        <w:t xml:space="preserve"> </w:t>
      </w:r>
      <w:r w:rsidR="00C01543">
        <w:rPr>
          <w:rFonts w:ascii="Arial" w:hAnsi="Arial" w:cs="Arial"/>
          <w:sz w:val="24"/>
          <w:szCs w:val="24"/>
        </w:rPr>
        <w:t>M</w:t>
      </w:r>
      <w:r>
        <w:rPr>
          <w:rFonts w:ascii="Arial" w:hAnsi="Arial" w:cs="Arial"/>
          <w:sz w:val="24"/>
          <w:szCs w:val="24"/>
        </w:rPr>
        <w:t>anual.</w:t>
      </w:r>
    </w:p>
    <w:p w14:paraId="4F218C2E" w14:textId="77777777" w:rsidR="00DF4134" w:rsidRPr="007A6730" w:rsidRDefault="00DF4134" w:rsidP="008E39FD">
      <w:pPr>
        <w:spacing w:after="0"/>
        <w:jc w:val="both"/>
        <w:rPr>
          <w:rFonts w:ascii="Arial" w:hAnsi="Arial" w:cs="Arial"/>
          <w:sz w:val="24"/>
          <w:szCs w:val="24"/>
        </w:rPr>
      </w:pPr>
    </w:p>
    <w:p w14:paraId="550BB1ED" w14:textId="723B6F24" w:rsidR="00DF4134" w:rsidRPr="007A6730" w:rsidRDefault="00343532" w:rsidP="008E39FD">
      <w:pPr>
        <w:spacing w:after="0"/>
        <w:jc w:val="both"/>
        <w:rPr>
          <w:rFonts w:ascii="Arial" w:hAnsi="Arial" w:cs="Arial"/>
          <w:sz w:val="24"/>
          <w:szCs w:val="24"/>
        </w:rPr>
      </w:pPr>
      <w:r w:rsidRPr="003A4FDD">
        <w:rPr>
          <w:rFonts w:ascii="Arial" w:hAnsi="Arial" w:cs="Arial"/>
          <w:b/>
          <w:sz w:val="24"/>
          <w:szCs w:val="24"/>
        </w:rPr>
        <w:t>Nota Especial</w:t>
      </w:r>
      <w:r w:rsidR="00DF4134" w:rsidRPr="003A4FDD">
        <w:rPr>
          <w:rFonts w:ascii="Arial" w:hAnsi="Arial" w:cs="Arial"/>
          <w:b/>
          <w:sz w:val="24"/>
          <w:szCs w:val="24"/>
        </w:rPr>
        <w:t xml:space="preserve"> </w:t>
      </w:r>
      <w:r w:rsidR="001D54F4">
        <w:rPr>
          <w:rFonts w:ascii="Arial" w:hAnsi="Arial" w:cs="Arial"/>
          <w:b/>
          <w:bCs/>
          <w:sz w:val="24"/>
          <w:szCs w:val="24"/>
        </w:rPr>
        <w:t>2</w:t>
      </w:r>
      <w:r w:rsidR="003A4FDD" w:rsidRPr="003A4FDD">
        <w:rPr>
          <w:rFonts w:ascii="Arial" w:hAnsi="Arial" w:cs="Arial"/>
          <w:b/>
          <w:bCs/>
          <w:sz w:val="24"/>
          <w:szCs w:val="24"/>
        </w:rPr>
        <w:t>:</w:t>
      </w:r>
      <w:r w:rsidR="00DF4134" w:rsidRPr="00B03685">
        <w:rPr>
          <w:rFonts w:ascii="Arial" w:hAnsi="Arial" w:cs="Arial"/>
          <w:color w:val="EE0000"/>
          <w:sz w:val="24"/>
          <w:szCs w:val="24"/>
        </w:rPr>
        <w:t xml:space="preserve"> </w:t>
      </w:r>
      <w:r w:rsidR="00DF4134" w:rsidRPr="007A6730">
        <w:rPr>
          <w:rFonts w:ascii="Arial" w:hAnsi="Arial" w:cs="Arial"/>
          <w:sz w:val="24"/>
          <w:szCs w:val="24"/>
        </w:rPr>
        <w:t xml:space="preserve">Previo a la suscripción del Convenio, la empresa ejecutora del proyecto deberá demostrar al </w:t>
      </w:r>
      <w:r w:rsidR="00DF4134">
        <w:rPr>
          <w:rFonts w:ascii="Arial" w:hAnsi="Arial" w:cs="Arial"/>
          <w:sz w:val="24"/>
          <w:szCs w:val="24"/>
        </w:rPr>
        <w:t xml:space="preserve">FONENERGÍA </w:t>
      </w:r>
      <w:r w:rsidR="00DF4134" w:rsidRPr="007A6730">
        <w:rPr>
          <w:rFonts w:ascii="Arial" w:hAnsi="Arial" w:cs="Arial"/>
          <w:sz w:val="24"/>
          <w:szCs w:val="24"/>
        </w:rPr>
        <w:t xml:space="preserve">que cuenta con la capacidad financiera para su ejecución y con los recursos financieros disponibles para aportarlos a la cofinanciación, en la suma que le corresponda, de acuerdo con su solicitud de cofinanciación. Para acreditar dicha capacidad, deberá presentar certificación debidamente suscrita por el </w:t>
      </w:r>
      <w:r w:rsidR="00DD38AE">
        <w:rPr>
          <w:rFonts w:ascii="Arial" w:hAnsi="Arial" w:cs="Arial"/>
          <w:sz w:val="24"/>
          <w:szCs w:val="24"/>
        </w:rPr>
        <w:t xml:space="preserve">contador o </w:t>
      </w:r>
      <w:r w:rsidR="00DF4134" w:rsidRPr="007A6730">
        <w:rPr>
          <w:rFonts w:ascii="Arial" w:hAnsi="Arial" w:cs="Arial"/>
          <w:sz w:val="24"/>
          <w:szCs w:val="24"/>
        </w:rPr>
        <w:t>revisor fiscal</w:t>
      </w:r>
      <w:r w:rsidR="00DD38AE">
        <w:rPr>
          <w:rFonts w:ascii="Arial" w:hAnsi="Arial" w:cs="Arial"/>
          <w:sz w:val="24"/>
          <w:szCs w:val="24"/>
        </w:rPr>
        <w:t>, según aplique</w:t>
      </w:r>
      <w:r w:rsidR="00DF4134" w:rsidRPr="007A6730">
        <w:rPr>
          <w:rFonts w:ascii="Arial" w:hAnsi="Arial" w:cs="Arial"/>
          <w:sz w:val="24"/>
          <w:szCs w:val="24"/>
        </w:rPr>
        <w:t>.</w:t>
      </w:r>
    </w:p>
    <w:p w14:paraId="3CB5BC8C" w14:textId="77777777" w:rsidR="00DF4134" w:rsidRPr="007A6730" w:rsidRDefault="00DF4134" w:rsidP="008E39FD">
      <w:pPr>
        <w:spacing w:after="0"/>
        <w:jc w:val="both"/>
        <w:rPr>
          <w:rFonts w:ascii="Arial" w:hAnsi="Arial" w:cs="Arial"/>
          <w:sz w:val="24"/>
          <w:szCs w:val="24"/>
        </w:rPr>
      </w:pPr>
    </w:p>
    <w:p w14:paraId="230F0C78" w14:textId="0A22E4CB" w:rsidR="00DF4134" w:rsidRPr="007A6730" w:rsidRDefault="00343532" w:rsidP="008E39FD">
      <w:pPr>
        <w:spacing w:after="0"/>
        <w:jc w:val="both"/>
        <w:rPr>
          <w:rFonts w:ascii="Arial" w:hAnsi="Arial" w:cs="Arial"/>
          <w:sz w:val="24"/>
          <w:szCs w:val="24"/>
        </w:rPr>
      </w:pPr>
      <w:r w:rsidRPr="003A4FDD">
        <w:rPr>
          <w:rFonts w:ascii="Arial" w:hAnsi="Arial" w:cs="Arial"/>
          <w:b/>
          <w:sz w:val="24"/>
          <w:szCs w:val="24"/>
        </w:rPr>
        <w:t xml:space="preserve">Nota Especial </w:t>
      </w:r>
      <w:r w:rsidR="001D54F4">
        <w:rPr>
          <w:rFonts w:ascii="Arial" w:hAnsi="Arial" w:cs="Arial"/>
          <w:b/>
          <w:bCs/>
          <w:sz w:val="24"/>
          <w:szCs w:val="24"/>
        </w:rPr>
        <w:t>3</w:t>
      </w:r>
      <w:r w:rsidR="003A4FDD" w:rsidRPr="003A4FDD">
        <w:rPr>
          <w:rFonts w:ascii="Arial" w:hAnsi="Arial" w:cs="Arial"/>
          <w:b/>
          <w:bCs/>
          <w:sz w:val="24"/>
          <w:szCs w:val="24"/>
        </w:rPr>
        <w:t>:</w:t>
      </w:r>
      <w:r w:rsidR="00DF4134" w:rsidRPr="00B03685">
        <w:rPr>
          <w:rFonts w:ascii="Arial" w:hAnsi="Arial" w:cs="Arial"/>
          <w:color w:val="EE0000"/>
          <w:sz w:val="24"/>
          <w:szCs w:val="24"/>
        </w:rPr>
        <w:t xml:space="preserve"> </w:t>
      </w:r>
      <w:r w:rsidR="00DF4134" w:rsidRPr="007A6730">
        <w:rPr>
          <w:rFonts w:ascii="Arial" w:hAnsi="Arial" w:cs="Arial"/>
          <w:sz w:val="24"/>
          <w:szCs w:val="24"/>
        </w:rPr>
        <w:t>En caso de no cumplir con los parámetros definidos en est</w:t>
      </w:r>
      <w:r w:rsidR="00DF4134">
        <w:rPr>
          <w:rFonts w:ascii="Arial" w:hAnsi="Arial" w:cs="Arial"/>
          <w:sz w:val="24"/>
          <w:szCs w:val="24"/>
        </w:rPr>
        <w:t xml:space="preserve">e manual </w:t>
      </w:r>
      <w:r w:rsidR="00DF4134" w:rsidRPr="007A6730">
        <w:rPr>
          <w:rFonts w:ascii="Arial" w:hAnsi="Arial" w:cs="Arial"/>
          <w:sz w:val="24"/>
          <w:szCs w:val="24"/>
        </w:rPr>
        <w:t xml:space="preserve">o cualquiera otra que reglamente el particular, el </w:t>
      </w:r>
      <w:r w:rsidR="00DF4134">
        <w:rPr>
          <w:rFonts w:ascii="Arial" w:hAnsi="Arial" w:cs="Arial"/>
          <w:sz w:val="24"/>
          <w:szCs w:val="24"/>
        </w:rPr>
        <w:t>FONENERGÍA</w:t>
      </w:r>
      <w:r w:rsidR="00DF4134" w:rsidRPr="007A6730">
        <w:rPr>
          <w:rFonts w:ascii="Arial" w:hAnsi="Arial" w:cs="Arial"/>
          <w:sz w:val="24"/>
          <w:szCs w:val="24"/>
        </w:rPr>
        <w:t xml:space="preserve"> en calidad de Administrador del Fondo se abstendrá de suscribir el Convenio respectivo.</w:t>
      </w:r>
    </w:p>
    <w:p w14:paraId="135E279F" w14:textId="77777777" w:rsidR="00DF4134" w:rsidRPr="007A6730" w:rsidRDefault="00DF4134" w:rsidP="008E39FD">
      <w:pPr>
        <w:spacing w:after="0"/>
        <w:jc w:val="both"/>
        <w:rPr>
          <w:rFonts w:ascii="Arial" w:hAnsi="Arial" w:cs="Arial"/>
          <w:sz w:val="24"/>
          <w:szCs w:val="24"/>
        </w:rPr>
      </w:pPr>
    </w:p>
    <w:p w14:paraId="1E22B1F1" w14:textId="77777777" w:rsidR="00DF4134" w:rsidRDefault="00DF4134" w:rsidP="008E39FD">
      <w:pPr>
        <w:spacing w:after="0"/>
        <w:jc w:val="both"/>
        <w:rPr>
          <w:rFonts w:ascii="Arial" w:hAnsi="Arial" w:cs="Arial"/>
          <w:sz w:val="24"/>
          <w:szCs w:val="24"/>
        </w:rPr>
      </w:pPr>
      <w:r w:rsidRPr="007A6730">
        <w:rPr>
          <w:rFonts w:ascii="Arial" w:hAnsi="Arial" w:cs="Arial"/>
          <w:sz w:val="24"/>
          <w:szCs w:val="24"/>
        </w:rPr>
        <w:t xml:space="preserve">Cuando la certificación de recursos financieros asignables al proyecto se trate de recursos de crédito, estos deberán estar certificados por una entidad bancaria mediante </w:t>
      </w:r>
      <w:r w:rsidRPr="007A6730">
        <w:rPr>
          <w:rFonts w:ascii="Arial" w:hAnsi="Arial" w:cs="Arial"/>
          <w:sz w:val="24"/>
          <w:szCs w:val="24"/>
        </w:rPr>
        <w:lastRenderedPageBreak/>
        <w:t>documento que asegure la disponibilidad del recurso. Así mismo, el solicitante certificará que estos recursos serán destinados a la cofinanciación del proyecto aprobado.</w:t>
      </w:r>
    </w:p>
    <w:p w14:paraId="21CE5CE7" w14:textId="77777777" w:rsidR="009C76C0" w:rsidRDefault="009C76C0" w:rsidP="008E39FD"/>
    <w:p w14:paraId="1C484260" w14:textId="2047A9CA" w:rsidR="001A0BED" w:rsidRDefault="00504888" w:rsidP="00835D7F">
      <w:pPr>
        <w:pStyle w:val="Ttulo6"/>
        <w:ind w:left="1152" w:hanging="1152"/>
      </w:pPr>
      <w:r w:rsidRPr="00504888">
        <w:rPr>
          <w:bCs/>
        </w:rPr>
        <w:t xml:space="preserve">II.5.1.1 </w:t>
      </w:r>
      <w:r w:rsidR="001A0BED" w:rsidRPr="003A4FDD">
        <w:rPr>
          <w:highlight w:val="yellow"/>
        </w:rPr>
        <w:t>Contenido mínimo del convenio de cofinanciación</w:t>
      </w:r>
      <w:r w:rsidR="009C76C0" w:rsidRPr="003A4FDD">
        <w:rPr>
          <w:highlight w:val="yellow"/>
        </w:rPr>
        <w:t>.</w:t>
      </w:r>
    </w:p>
    <w:p w14:paraId="6E64E4C6" w14:textId="77777777" w:rsidR="00864848" w:rsidRPr="00864848" w:rsidRDefault="00864848" w:rsidP="00864848"/>
    <w:p w14:paraId="08F5FEE2"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El convenio de cofinanciación deberá contener, como mínimo, lo siguiente:</w:t>
      </w:r>
    </w:p>
    <w:p w14:paraId="603FCFB5" w14:textId="77777777" w:rsidR="000E365D" w:rsidRPr="008F4ED6" w:rsidRDefault="000E365D" w:rsidP="008E39FD">
      <w:pPr>
        <w:spacing w:after="0"/>
        <w:jc w:val="both"/>
        <w:rPr>
          <w:rFonts w:ascii="Arial" w:hAnsi="Arial" w:cs="Arial"/>
          <w:sz w:val="24"/>
          <w:szCs w:val="24"/>
        </w:rPr>
      </w:pPr>
    </w:p>
    <w:p w14:paraId="0B104805"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1. Objeto.</w:t>
      </w:r>
    </w:p>
    <w:p w14:paraId="0AA7A590" w14:textId="77777777" w:rsidR="000E365D" w:rsidRPr="008F4ED6" w:rsidRDefault="000E365D" w:rsidP="008E39FD">
      <w:pPr>
        <w:spacing w:after="0"/>
        <w:jc w:val="both"/>
        <w:rPr>
          <w:rFonts w:ascii="Arial" w:hAnsi="Arial" w:cs="Arial"/>
          <w:sz w:val="24"/>
          <w:szCs w:val="24"/>
        </w:rPr>
      </w:pPr>
    </w:p>
    <w:p w14:paraId="5C872C33"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2. Partes.</w:t>
      </w:r>
    </w:p>
    <w:p w14:paraId="48B784C8" w14:textId="77777777" w:rsidR="000E365D" w:rsidRPr="008F4ED6" w:rsidRDefault="000E365D" w:rsidP="008E39FD">
      <w:pPr>
        <w:spacing w:after="0"/>
        <w:jc w:val="both"/>
        <w:rPr>
          <w:rFonts w:ascii="Arial" w:hAnsi="Arial" w:cs="Arial"/>
          <w:sz w:val="24"/>
          <w:szCs w:val="24"/>
        </w:rPr>
      </w:pPr>
    </w:p>
    <w:p w14:paraId="436DC7D8"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 xml:space="preserve">3. Descripción y alcance del Proyecto que se cofinanciará, con sujeción a la propuesta evaluada por </w:t>
      </w:r>
      <w:r>
        <w:rPr>
          <w:rFonts w:ascii="Arial" w:hAnsi="Arial" w:cs="Arial"/>
          <w:sz w:val="24"/>
          <w:szCs w:val="24"/>
        </w:rPr>
        <w:t>el FONENERGÍA.</w:t>
      </w:r>
    </w:p>
    <w:p w14:paraId="6598857B" w14:textId="77777777" w:rsidR="000E365D" w:rsidRPr="008F4ED6" w:rsidRDefault="000E365D" w:rsidP="008E39FD">
      <w:pPr>
        <w:spacing w:after="0"/>
        <w:jc w:val="both"/>
        <w:rPr>
          <w:rFonts w:ascii="Arial" w:hAnsi="Arial" w:cs="Arial"/>
          <w:sz w:val="24"/>
          <w:szCs w:val="24"/>
        </w:rPr>
      </w:pPr>
    </w:p>
    <w:p w14:paraId="27459B9F"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4. Obligaciones y deberes de las partes vinculadas en el Convenio.</w:t>
      </w:r>
    </w:p>
    <w:p w14:paraId="346FF7BB" w14:textId="77777777" w:rsidR="000E365D" w:rsidRPr="008F4ED6" w:rsidRDefault="000E365D" w:rsidP="008E39FD">
      <w:pPr>
        <w:spacing w:after="0"/>
        <w:jc w:val="both"/>
        <w:rPr>
          <w:rFonts w:ascii="Arial" w:hAnsi="Arial" w:cs="Arial"/>
          <w:sz w:val="24"/>
          <w:szCs w:val="24"/>
        </w:rPr>
      </w:pPr>
    </w:p>
    <w:p w14:paraId="467F9A06"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5. Forma, plazos y condiciones para efectuar los desembolsos de los recursos del F</w:t>
      </w:r>
      <w:r>
        <w:rPr>
          <w:rFonts w:ascii="Arial" w:hAnsi="Arial" w:cs="Arial"/>
          <w:sz w:val="24"/>
          <w:szCs w:val="24"/>
        </w:rPr>
        <w:t>ONENERGÍA.</w:t>
      </w:r>
    </w:p>
    <w:p w14:paraId="2844B0E6" w14:textId="77777777" w:rsidR="000E365D" w:rsidRPr="008F4ED6" w:rsidRDefault="000E365D" w:rsidP="008E39FD">
      <w:pPr>
        <w:spacing w:after="0"/>
        <w:jc w:val="both"/>
        <w:rPr>
          <w:rFonts w:ascii="Arial" w:hAnsi="Arial" w:cs="Arial"/>
          <w:sz w:val="24"/>
          <w:szCs w:val="24"/>
        </w:rPr>
      </w:pPr>
    </w:p>
    <w:p w14:paraId="6E431D6D"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6. Duración, y prórrogas, si hubiere lugar.</w:t>
      </w:r>
    </w:p>
    <w:p w14:paraId="1FCCCF71" w14:textId="77777777" w:rsidR="000E365D" w:rsidRPr="008F4ED6" w:rsidRDefault="000E365D" w:rsidP="008E39FD">
      <w:pPr>
        <w:spacing w:after="0"/>
        <w:jc w:val="both"/>
        <w:rPr>
          <w:rFonts w:ascii="Arial" w:hAnsi="Arial" w:cs="Arial"/>
          <w:sz w:val="24"/>
          <w:szCs w:val="24"/>
        </w:rPr>
      </w:pPr>
    </w:p>
    <w:p w14:paraId="0F3EEACF"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7. Cronograma de ejecución de acuerdo a la clase de proyecto a cofinanciar.</w:t>
      </w:r>
    </w:p>
    <w:p w14:paraId="7BC2C8FC" w14:textId="77777777" w:rsidR="000E365D" w:rsidRPr="008F4ED6" w:rsidRDefault="000E365D" w:rsidP="008E39FD">
      <w:pPr>
        <w:spacing w:after="0"/>
        <w:jc w:val="both"/>
        <w:rPr>
          <w:rFonts w:ascii="Arial" w:hAnsi="Arial" w:cs="Arial"/>
          <w:sz w:val="24"/>
          <w:szCs w:val="24"/>
        </w:rPr>
      </w:pPr>
    </w:p>
    <w:p w14:paraId="7AA557D1"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8. Régimen de penalizaciones.</w:t>
      </w:r>
    </w:p>
    <w:p w14:paraId="3426D8E6" w14:textId="77777777" w:rsidR="000E365D" w:rsidRPr="008F4ED6" w:rsidRDefault="000E365D" w:rsidP="008E39FD">
      <w:pPr>
        <w:spacing w:after="0"/>
        <w:jc w:val="both"/>
        <w:rPr>
          <w:rFonts w:ascii="Arial" w:hAnsi="Arial" w:cs="Arial"/>
          <w:sz w:val="24"/>
          <w:szCs w:val="24"/>
        </w:rPr>
      </w:pPr>
    </w:p>
    <w:p w14:paraId="515BBFA7"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9. Causales de incumplimiento que dan lugar a imposición de multas.</w:t>
      </w:r>
    </w:p>
    <w:p w14:paraId="47D44A2D" w14:textId="77777777" w:rsidR="000E365D" w:rsidRPr="008F4ED6" w:rsidRDefault="000E365D" w:rsidP="008E39FD">
      <w:pPr>
        <w:spacing w:after="0"/>
        <w:jc w:val="both"/>
        <w:rPr>
          <w:rFonts w:ascii="Arial" w:hAnsi="Arial" w:cs="Arial"/>
          <w:sz w:val="24"/>
          <w:szCs w:val="24"/>
        </w:rPr>
      </w:pPr>
    </w:p>
    <w:p w14:paraId="362E7864"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10. Causales de incumplimiento que dan lugar a la declaratoria de caducidad.</w:t>
      </w:r>
    </w:p>
    <w:p w14:paraId="2FCD5837" w14:textId="77777777" w:rsidR="000E365D" w:rsidRPr="008F4ED6" w:rsidRDefault="000E365D" w:rsidP="008E39FD">
      <w:pPr>
        <w:spacing w:after="0"/>
        <w:jc w:val="both"/>
        <w:rPr>
          <w:rFonts w:ascii="Arial" w:hAnsi="Arial" w:cs="Arial"/>
          <w:sz w:val="24"/>
          <w:szCs w:val="24"/>
        </w:rPr>
      </w:pPr>
    </w:p>
    <w:p w14:paraId="73BDFF2F"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11. Causales de terminación anticipada.</w:t>
      </w:r>
    </w:p>
    <w:p w14:paraId="5AF399AC" w14:textId="77777777" w:rsidR="000E365D" w:rsidRPr="008F4ED6" w:rsidRDefault="000E365D" w:rsidP="008E39FD">
      <w:pPr>
        <w:spacing w:after="0"/>
        <w:jc w:val="both"/>
        <w:rPr>
          <w:rFonts w:ascii="Arial" w:hAnsi="Arial" w:cs="Arial"/>
          <w:sz w:val="24"/>
          <w:szCs w:val="24"/>
        </w:rPr>
      </w:pPr>
    </w:p>
    <w:p w14:paraId="4E5B2F07" w14:textId="77777777" w:rsidR="000E365D" w:rsidRPr="008F4ED6" w:rsidRDefault="000E365D" w:rsidP="008E39FD">
      <w:pPr>
        <w:spacing w:after="0"/>
        <w:jc w:val="both"/>
        <w:rPr>
          <w:rFonts w:ascii="Arial" w:hAnsi="Arial" w:cs="Arial"/>
          <w:sz w:val="24"/>
          <w:szCs w:val="24"/>
        </w:rPr>
      </w:pPr>
      <w:r w:rsidRPr="008F4ED6">
        <w:rPr>
          <w:rFonts w:ascii="Arial" w:hAnsi="Arial" w:cs="Arial"/>
          <w:sz w:val="24"/>
          <w:szCs w:val="24"/>
        </w:rPr>
        <w:t xml:space="preserve">12. Consignación de los rendimientos originados por los recursos del </w:t>
      </w:r>
      <w:r>
        <w:rPr>
          <w:rFonts w:ascii="Arial" w:hAnsi="Arial" w:cs="Arial"/>
          <w:sz w:val="24"/>
          <w:szCs w:val="24"/>
        </w:rPr>
        <w:t>FONENERGÍA.</w:t>
      </w:r>
    </w:p>
    <w:p w14:paraId="1B280DB1" w14:textId="77777777" w:rsidR="000E365D" w:rsidRPr="008F4ED6" w:rsidRDefault="000E365D" w:rsidP="008E39FD">
      <w:pPr>
        <w:spacing w:after="0"/>
        <w:jc w:val="both"/>
        <w:rPr>
          <w:rFonts w:ascii="Arial" w:hAnsi="Arial" w:cs="Arial"/>
          <w:sz w:val="24"/>
          <w:szCs w:val="24"/>
        </w:rPr>
      </w:pPr>
    </w:p>
    <w:p w14:paraId="6AE01731" w14:textId="6AA1F339" w:rsidR="009C76C0" w:rsidRPr="00C63186" w:rsidRDefault="000E365D" w:rsidP="00B03685">
      <w:pPr>
        <w:shd w:val="clear" w:color="auto" w:fill="FFFFFF" w:themeFill="background1"/>
        <w:spacing w:after="0"/>
        <w:jc w:val="both"/>
        <w:rPr>
          <w:rFonts w:ascii="Helvetica" w:eastAsia="Helvetica" w:hAnsi="Helvetica" w:cs="Helvetica"/>
          <w:sz w:val="24"/>
          <w:szCs w:val="24"/>
        </w:rPr>
      </w:pPr>
      <w:r w:rsidRPr="008F4ED6">
        <w:rPr>
          <w:rFonts w:ascii="Arial" w:hAnsi="Arial" w:cs="Arial"/>
          <w:sz w:val="24"/>
          <w:szCs w:val="24"/>
        </w:rPr>
        <w:t>13. Informes que deberá presentar la empresa</w:t>
      </w:r>
      <w:r w:rsidR="009C76C0" w:rsidRPr="54B2E939">
        <w:rPr>
          <w:rFonts w:ascii="Helvetica" w:eastAsia="Helvetica" w:hAnsi="Helvetica" w:cs="Helvetica"/>
          <w:sz w:val="24"/>
          <w:szCs w:val="24"/>
        </w:rPr>
        <w:t>.</w:t>
      </w:r>
    </w:p>
    <w:p w14:paraId="31E6A2AB" w14:textId="77777777" w:rsidR="009C76C0" w:rsidRDefault="009C76C0" w:rsidP="008E39FD"/>
    <w:p w14:paraId="77FB5B4D" w14:textId="6ED986F1" w:rsidR="009C76C0" w:rsidRPr="00114B84" w:rsidRDefault="00A82F5E" w:rsidP="00835D7F">
      <w:pPr>
        <w:pStyle w:val="Ttulo6"/>
        <w:jc w:val="both"/>
      </w:pPr>
      <w:r w:rsidRPr="00114B84">
        <w:rPr>
          <w:bCs/>
        </w:rPr>
        <w:t>II</w:t>
      </w:r>
      <w:r w:rsidR="00114B84" w:rsidRPr="00114B84">
        <w:rPr>
          <w:bCs/>
        </w:rPr>
        <w:t xml:space="preserve">-5.1.2 </w:t>
      </w:r>
      <w:r w:rsidR="000E365D" w:rsidRPr="00114B84">
        <w:rPr>
          <w:bCs/>
        </w:rPr>
        <w:t>Obligaciones</w:t>
      </w:r>
      <w:r w:rsidR="000E365D" w:rsidRPr="00114B84">
        <w:t xml:space="preserve"> generales del ejecutor de proyectos de infraestructura y conexiones</w:t>
      </w:r>
      <w:r w:rsidR="009C76C0" w:rsidRPr="00114B84">
        <w:t xml:space="preserve">. </w:t>
      </w:r>
    </w:p>
    <w:p w14:paraId="00EA895F" w14:textId="77777777" w:rsidR="009C76C0" w:rsidRPr="00C63186" w:rsidRDefault="009C76C0" w:rsidP="00B03685">
      <w:pPr>
        <w:shd w:val="clear" w:color="auto" w:fill="FFFFFF" w:themeFill="background1"/>
        <w:spacing w:after="0"/>
        <w:jc w:val="both"/>
        <w:rPr>
          <w:rFonts w:ascii="Arial" w:hAnsi="Arial" w:cs="Arial"/>
          <w:sz w:val="24"/>
          <w:szCs w:val="24"/>
        </w:rPr>
      </w:pPr>
    </w:p>
    <w:p w14:paraId="3CC9B65A"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Adicionalmente a las obligaciones definidas en este </w:t>
      </w:r>
      <w:r>
        <w:rPr>
          <w:rFonts w:ascii="Arial" w:hAnsi="Arial" w:cs="Arial"/>
          <w:sz w:val="24"/>
          <w:szCs w:val="24"/>
        </w:rPr>
        <w:t>manual</w:t>
      </w:r>
      <w:r w:rsidRPr="007A6730">
        <w:rPr>
          <w:rFonts w:ascii="Arial" w:hAnsi="Arial" w:cs="Arial"/>
          <w:sz w:val="24"/>
          <w:szCs w:val="24"/>
        </w:rPr>
        <w:t xml:space="preserve"> y en las establecidas en la normatividad vigente del </w:t>
      </w:r>
      <w:r>
        <w:rPr>
          <w:rFonts w:ascii="Arial" w:hAnsi="Arial" w:cs="Arial"/>
          <w:sz w:val="24"/>
          <w:szCs w:val="24"/>
        </w:rPr>
        <w:t>FONENERGÍA</w:t>
      </w:r>
      <w:r w:rsidRPr="007A6730">
        <w:rPr>
          <w:rFonts w:ascii="Arial" w:hAnsi="Arial" w:cs="Arial"/>
          <w:sz w:val="24"/>
          <w:szCs w:val="24"/>
        </w:rPr>
        <w:t>, los ejecutores deberán:</w:t>
      </w:r>
    </w:p>
    <w:p w14:paraId="2165730A" w14:textId="77777777" w:rsidR="00921869" w:rsidRPr="007A6730" w:rsidRDefault="00921869" w:rsidP="008E39FD">
      <w:pPr>
        <w:spacing w:after="0"/>
        <w:jc w:val="both"/>
        <w:rPr>
          <w:rFonts w:ascii="Arial" w:hAnsi="Arial" w:cs="Arial"/>
          <w:sz w:val="24"/>
          <w:szCs w:val="24"/>
        </w:rPr>
      </w:pPr>
    </w:p>
    <w:p w14:paraId="4BFB0007"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1. Aportar los recursos a los cuales se ha comprometió para llevar a cabo la ejecución del proyecto aprobado.</w:t>
      </w:r>
    </w:p>
    <w:p w14:paraId="773CEBA0" w14:textId="77777777" w:rsidR="00921869" w:rsidRPr="007A6730" w:rsidRDefault="00921869" w:rsidP="008E39FD">
      <w:pPr>
        <w:spacing w:after="0"/>
        <w:jc w:val="both"/>
        <w:rPr>
          <w:rFonts w:ascii="Arial" w:hAnsi="Arial" w:cs="Arial"/>
          <w:sz w:val="24"/>
          <w:szCs w:val="24"/>
        </w:rPr>
      </w:pPr>
    </w:p>
    <w:p w14:paraId="77284638"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2. Contar con un esquema cierto y definido de cofinanciación, identificando todas las fuentes de recursos.</w:t>
      </w:r>
    </w:p>
    <w:p w14:paraId="5F1ABE2A" w14:textId="77777777" w:rsidR="00921869" w:rsidRPr="007A6730" w:rsidRDefault="00921869" w:rsidP="008E39FD">
      <w:pPr>
        <w:spacing w:after="0"/>
        <w:jc w:val="both"/>
        <w:rPr>
          <w:rFonts w:ascii="Arial" w:hAnsi="Arial" w:cs="Arial"/>
          <w:sz w:val="24"/>
          <w:szCs w:val="24"/>
        </w:rPr>
      </w:pPr>
    </w:p>
    <w:p w14:paraId="1FFE39C9"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lastRenderedPageBreak/>
        <w:t xml:space="preserve">3. </w:t>
      </w:r>
      <w:r w:rsidRPr="00DF7C38">
        <w:rPr>
          <w:rFonts w:ascii="Arial" w:hAnsi="Arial" w:cs="Arial"/>
          <w:sz w:val="24"/>
          <w:szCs w:val="24"/>
        </w:rPr>
        <w:t xml:space="preserve">Constituir una cuenta bancaria para uso exclusivo de los recursos de cofinanciación de los proyectos de infraestructura cofinanciables, de la cual deberá presentar mensualmente un informe sobre su manejo, adjuntando los respectivos extractos bancarios al </w:t>
      </w:r>
      <w:r>
        <w:rPr>
          <w:rFonts w:ascii="Arial" w:hAnsi="Arial" w:cs="Arial"/>
          <w:sz w:val="24"/>
          <w:szCs w:val="24"/>
        </w:rPr>
        <w:t>FONENERGÍA.</w:t>
      </w:r>
    </w:p>
    <w:p w14:paraId="76FB9667" w14:textId="77777777" w:rsidR="00921869" w:rsidRPr="007A6730" w:rsidRDefault="00921869" w:rsidP="008E39FD">
      <w:pPr>
        <w:spacing w:after="0"/>
        <w:jc w:val="both"/>
        <w:rPr>
          <w:rFonts w:ascii="Arial" w:hAnsi="Arial" w:cs="Arial"/>
          <w:sz w:val="24"/>
          <w:szCs w:val="24"/>
        </w:rPr>
      </w:pPr>
    </w:p>
    <w:p w14:paraId="2CC5EB13"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4. Recibir del </w:t>
      </w:r>
      <w:r>
        <w:rPr>
          <w:rFonts w:ascii="Arial" w:hAnsi="Arial" w:cs="Arial"/>
          <w:sz w:val="24"/>
          <w:szCs w:val="24"/>
        </w:rPr>
        <w:t>FONENERGÍA</w:t>
      </w:r>
      <w:r w:rsidRPr="007A6730">
        <w:rPr>
          <w:rFonts w:ascii="Arial" w:hAnsi="Arial" w:cs="Arial"/>
          <w:sz w:val="24"/>
          <w:szCs w:val="24"/>
        </w:rPr>
        <w:t xml:space="preserve"> los recursos que este debe aportar para la cofinanciación del proyecto.</w:t>
      </w:r>
    </w:p>
    <w:p w14:paraId="3FD802E8" w14:textId="77777777" w:rsidR="00921869" w:rsidRPr="007A6730" w:rsidRDefault="00921869" w:rsidP="008E39FD">
      <w:pPr>
        <w:spacing w:after="0"/>
        <w:jc w:val="both"/>
        <w:rPr>
          <w:rFonts w:ascii="Arial" w:hAnsi="Arial" w:cs="Arial"/>
          <w:sz w:val="24"/>
          <w:szCs w:val="24"/>
        </w:rPr>
      </w:pPr>
    </w:p>
    <w:p w14:paraId="5CF4514D"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5. Administrar de manera eficiente los recursos aportados para la cofinanciación del proyecto.</w:t>
      </w:r>
    </w:p>
    <w:p w14:paraId="23DFDAB4" w14:textId="77777777" w:rsidR="00921869" w:rsidRPr="007A6730" w:rsidRDefault="00921869" w:rsidP="008E39FD">
      <w:pPr>
        <w:spacing w:after="0"/>
        <w:jc w:val="both"/>
        <w:rPr>
          <w:rFonts w:ascii="Arial" w:hAnsi="Arial" w:cs="Arial"/>
          <w:sz w:val="24"/>
          <w:szCs w:val="24"/>
        </w:rPr>
      </w:pPr>
    </w:p>
    <w:p w14:paraId="5DD5FC29"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6. Destinar los recursos económicos aportados, exclusivamente para la ejecución del proyecto.</w:t>
      </w:r>
    </w:p>
    <w:p w14:paraId="7537A9C0" w14:textId="77777777" w:rsidR="00921869" w:rsidRPr="007A6730" w:rsidRDefault="00921869" w:rsidP="008E39FD">
      <w:pPr>
        <w:spacing w:after="0"/>
        <w:jc w:val="both"/>
        <w:rPr>
          <w:rFonts w:ascii="Arial" w:hAnsi="Arial" w:cs="Arial"/>
          <w:sz w:val="24"/>
          <w:szCs w:val="24"/>
        </w:rPr>
      </w:pPr>
    </w:p>
    <w:p w14:paraId="73782A6D" w14:textId="5DC64808"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7. Consignar mensualmente en la cuenta definida en el Convenio, los rendimientos que se originen </w:t>
      </w:r>
      <w:r w:rsidR="00C01543">
        <w:rPr>
          <w:rFonts w:ascii="Arial" w:hAnsi="Arial" w:cs="Arial"/>
          <w:sz w:val="24"/>
          <w:szCs w:val="24"/>
        </w:rPr>
        <w:t>debido a</w:t>
      </w:r>
      <w:r w:rsidRPr="007A6730">
        <w:rPr>
          <w:rFonts w:ascii="Arial" w:hAnsi="Arial" w:cs="Arial"/>
          <w:sz w:val="24"/>
          <w:szCs w:val="24"/>
        </w:rPr>
        <w:t xml:space="preserve"> las operaciones financieras que se realicen con los recursos del Fondo, así como los intereses de mora a que haya lugar</w:t>
      </w:r>
      <w:r>
        <w:rPr>
          <w:rFonts w:ascii="Arial" w:hAnsi="Arial" w:cs="Arial"/>
          <w:sz w:val="24"/>
          <w:szCs w:val="24"/>
        </w:rPr>
        <w:t>.</w:t>
      </w:r>
    </w:p>
    <w:p w14:paraId="64008537" w14:textId="77777777" w:rsidR="00921869" w:rsidRPr="007A6730" w:rsidRDefault="00921869" w:rsidP="008E39FD">
      <w:pPr>
        <w:spacing w:after="0"/>
        <w:jc w:val="both"/>
        <w:rPr>
          <w:rFonts w:ascii="Arial" w:hAnsi="Arial" w:cs="Arial"/>
          <w:sz w:val="24"/>
          <w:szCs w:val="24"/>
        </w:rPr>
      </w:pPr>
    </w:p>
    <w:p w14:paraId="0303854C"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8. Adelantar la ejecución de las obras necesarias para la construcción del proyecto aprobado, directamente o mediante contratación.</w:t>
      </w:r>
    </w:p>
    <w:p w14:paraId="391D60D1" w14:textId="77777777" w:rsidR="00921869" w:rsidRPr="007A6730" w:rsidRDefault="00921869" w:rsidP="008E39FD">
      <w:pPr>
        <w:spacing w:after="0"/>
        <w:jc w:val="both"/>
        <w:rPr>
          <w:rFonts w:ascii="Arial" w:hAnsi="Arial" w:cs="Arial"/>
          <w:sz w:val="24"/>
          <w:szCs w:val="24"/>
        </w:rPr>
      </w:pPr>
    </w:p>
    <w:p w14:paraId="37181236" w14:textId="5D2060D9"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9. </w:t>
      </w:r>
      <w:r w:rsidRPr="00E76200">
        <w:rPr>
          <w:rFonts w:ascii="Arial" w:hAnsi="Arial" w:cs="Arial"/>
          <w:sz w:val="24"/>
          <w:szCs w:val="24"/>
        </w:rPr>
        <w:t>Contratar la</w:t>
      </w:r>
      <w:r w:rsidRPr="002D1EB9" w:rsidDel="009049E9">
        <w:rPr>
          <w:rFonts w:ascii="Arial" w:hAnsi="Arial" w:cs="Arial"/>
          <w:sz w:val="24"/>
          <w:szCs w:val="24"/>
        </w:rPr>
        <w:t xml:space="preserve"> </w:t>
      </w:r>
      <w:r w:rsidR="009049E9" w:rsidRPr="002D1EB9">
        <w:rPr>
          <w:rFonts w:ascii="Arial" w:hAnsi="Arial" w:cs="Arial"/>
          <w:sz w:val="24"/>
          <w:szCs w:val="24"/>
        </w:rPr>
        <w:t>interventoría</w:t>
      </w:r>
      <w:r w:rsidR="009049E9">
        <w:rPr>
          <w:rFonts w:ascii="Arial" w:hAnsi="Arial" w:cs="Arial"/>
          <w:sz w:val="24"/>
          <w:szCs w:val="24"/>
        </w:rPr>
        <w:t>, si</w:t>
      </w:r>
      <w:r w:rsidR="005C17C1">
        <w:rPr>
          <w:rFonts w:ascii="Arial" w:hAnsi="Arial" w:cs="Arial"/>
          <w:sz w:val="24"/>
          <w:szCs w:val="24"/>
        </w:rPr>
        <w:t xml:space="preserve"> aplica </w:t>
      </w:r>
      <w:r w:rsidRPr="002D1EB9">
        <w:rPr>
          <w:rFonts w:ascii="Arial" w:hAnsi="Arial" w:cs="Arial"/>
          <w:sz w:val="24"/>
          <w:szCs w:val="24"/>
        </w:rPr>
        <w:t>para la ejecución del proyecto, la cual deberá ser ejercida por empresas que certifiquen que han efectuado mínimo una (1) interventoría a contratos de construcción de redes de gas combustible, cuyo monto sea igual o superior al del proyecto presentado. Para lo anterior, el posible Interventor deberá adjuntar una certificación de su representante legal, si se trata de persona jurídica, en el que manifieste su intención de ejecutar la interventoría del proyecto y soporte el cumplimiento de los requisitos anteriormente exigidos. Tal certificación, deberá señalar que su vigencia es de mínimo un (1) año, en la cual se mantendrá la oferta del posible Interventor, en caso de aprobarse la ejecución del proyecto</w:t>
      </w:r>
    </w:p>
    <w:p w14:paraId="317F7BC2" w14:textId="77777777" w:rsidR="00921869" w:rsidRPr="007A6730" w:rsidRDefault="00921869" w:rsidP="008E39FD">
      <w:pPr>
        <w:spacing w:after="0"/>
        <w:jc w:val="both"/>
        <w:rPr>
          <w:rFonts w:ascii="Arial" w:hAnsi="Arial" w:cs="Arial"/>
          <w:sz w:val="24"/>
          <w:szCs w:val="24"/>
        </w:rPr>
      </w:pPr>
    </w:p>
    <w:p w14:paraId="02BB88AA"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10.</w:t>
      </w:r>
      <w:r>
        <w:rPr>
          <w:rFonts w:ascii="Arial" w:hAnsi="Arial" w:cs="Arial"/>
          <w:sz w:val="24"/>
          <w:szCs w:val="24"/>
        </w:rPr>
        <w:t xml:space="preserve"> </w:t>
      </w:r>
      <w:r w:rsidRPr="007A6730">
        <w:rPr>
          <w:rFonts w:ascii="Arial" w:hAnsi="Arial" w:cs="Arial"/>
          <w:sz w:val="24"/>
          <w:szCs w:val="24"/>
        </w:rPr>
        <w:t>Constituir las garantías a que haya lugar, de acuerdo con lo establecido en el Convenio de Cofinanciación.</w:t>
      </w:r>
    </w:p>
    <w:p w14:paraId="6F76844C" w14:textId="77777777" w:rsidR="00921869" w:rsidRPr="007A6730" w:rsidRDefault="00921869" w:rsidP="008E39FD">
      <w:pPr>
        <w:spacing w:after="0"/>
        <w:jc w:val="both"/>
        <w:rPr>
          <w:rFonts w:ascii="Arial" w:hAnsi="Arial" w:cs="Arial"/>
          <w:sz w:val="24"/>
          <w:szCs w:val="24"/>
        </w:rPr>
      </w:pPr>
    </w:p>
    <w:p w14:paraId="30BE4DB3" w14:textId="3E305F5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11. Rendir los informes que en relación con el Proyecto solicite el </w:t>
      </w:r>
      <w:r>
        <w:rPr>
          <w:rFonts w:ascii="Arial" w:hAnsi="Arial" w:cs="Arial"/>
          <w:sz w:val="24"/>
          <w:szCs w:val="24"/>
        </w:rPr>
        <w:t>FONENERGÍA</w:t>
      </w:r>
      <w:r w:rsidRPr="007A6730">
        <w:rPr>
          <w:rFonts w:ascii="Arial" w:hAnsi="Arial" w:cs="Arial"/>
          <w:sz w:val="24"/>
          <w:szCs w:val="24"/>
        </w:rPr>
        <w:t>, a través de</w:t>
      </w:r>
      <w:r w:rsidR="00F05F70">
        <w:rPr>
          <w:rFonts w:ascii="Arial" w:hAnsi="Arial" w:cs="Arial"/>
          <w:sz w:val="24"/>
          <w:szCs w:val="24"/>
        </w:rPr>
        <w:t>l supervisor del convenio.</w:t>
      </w:r>
    </w:p>
    <w:p w14:paraId="0FB7A0C6" w14:textId="77777777" w:rsidR="00921869" w:rsidRPr="007A6730" w:rsidRDefault="00921869" w:rsidP="008E39FD">
      <w:pPr>
        <w:spacing w:after="0"/>
        <w:jc w:val="both"/>
        <w:rPr>
          <w:rFonts w:ascii="Arial" w:hAnsi="Arial" w:cs="Arial"/>
          <w:sz w:val="24"/>
          <w:szCs w:val="24"/>
        </w:rPr>
      </w:pPr>
    </w:p>
    <w:p w14:paraId="129F901E"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12. Registrar mensualmente en el sistema de información – SUNA</w:t>
      </w:r>
      <w:r>
        <w:rPr>
          <w:rFonts w:ascii="Arial" w:hAnsi="Arial" w:cs="Arial"/>
          <w:sz w:val="24"/>
          <w:szCs w:val="24"/>
        </w:rPr>
        <w:t xml:space="preserve"> o sistema de información disponible,</w:t>
      </w:r>
      <w:r w:rsidRPr="007A6730">
        <w:rPr>
          <w:rFonts w:ascii="Arial" w:hAnsi="Arial" w:cs="Arial"/>
          <w:sz w:val="24"/>
          <w:szCs w:val="24"/>
        </w:rPr>
        <w:t xml:space="preserve"> los datos solicitados, que permitan hacer seguimiento tanto a los recursos asignados como a la ejecución de los proyectos.</w:t>
      </w:r>
    </w:p>
    <w:p w14:paraId="0E688D9E" w14:textId="77777777" w:rsidR="00921869" w:rsidRPr="007A6730" w:rsidRDefault="00921869" w:rsidP="008E39FD">
      <w:pPr>
        <w:spacing w:after="0"/>
        <w:jc w:val="both"/>
        <w:rPr>
          <w:rFonts w:ascii="Arial" w:hAnsi="Arial" w:cs="Arial"/>
          <w:sz w:val="24"/>
          <w:szCs w:val="24"/>
        </w:rPr>
      </w:pPr>
    </w:p>
    <w:p w14:paraId="5C0D9B26"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13. Notificar al</w:t>
      </w:r>
      <w:r>
        <w:rPr>
          <w:rFonts w:ascii="Arial" w:hAnsi="Arial" w:cs="Arial"/>
          <w:sz w:val="24"/>
          <w:szCs w:val="24"/>
        </w:rPr>
        <w:t xml:space="preserve"> FONENERGÍA</w:t>
      </w:r>
      <w:r w:rsidRPr="007A6730">
        <w:rPr>
          <w:rFonts w:ascii="Arial" w:hAnsi="Arial" w:cs="Arial"/>
          <w:sz w:val="24"/>
          <w:szCs w:val="24"/>
        </w:rPr>
        <w:t xml:space="preserve"> cualquier evento que afecte la ejecución normal del proyecto.</w:t>
      </w:r>
    </w:p>
    <w:p w14:paraId="1105D5DA" w14:textId="77777777" w:rsidR="00921869" w:rsidRPr="007A6730" w:rsidRDefault="00921869" w:rsidP="008E39FD">
      <w:pPr>
        <w:spacing w:after="0"/>
        <w:jc w:val="both"/>
        <w:rPr>
          <w:rFonts w:ascii="Arial" w:hAnsi="Arial" w:cs="Arial"/>
          <w:sz w:val="24"/>
          <w:szCs w:val="24"/>
        </w:rPr>
      </w:pPr>
    </w:p>
    <w:p w14:paraId="27E9C5E4"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14. Mantener indemne al </w:t>
      </w:r>
      <w:r>
        <w:rPr>
          <w:rFonts w:ascii="Arial" w:hAnsi="Arial" w:cs="Arial"/>
          <w:sz w:val="24"/>
          <w:szCs w:val="24"/>
        </w:rPr>
        <w:t>FONENERGÍA</w:t>
      </w:r>
      <w:r w:rsidRPr="007A6730">
        <w:rPr>
          <w:rFonts w:ascii="Arial" w:hAnsi="Arial" w:cs="Arial"/>
          <w:sz w:val="24"/>
          <w:szCs w:val="24"/>
        </w:rPr>
        <w:t xml:space="preserve"> por cualquier circunstancia que se le impute en razón a la ejecución del proyecto. En ese sentido, en caso de que el solicitante suscriba contratos para el desarrollo y la ejecución del proyecto, deberá pactar cláusulas de indemnidad a favor del </w:t>
      </w:r>
      <w:r>
        <w:rPr>
          <w:rFonts w:ascii="Arial" w:hAnsi="Arial" w:cs="Arial"/>
          <w:sz w:val="24"/>
          <w:szCs w:val="24"/>
        </w:rPr>
        <w:t>FONENERGÍA</w:t>
      </w:r>
      <w:r w:rsidRPr="007A6730">
        <w:rPr>
          <w:rFonts w:ascii="Arial" w:hAnsi="Arial" w:cs="Arial"/>
          <w:sz w:val="24"/>
          <w:szCs w:val="24"/>
        </w:rPr>
        <w:t xml:space="preserve">, que lo mantengan a salvo de eventuales </w:t>
      </w:r>
      <w:r w:rsidRPr="007A6730">
        <w:rPr>
          <w:rFonts w:ascii="Arial" w:hAnsi="Arial" w:cs="Arial"/>
          <w:sz w:val="24"/>
          <w:szCs w:val="24"/>
        </w:rPr>
        <w:lastRenderedPageBreak/>
        <w:t>responsabilidades por demandas que puedan presentar los contratistas o sus empleados, subcontratistas o sus empleados, asesores o terceros, con ocasión de cualquier reclamación y/o daños y perjuicios derivados de contratos que celebre el solicitante-ejecutor, para el desarrollo y ejecución del proyecto.</w:t>
      </w:r>
    </w:p>
    <w:p w14:paraId="4E59906C" w14:textId="77777777" w:rsidR="00921869" w:rsidRPr="007A6730" w:rsidRDefault="00921869" w:rsidP="008E39FD">
      <w:pPr>
        <w:spacing w:after="0"/>
        <w:jc w:val="both"/>
        <w:rPr>
          <w:rFonts w:ascii="Arial" w:hAnsi="Arial" w:cs="Arial"/>
          <w:sz w:val="24"/>
          <w:szCs w:val="24"/>
        </w:rPr>
      </w:pPr>
    </w:p>
    <w:p w14:paraId="5D065BD8"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 xml:space="preserve">15. Entregar los informes de que trata el </w:t>
      </w:r>
      <w:r>
        <w:rPr>
          <w:rFonts w:ascii="Arial" w:hAnsi="Arial" w:cs="Arial"/>
          <w:sz w:val="24"/>
          <w:szCs w:val="24"/>
        </w:rPr>
        <w:t>presente manual</w:t>
      </w:r>
      <w:r w:rsidRPr="007A6730">
        <w:rPr>
          <w:rFonts w:ascii="Arial" w:hAnsi="Arial" w:cs="Arial"/>
          <w:sz w:val="24"/>
          <w:szCs w:val="24"/>
        </w:rPr>
        <w:t xml:space="preserve"> dentro de los plazos y en la forma allí establecida.</w:t>
      </w:r>
    </w:p>
    <w:p w14:paraId="57FE5ACA" w14:textId="77777777" w:rsidR="00921869" w:rsidRPr="007A6730" w:rsidRDefault="00921869" w:rsidP="008E39FD">
      <w:pPr>
        <w:spacing w:after="0"/>
        <w:jc w:val="both"/>
        <w:rPr>
          <w:rFonts w:ascii="Arial" w:hAnsi="Arial" w:cs="Arial"/>
          <w:sz w:val="24"/>
          <w:szCs w:val="24"/>
        </w:rPr>
      </w:pPr>
    </w:p>
    <w:p w14:paraId="53EDD1BF"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16. Entregar, una vez terminado el plazo establecido, el proyecto aprobado en condiciones de operación.</w:t>
      </w:r>
    </w:p>
    <w:p w14:paraId="65946879" w14:textId="77777777" w:rsidR="00921869" w:rsidRPr="007A6730" w:rsidRDefault="00921869" w:rsidP="008E39FD">
      <w:pPr>
        <w:spacing w:after="0"/>
        <w:jc w:val="both"/>
        <w:rPr>
          <w:rFonts w:ascii="Arial" w:hAnsi="Arial" w:cs="Arial"/>
          <w:sz w:val="24"/>
          <w:szCs w:val="24"/>
        </w:rPr>
      </w:pPr>
    </w:p>
    <w:p w14:paraId="0978CCDE" w14:textId="77777777" w:rsidR="00921869" w:rsidRDefault="00921869" w:rsidP="008E39FD">
      <w:pPr>
        <w:spacing w:after="0"/>
        <w:jc w:val="both"/>
        <w:rPr>
          <w:rFonts w:ascii="Arial" w:hAnsi="Arial" w:cs="Arial"/>
          <w:sz w:val="24"/>
          <w:szCs w:val="24"/>
        </w:rPr>
      </w:pPr>
      <w:r w:rsidRPr="007A6730">
        <w:rPr>
          <w:rFonts w:ascii="Arial" w:hAnsi="Arial" w:cs="Arial"/>
          <w:sz w:val="24"/>
          <w:szCs w:val="24"/>
        </w:rPr>
        <w:t xml:space="preserve">17. Suscribir el Acta de Liquidación del Convenio, dentro de los quince (15) días calendario siguientes a la fecha en que el </w:t>
      </w:r>
      <w:r>
        <w:rPr>
          <w:rFonts w:ascii="Arial" w:hAnsi="Arial" w:cs="Arial"/>
          <w:sz w:val="24"/>
          <w:szCs w:val="24"/>
        </w:rPr>
        <w:t>FONENERGÍA</w:t>
      </w:r>
      <w:r w:rsidRPr="007A6730">
        <w:rPr>
          <w:rFonts w:ascii="Arial" w:hAnsi="Arial" w:cs="Arial"/>
          <w:sz w:val="24"/>
          <w:szCs w:val="24"/>
        </w:rPr>
        <w:t xml:space="preserve"> la remita para tal fin.</w:t>
      </w:r>
    </w:p>
    <w:p w14:paraId="7A580B21" w14:textId="77777777" w:rsidR="00921869" w:rsidRDefault="00921869" w:rsidP="008E39FD">
      <w:pPr>
        <w:spacing w:after="0"/>
        <w:jc w:val="both"/>
        <w:rPr>
          <w:rFonts w:ascii="Arial" w:hAnsi="Arial" w:cs="Arial"/>
          <w:sz w:val="24"/>
          <w:szCs w:val="24"/>
        </w:rPr>
      </w:pPr>
    </w:p>
    <w:p w14:paraId="1EAFF0D1" w14:textId="77777777" w:rsidR="00921869" w:rsidRPr="007A6730" w:rsidRDefault="00921869" w:rsidP="008E39FD">
      <w:pPr>
        <w:spacing w:after="0"/>
        <w:jc w:val="both"/>
        <w:rPr>
          <w:rFonts w:ascii="Arial" w:hAnsi="Arial" w:cs="Arial"/>
          <w:sz w:val="24"/>
          <w:szCs w:val="24"/>
        </w:rPr>
      </w:pPr>
      <w:r>
        <w:rPr>
          <w:rFonts w:ascii="Arial" w:hAnsi="Arial" w:cs="Arial"/>
          <w:sz w:val="24"/>
          <w:szCs w:val="24"/>
        </w:rPr>
        <w:t>18. S</w:t>
      </w:r>
      <w:r w:rsidRPr="008F5FFA">
        <w:rPr>
          <w:rFonts w:ascii="Arial" w:hAnsi="Arial" w:cs="Arial"/>
          <w:sz w:val="24"/>
          <w:szCs w:val="24"/>
        </w:rPr>
        <w:t>uscribir el Contrato Especial de</w:t>
      </w:r>
      <w:r>
        <w:rPr>
          <w:rFonts w:ascii="Arial" w:hAnsi="Arial" w:cs="Arial"/>
          <w:sz w:val="24"/>
          <w:szCs w:val="24"/>
        </w:rPr>
        <w:t xml:space="preserve"> </w:t>
      </w:r>
      <w:r w:rsidRPr="008F5FFA">
        <w:rPr>
          <w:rFonts w:ascii="Arial" w:hAnsi="Arial" w:cs="Arial"/>
          <w:sz w:val="24"/>
          <w:szCs w:val="24"/>
        </w:rPr>
        <w:t xml:space="preserve">Aporte correspondiente, una vez </w:t>
      </w:r>
      <w:r>
        <w:rPr>
          <w:rFonts w:ascii="Arial" w:hAnsi="Arial" w:cs="Arial"/>
          <w:sz w:val="24"/>
          <w:szCs w:val="24"/>
        </w:rPr>
        <w:t xml:space="preserve">surtido trámite de liquidación </w:t>
      </w:r>
      <w:r w:rsidRPr="008F5FFA">
        <w:rPr>
          <w:rFonts w:ascii="Arial" w:hAnsi="Arial" w:cs="Arial"/>
          <w:sz w:val="24"/>
          <w:szCs w:val="24"/>
        </w:rPr>
        <w:t>y se haya suscrito el Acta de Entrega</w:t>
      </w:r>
      <w:r>
        <w:rPr>
          <w:rFonts w:ascii="Arial" w:hAnsi="Arial" w:cs="Arial"/>
          <w:sz w:val="24"/>
          <w:szCs w:val="24"/>
        </w:rPr>
        <w:t xml:space="preserve"> </w:t>
      </w:r>
      <w:r w:rsidRPr="008F5FFA">
        <w:rPr>
          <w:rFonts w:ascii="Arial" w:hAnsi="Arial" w:cs="Arial"/>
          <w:sz w:val="24"/>
          <w:szCs w:val="24"/>
        </w:rPr>
        <w:t>y Recibo de Activos, de conformidad con las normas</w:t>
      </w:r>
      <w:r>
        <w:rPr>
          <w:rFonts w:ascii="Arial" w:hAnsi="Arial" w:cs="Arial"/>
          <w:sz w:val="24"/>
          <w:szCs w:val="24"/>
        </w:rPr>
        <w:t xml:space="preserve"> </w:t>
      </w:r>
      <w:r w:rsidRPr="008F5FFA">
        <w:rPr>
          <w:rFonts w:ascii="Arial" w:hAnsi="Arial" w:cs="Arial"/>
          <w:sz w:val="24"/>
          <w:szCs w:val="24"/>
        </w:rPr>
        <w:t>aplicables y en los términos que para tal efecto disponga</w:t>
      </w:r>
      <w:r>
        <w:rPr>
          <w:rFonts w:ascii="Arial" w:hAnsi="Arial" w:cs="Arial"/>
          <w:sz w:val="24"/>
          <w:szCs w:val="24"/>
        </w:rPr>
        <w:t xml:space="preserve"> </w:t>
      </w:r>
      <w:r w:rsidRPr="008F5FFA">
        <w:rPr>
          <w:rFonts w:ascii="Arial" w:hAnsi="Arial" w:cs="Arial"/>
          <w:sz w:val="24"/>
          <w:szCs w:val="24"/>
        </w:rPr>
        <w:t xml:space="preserve">el </w:t>
      </w:r>
      <w:r>
        <w:rPr>
          <w:rFonts w:ascii="Arial" w:hAnsi="Arial" w:cs="Arial"/>
          <w:sz w:val="24"/>
          <w:szCs w:val="24"/>
        </w:rPr>
        <w:t>FONENERGÍA.</w:t>
      </w:r>
    </w:p>
    <w:p w14:paraId="5EB65744" w14:textId="77777777" w:rsidR="00921869" w:rsidRPr="007A6730" w:rsidRDefault="00921869" w:rsidP="008E39FD">
      <w:pPr>
        <w:spacing w:after="0"/>
        <w:jc w:val="both"/>
        <w:rPr>
          <w:rFonts w:ascii="Arial" w:hAnsi="Arial" w:cs="Arial"/>
          <w:sz w:val="24"/>
          <w:szCs w:val="24"/>
        </w:rPr>
      </w:pPr>
    </w:p>
    <w:p w14:paraId="143EC7A3" w14:textId="77777777" w:rsidR="00921869" w:rsidRPr="007A6730" w:rsidRDefault="00921869" w:rsidP="008E39FD">
      <w:pPr>
        <w:spacing w:after="0"/>
        <w:jc w:val="both"/>
        <w:rPr>
          <w:rFonts w:ascii="Arial" w:hAnsi="Arial" w:cs="Arial"/>
          <w:sz w:val="24"/>
          <w:szCs w:val="24"/>
        </w:rPr>
      </w:pPr>
      <w:r w:rsidRPr="007A6730">
        <w:rPr>
          <w:rFonts w:ascii="Arial" w:hAnsi="Arial" w:cs="Arial"/>
          <w:sz w:val="24"/>
          <w:szCs w:val="24"/>
        </w:rPr>
        <w:t>1</w:t>
      </w:r>
      <w:r>
        <w:rPr>
          <w:rFonts w:ascii="Arial" w:hAnsi="Arial" w:cs="Arial"/>
          <w:sz w:val="24"/>
          <w:szCs w:val="24"/>
        </w:rPr>
        <w:t>9</w:t>
      </w:r>
      <w:r w:rsidRPr="007A6730">
        <w:rPr>
          <w:rFonts w:ascii="Arial" w:hAnsi="Arial" w:cs="Arial"/>
          <w:sz w:val="24"/>
          <w:szCs w:val="24"/>
        </w:rPr>
        <w:t>. Reembolsar al</w:t>
      </w:r>
      <w:r>
        <w:rPr>
          <w:rFonts w:ascii="Arial" w:hAnsi="Arial" w:cs="Arial"/>
          <w:sz w:val="24"/>
          <w:szCs w:val="24"/>
        </w:rPr>
        <w:t xml:space="preserve"> FONENERGÍA</w:t>
      </w:r>
      <w:r w:rsidRPr="007A6730">
        <w:rPr>
          <w:rFonts w:ascii="Arial" w:hAnsi="Arial" w:cs="Arial"/>
          <w:sz w:val="24"/>
          <w:szCs w:val="24"/>
        </w:rPr>
        <w:t>, los recursos del proyecto no ejecutados</w:t>
      </w:r>
      <w:r>
        <w:rPr>
          <w:rFonts w:ascii="Arial" w:hAnsi="Arial" w:cs="Arial"/>
          <w:sz w:val="24"/>
          <w:szCs w:val="24"/>
        </w:rPr>
        <w:t xml:space="preserve"> </w:t>
      </w:r>
      <w:r w:rsidRPr="008D6928">
        <w:rPr>
          <w:rFonts w:ascii="Arial" w:hAnsi="Arial" w:cs="Arial"/>
          <w:sz w:val="24"/>
          <w:szCs w:val="24"/>
        </w:rPr>
        <w:t>y/o rendimientos financieros</w:t>
      </w:r>
      <w:r w:rsidRPr="007A6730">
        <w:rPr>
          <w:rFonts w:ascii="Arial" w:hAnsi="Arial" w:cs="Arial"/>
          <w:sz w:val="24"/>
          <w:szCs w:val="24"/>
        </w:rPr>
        <w:t xml:space="preserve">, los cuales deberán ser consignados en la </w:t>
      </w:r>
      <w:r>
        <w:rPr>
          <w:rFonts w:ascii="Arial" w:hAnsi="Arial" w:cs="Arial"/>
          <w:sz w:val="24"/>
          <w:szCs w:val="24"/>
        </w:rPr>
        <w:t>c</w:t>
      </w:r>
      <w:r w:rsidRPr="007A6730">
        <w:rPr>
          <w:rFonts w:ascii="Arial" w:hAnsi="Arial" w:cs="Arial"/>
          <w:sz w:val="24"/>
          <w:szCs w:val="24"/>
        </w:rPr>
        <w:t xml:space="preserve">uenta establecida para el efecto en el respectivo </w:t>
      </w:r>
      <w:r>
        <w:rPr>
          <w:rFonts w:ascii="Arial" w:hAnsi="Arial" w:cs="Arial"/>
          <w:sz w:val="24"/>
          <w:szCs w:val="24"/>
        </w:rPr>
        <w:t>c</w:t>
      </w:r>
      <w:r w:rsidRPr="007A6730">
        <w:rPr>
          <w:rFonts w:ascii="Arial" w:hAnsi="Arial" w:cs="Arial"/>
          <w:sz w:val="24"/>
          <w:szCs w:val="24"/>
        </w:rPr>
        <w:t>onvenio</w:t>
      </w:r>
      <w:r>
        <w:rPr>
          <w:rFonts w:ascii="Arial" w:hAnsi="Arial" w:cs="Arial"/>
          <w:sz w:val="24"/>
          <w:szCs w:val="24"/>
        </w:rPr>
        <w:t xml:space="preserve"> de cofinanciación.</w:t>
      </w:r>
    </w:p>
    <w:p w14:paraId="477D7C53" w14:textId="77777777" w:rsidR="00921869" w:rsidRPr="007A6730" w:rsidRDefault="00921869" w:rsidP="008E39FD">
      <w:pPr>
        <w:spacing w:after="0"/>
        <w:jc w:val="both"/>
        <w:rPr>
          <w:rFonts w:ascii="Arial" w:hAnsi="Arial" w:cs="Arial"/>
          <w:sz w:val="24"/>
          <w:szCs w:val="24"/>
        </w:rPr>
      </w:pPr>
    </w:p>
    <w:p w14:paraId="34175A43" w14:textId="32CAF220" w:rsidR="00921869" w:rsidRDefault="003A4FDD" w:rsidP="008E39FD">
      <w:pPr>
        <w:spacing w:after="0"/>
        <w:jc w:val="both"/>
        <w:rPr>
          <w:rFonts w:ascii="Arial" w:hAnsi="Arial" w:cs="Arial"/>
          <w:sz w:val="24"/>
          <w:szCs w:val="24"/>
        </w:rPr>
      </w:pPr>
      <w:r w:rsidRPr="003A4FDD">
        <w:rPr>
          <w:rFonts w:ascii="Arial" w:hAnsi="Arial" w:cs="Arial"/>
          <w:b/>
          <w:bCs/>
          <w:sz w:val="24"/>
          <w:szCs w:val="24"/>
        </w:rPr>
        <w:t>Nota Especial</w:t>
      </w:r>
      <w:r w:rsidR="001D54F4">
        <w:rPr>
          <w:rFonts w:ascii="Arial" w:hAnsi="Arial" w:cs="Arial"/>
          <w:b/>
          <w:bCs/>
          <w:sz w:val="24"/>
          <w:szCs w:val="24"/>
        </w:rPr>
        <w:t xml:space="preserve"> 4</w:t>
      </w:r>
      <w:r w:rsidRPr="003A4FDD">
        <w:rPr>
          <w:rFonts w:ascii="Arial" w:hAnsi="Arial" w:cs="Arial"/>
          <w:b/>
          <w:bCs/>
          <w:sz w:val="24"/>
          <w:szCs w:val="24"/>
        </w:rPr>
        <w:t>:</w:t>
      </w:r>
      <w:r w:rsidR="00921869" w:rsidRPr="003A4FDD">
        <w:rPr>
          <w:rFonts w:ascii="Arial" w:hAnsi="Arial" w:cs="Arial"/>
          <w:sz w:val="24"/>
          <w:szCs w:val="24"/>
        </w:rPr>
        <w:t xml:space="preserve"> </w:t>
      </w:r>
      <w:r w:rsidR="00921869" w:rsidRPr="008004AA">
        <w:rPr>
          <w:rFonts w:ascii="Arial" w:hAnsi="Arial" w:cs="Arial"/>
          <w:sz w:val="24"/>
          <w:szCs w:val="24"/>
        </w:rPr>
        <w:t xml:space="preserve">La Superintendencia de Servicios Públicos Domiciliarios, en lo de su competencia, realizará la correspondiente investigación cuando se presente incumplimiento de las obligaciones adquiridas por parte de las empresas ejecutoras de los proyectos, sin perjuicio del proceso que inicie el </w:t>
      </w:r>
      <w:r w:rsidR="00921869">
        <w:rPr>
          <w:rFonts w:ascii="Arial" w:hAnsi="Arial" w:cs="Arial"/>
          <w:sz w:val="24"/>
          <w:szCs w:val="24"/>
        </w:rPr>
        <w:t>FONENERGÍA</w:t>
      </w:r>
      <w:r w:rsidR="00921869" w:rsidRPr="008004AA">
        <w:rPr>
          <w:rFonts w:ascii="Arial" w:hAnsi="Arial" w:cs="Arial"/>
          <w:sz w:val="24"/>
          <w:szCs w:val="24"/>
        </w:rPr>
        <w:t xml:space="preserve"> dando aplicación al régimen sancionatorio establecido por la Ley 1474 de 2011 o en las normas que la modifiquen o reglamenten</w:t>
      </w:r>
      <w:r w:rsidR="00921869">
        <w:rPr>
          <w:rFonts w:ascii="Arial" w:hAnsi="Arial" w:cs="Arial"/>
          <w:sz w:val="24"/>
          <w:szCs w:val="24"/>
        </w:rPr>
        <w:t>.</w:t>
      </w:r>
    </w:p>
    <w:p w14:paraId="7110F059" w14:textId="77777777" w:rsidR="009C76C0" w:rsidRDefault="009C76C0" w:rsidP="008E39FD"/>
    <w:p w14:paraId="56B8FC09" w14:textId="2A6FCD79" w:rsidR="000C5116" w:rsidRDefault="000C5116" w:rsidP="00835D7F">
      <w:pPr>
        <w:pStyle w:val="Ttulo3"/>
        <w:ind w:left="720" w:hanging="720"/>
        <w:jc w:val="center"/>
      </w:pPr>
      <w:bookmarkStart w:id="99" w:name="_Toc224844328"/>
      <w:r>
        <w:t xml:space="preserve">CAPÍTULO </w:t>
      </w:r>
      <w:r w:rsidR="00B548AA">
        <w:t>VI</w:t>
      </w:r>
      <w:bookmarkEnd w:id="99"/>
    </w:p>
    <w:p w14:paraId="58F5E50D" w14:textId="6C4D1B6B" w:rsidR="000C5116" w:rsidRDefault="000C5116" w:rsidP="00835D7F">
      <w:pPr>
        <w:pStyle w:val="Ttulo4"/>
        <w:ind w:left="864" w:hanging="864"/>
        <w:jc w:val="center"/>
      </w:pPr>
      <w:bookmarkStart w:id="100" w:name="_Toc224844329"/>
      <w:r>
        <w:t>EJECUCIÓN</w:t>
      </w:r>
      <w:bookmarkEnd w:id="100"/>
    </w:p>
    <w:p w14:paraId="25294CBA" w14:textId="77777777" w:rsidR="003A7BAB" w:rsidRPr="003A7BAB" w:rsidRDefault="003A7BAB" w:rsidP="003A7BAB"/>
    <w:p w14:paraId="38C267C7" w14:textId="5CEC571A" w:rsidR="002D2CC6" w:rsidRDefault="00BC568F" w:rsidP="00835D7F">
      <w:pPr>
        <w:pStyle w:val="Ttulo5"/>
        <w:ind w:left="1008" w:hanging="1008"/>
      </w:pPr>
      <w:bookmarkStart w:id="101" w:name="_Toc224844330"/>
      <w:r>
        <w:t>II-6.1</w:t>
      </w:r>
      <w:r w:rsidR="002D2CC6">
        <w:t xml:space="preserve"> Ejecución del convenio de cofinanciación.</w:t>
      </w:r>
      <w:bookmarkEnd w:id="101"/>
    </w:p>
    <w:p w14:paraId="15140CF2" w14:textId="77777777" w:rsidR="002D2CC6" w:rsidRDefault="002D2CC6" w:rsidP="008E39FD">
      <w:pPr>
        <w:spacing w:after="0"/>
        <w:jc w:val="both"/>
        <w:rPr>
          <w:rFonts w:ascii="Arial" w:hAnsi="Arial" w:cs="Arial"/>
          <w:sz w:val="24"/>
          <w:szCs w:val="24"/>
        </w:rPr>
      </w:pPr>
    </w:p>
    <w:p w14:paraId="3D41569D" w14:textId="77777777" w:rsidR="002D2CC6" w:rsidRDefault="002D2CC6" w:rsidP="008E39FD">
      <w:pPr>
        <w:spacing w:after="0"/>
        <w:jc w:val="both"/>
        <w:rPr>
          <w:rFonts w:ascii="Arial" w:hAnsi="Arial" w:cs="Arial"/>
          <w:sz w:val="24"/>
          <w:szCs w:val="24"/>
        </w:rPr>
      </w:pPr>
      <w:r>
        <w:rPr>
          <w:rFonts w:ascii="Arial" w:hAnsi="Arial" w:cs="Arial"/>
          <w:sz w:val="24"/>
          <w:szCs w:val="24"/>
        </w:rPr>
        <w:t>La ejecución del convenio se determinará con la suscripción del acta de inicio o inicio de ejecución en la plataforma Secop II, según aplique.</w:t>
      </w:r>
    </w:p>
    <w:p w14:paraId="0EA48F71" w14:textId="77777777" w:rsidR="002D2CC6" w:rsidRDefault="002D2CC6" w:rsidP="008E39FD">
      <w:pPr>
        <w:spacing w:after="0"/>
        <w:jc w:val="both"/>
        <w:rPr>
          <w:rFonts w:ascii="Arial" w:hAnsi="Arial" w:cs="Arial"/>
          <w:sz w:val="24"/>
          <w:szCs w:val="24"/>
        </w:rPr>
      </w:pPr>
    </w:p>
    <w:p w14:paraId="5A1FA3B0" w14:textId="77777777" w:rsidR="002D2CC6" w:rsidRDefault="002D2CC6" w:rsidP="008E39FD">
      <w:pPr>
        <w:spacing w:after="0"/>
        <w:jc w:val="both"/>
        <w:rPr>
          <w:rFonts w:ascii="Arial" w:hAnsi="Arial" w:cs="Arial"/>
          <w:sz w:val="24"/>
          <w:szCs w:val="24"/>
        </w:rPr>
      </w:pPr>
      <w:r w:rsidRPr="00B81FE4">
        <w:rPr>
          <w:rFonts w:ascii="Arial" w:hAnsi="Arial" w:cs="Arial"/>
          <w:sz w:val="24"/>
          <w:szCs w:val="24"/>
        </w:rPr>
        <w:t xml:space="preserve">Durante la ejecución del convenio, la empresa </w:t>
      </w:r>
      <w:r>
        <w:rPr>
          <w:rFonts w:ascii="Arial" w:hAnsi="Arial" w:cs="Arial"/>
          <w:sz w:val="24"/>
          <w:szCs w:val="24"/>
        </w:rPr>
        <w:t xml:space="preserve">ejecutora </w:t>
      </w:r>
      <w:r w:rsidRPr="00B81FE4">
        <w:rPr>
          <w:rFonts w:ascii="Arial" w:hAnsi="Arial" w:cs="Arial"/>
          <w:sz w:val="24"/>
          <w:szCs w:val="24"/>
        </w:rPr>
        <w:t>deberá</w:t>
      </w:r>
      <w:r>
        <w:rPr>
          <w:rFonts w:ascii="Arial" w:hAnsi="Arial" w:cs="Arial"/>
          <w:sz w:val="24"/>
          <w:szCs w:val="24"/>
        </w:rPr>
        <w:t>:</w:t>
      </w:r>
    </w:p>
    <w:p w14:paraId="0AD77547" w14:textId="77777777" w:rsidR="002D2CC6" w:rsidRDefault="002D2CC6" w:rsidP="008E39FD">
      <w:pPr>
        <w:spacing w:after="0"/>
        <w:jc w:val="both"/>
        <w:rPr>
          <w:rFonts w:ascii="Arial" w:hAnsi="Arial" w:cs="Arial"/>
          <w:sz w:val="24"/>
          <w:szCs w:val="24"/>
        </w:rPr>
      </w:pPr>
    </w:p>
    <w:p w14:paraId="06BACC36" w14:textId="77777777" w:rsidR="002D2CC6" w:rsidRDefault="002D2CC6" w:rsidP="008E39FD">
      <w:pPr>
        <w:spacing w:after="0"/>
        <w:jc w:val="both"/>
        <w:rPr>
          <w:rFonts w:ascii="Arial" w:hAnsi="Arial" w:cs="Arial"/>
          <w:sz w:val="24"/>
          <w:szCs w:val="24"/>
        </w:rPr>
      </w:pPr>
      <w:r>
        <w:rPr>
          <w:rFonts w:ascii="Arial" w:hAnsi="Arial" w:cs="Arial"/>
          <w:sz w:val="24"/>
          <w:szCs w:val="24"/>
        </w:rPr>
        <w:t>1. S</w:t>
      </w:r>
      <w:r w:rsidRPr="00B81FE4">
        <w:rPr>
          <w:rFonts w:ascii="Arial" w:hAnsi="Arial" w:cs="Arial"/>
          <w:sz w:val="24"/>
          <w:szCs w:val="24"/>
        </w:rPr>
        <w:t>uscribir el respectivo Encargo Fiduciario para la administración y manejo de los recursos aportados por el FONENERGÍA en el marco del convenio de cofinanciación.</w:t>
      </w:r>
    </w:p>
    <w:p w14:paraId="4738D58F" w14:textId="77777777" w:rsidR="002D2CC6" w:rsidRDefault="002D2CC6" w:rsidP="008E39FD">
      <w:pPr>
        <w:spacing w:after="0"/>
        <w:jc w:val="both"/>
        <w:rPr>
          <w:rFonts w:ascii="Arial" w:hAnsi="Arial" w:cs="Arial"/>
          <w:sz w:val="24"/>
          <w:szCs w:val="24"/>
        </w:rPr>
      </w:pPr>
    </w:p>
    <w:p w14:paraId="6A65B3A7" w14:textId="77777777" w:rsidR="002D2CC6" w:rsidRDefault="002D2CC6" w:rsidP="008E39FD">
      <w:pPr>
        <w:spacing w:after="0"/>
        <w:jc w:val="both"/>
        <w:rPr>
          <w:rFonts w:ascii="Arial" w:hAnsi="Arial" w:cs="Arial"/>
          <w:sz w:val="24"/>
          <w:szCs w:val="24"/>
        </w:rPr>
      </w:pPr>
      <w:r>
        <w:rPr>
          <w:rFonts w:ascii="Arial" w:hAnsi="Arial" w:cs="Arial"/>
          <w:sz w:val="24"/>
          <w:szCs w:val="24"/>
        </w:rPr>
        <w:t xml:space="preserve">2. </w:t>
      </w:r>
      <w:r w:rsidRPr="00946746">
        <w:rPr>
          <w:rFonts w:ascii="Arial" w:hAnsi="Arial" w:cs="Arial"/>
          <w:sz w:val="24"/>
          <w:szCs w:val="24"/>
        </w:rPr>
        <w:t>Radicar ante la CREG el expediente tarifario correspondiente para la aprobación de los cargos regulados de distribución y comercialización de gas combustible por redes.</w:t>
      </w:r>
    </w:p>
    <w:p w14:paraId="5AA9EC4D" w14:textId="77777777" w:rsidR="002D2CC6" w:rsidRDefault="002D2CC6" w:rsidP="008E39FD">
      <w:pPr>
        <w:spacing w:after="0"/>
        <w:jc w:val="both"/>
        <w:rPr>
          <w:rFonts w:ascii="Arial" w:hAnsi="Arial" w:cs="Arial"/>
          <w:sz w:val="24"/>
          <w:szCs w:val="24"/>
        </w:rPr>
      </w:pPr>
    </w:p>
    <w:p w14:paraId="43DB2F9F" w14:textId="77777777" w:rsidR="002D2CC6" w:rsidRDefault="002D2CC6" w:rsidP="008E39FD">
      <w:pPr>
        <w:spacing w:after="0"/>
        <w:jc w:val="both"/>
        <w:rPr>
          <w:rFonts w:ascii="Arial" w:hAnsi="Arial" w:cs="Arial"/>
          <w:sz w:val="24"/>
          <w:szCs w:val="24"/>
        </w:rPr>
      </w:pPr>
      <w:r>
        <w:rPr>
          <w:rFonts w:ascii="Arial" w:hAnsi="Arial" w:cs="Arial"/>
          <w:sz w:val="24"/>
          <w:szCs w:val="24"/>
        </w:rPr>
        <w:lastRenderedPageBreak/>
        <w:t xml:space="preserve">3. </w:t>
      </w:r>
      <w:r w:rsidRPr="00A11318">
        <w:rPr>
          <w:rFonts w:ascii="Arial" w:hAnsi="Arial" w:cs="Arial"/>
          <w:sz w:val="24"/>
          <w:szCs w:val="24"/>
        </w:rPr>
        <w:t>Constituir las garantías a que haya lugar, de acuerdo con lo establecido en el Convenio de Cofinanciación.</w:t>
      </w:r>
    </w:p>
    <w:p w14:paraId="4ABEC4F2" w14:textId="77777777" w:rsidR="002D2CC6" w:rsidRDefault="002D2CC6" w:rsidP="008E39FD">
      <w:pPr>
        <w:spacing w:after="0"/>
        <w:jc w:val="both"/>
        <w:rPr>
          <w:rFonts w:ascii="Arial" w:hAnsi="Arial" w:cs="Arial"/>
          <w:sz w:val="24"/>
          <w:szCs w:val="24"/>
        </w:rPr>
      </w:pPr>
    </w:p>
    <w:p w14:paraId="13965E1F" w14:textId="77777777" w:rsidR="002D2CC6" w:rsidRDefault="002D2CC6" w:rsidP="008E39FD">
      <w:pPr>
        <w:spacing w:after="0"/>
        <w:jc w:val="both"/>
        <w:rPr>
          <w:rFonts w:ascii="Arial" w:hAnsi="Arial" w:cs="Arial"/>
          <w:sz w:val="24"/>
          <w:szCs w:val="24"/>
        </w:rPr>
      </w:pPr>
      <w:r>
        <w:rPr>
          <w:rFonts w:ascii="Arial" w:hAnsi="Arial" w:cs="Arial"/>
          <w:sz w:val="24"/>
          <w:szCs w:val="24"/>
        </w:rPr>
        <w:t>4. Presentación del cronograma y plan de socialización del proyecto.</w:t>
      </w:r>
    </w:p>
    <w:p w14:paraId="0AA57573" w14:textId="77777777" w:rsidR="002D2CC6" w:rsidRDefault="002D2CC6" w:rsidP="008E39FD">
      <w:pPr>
        <w:spacing w:after="0"/>
        <w:jc w:val="both"/>
        <w:rPr>
          <w:rFonts w:ascii="Arial" w:hAnsi="Arial" w:cs="Arial"/>
          <w:sz w:val="24"/>
          <w:szCs w:val="24"/>
        </w:rPr>
      </w:pPr>
    </w:p>
    <w:p w14:paraId="3818C3A8" w14:textId="5A48DDE9" w:rsidR="00E82636" w:rsidRPr="00B03685" w:rsidRDefault="00E82636" w:rsidP="00B320D0">
      <w:pPr>
        <w:pStyle w:val="Prrafodelista"/>
        <w:numPr>
          <w:ilvl w:val="0"/>
          <w:numId w:val="27"/>
        </w:numPr>
        <w:suppressAutoHyphens w:val="0"/>
        <w:spacing w:after="0" w:line="240" w:lineRule="auto"/>
        <w:jc w:val="both"/>
        <w:rPr>
          <w:rFonts w:ascii="Arial" w:hAnsi="Arial" w:cs="Arial"/>
          <w:sz w:val="24"/>
          <w:szCs w:val="24"/>
        </w:rPr>
      </w:pPr>
      <w:r>
        <w:rPr>
          <w:rFonts w:ascii="Arial" w:hAnsi="Arial" w:cs="Arial"/>
          <w:sz w:val="24"/>
          <w:szCs w:val="24"/>
        </w:rPr>
        <w:t>C</w:t>
      </w:r>
      <w:r w:rsidRPr="00B03685">
        <w:rPr>
          <w:rFonts w:ascii="Arial" w:hAnsi="Arial" w:cs="Arial"/>
          <w:sz w:val="24"/>
          <w:szCs w:val="24"/>
        </w:rPr>
        <w:t xml:space="preserve">uando haya lugar, </w:t>
      </w:r>
      <w:r>
        <w:rPr>
          <w:rFonts w:ascii="Arial" w:hAnsi="Arial" w:cs="Arial"/>
          <w:sz w:val="24"/>
          <w:szCs w:val="24"/>
        </w:rPr>
        <w:t xml:space="preserve">adelantar </w:t>
      </w:r>
      <w:r w:rsidRPr="00B03685">
        <w:rPr>
          <w:rFonts w:ascii="Arial" w:hAnsi="Arial" w:cs="Arial"/>
          <w:sz w:val="24"/>
          <w:szCs w:val="24"/>
        </w:rPr>
        <w:t>el procedimiento de Consulta Previa conforme a la normativa aplicable.</w:t>
      </w:r>
    </w:p>
    <w:p w14:paraId="363E4DD4" w14:textId="77777777" w:rsidR="002D2CC6" w:rsidRDefault="002D2CC6" w:rsidP="008E39FD">
      <w:pPr>
        <w:spacing w:after="0"/>
        <w:jc w:val="both"/>
        <w:rPr>
          <w:rFonts w:ascii="Arial" w:hAnsi="Arial" w:cs="Arial"/>
          <w:sz w:val="24"/>
          <w:szCs w:val="24"/>
        </w:rPr>
      </w:pPr>
    </w:p>
    <w:p w14:paraId="0F3C8427" w14:textId="77777777" w:rsidR="002D2CC6" w:rsidRDefault="002D2CC6" w:rsidP="00B320D0">
      <w:pPr>
        <w:pStyle w:val="Prrafodelista"/>
        <w:numPr>
          <w:ilvl w:val="0"/>
          <w:numId w:val="27"/>
        </w:numPr>
        <w:spacing w:after="0"/>
        <w:jc w:val="both"/>
        <w:rPr>
          <w:rFonts w:ascii="Arial" w:hAnsi="Arial" w:cs="Arial"/>
          <w:sz w:val="24"/>
          <w:szCs w:val="24"/>
        </w:rPr>
      </w:pPr>
      <w:r>
        <w:rPr>
          <w:rFonts w:ascii="Arial" w:hAnsi="Arial" w:cs="Arial"/>
          <w:sz w:val="24"/>
          <w:szCs w:val="24"/>
        </w:rPr>
        <w:t xml:space="preserve">Radicar las solicitudes de permisos de espacio público y uso de zonas de carreteras en concesión. </w:t>
      </w:r>
      <w:r w:rsidRPr="007A6730">
        <w:rPr>
          <w:rFonts w:ascii="Arial" w:hAnsi="Arial" w:cs="Arial"/>
          <w:sz w:val="24"/>
          <w:szCs w:val="24"/>
        </w:rPr>
        <w:t xml:space="preserve"> </w:t>
      </w:r>
    </w:p>
    <w:p w14:paraId="1FA6803F" w14:textId="77777777" w:rsidR="002D2CC6" w:rsidRPr="007A6730" w:rsidRDefault="002D2CC6" w:rsidP="008E39FD">
      <w:pPr>
        <w:pStyle w:val="Prrafodelista"/>
        <w:rPr>
          <w:rFonts w:ascii="Arial" w:hAnsi="Arial" w:cs="Arial"/>
          <w:sz w:val="24"/>
          <w:szCs w:val="24"/>
        </w:rPr>
      </w:pPr>
    </w:p>
    <w:p w14:paraId="5192AD94" w14:textId="359B041F" w:rsidR="002D2CC6" w:rsidRPr="007A6730" w:rsidRDefault="00B74EA0" w:rsidP="008E39FD">
      <w:pPr>
        <w:spacing w:after="0"/>
        <w:jc w:val="both"/>
        <w:rPr>
          <w:rFonts w:ascii="Arial" w:hAnsi="Arial" w:cs="Arial"/>
          <w:sz w:val="24"/>
          <w:szCs w:val="24"/>
        </w:rPr>
      </w:pPr>
      <w:r w:rsidRPr="00B74EA0">
        <w:rPr>
          <w:rFonts w:ascii="Arial" w:hAnsi="Arial" w:cs="Arial"/>
          <w:b/>
          <w:bCs/>
          <w:sz w:val="24"/>
          <w:szCs w:val="24"/>
        </w:rPr>
        <w:t>Nota Especia</w:t>
      </w:r>
      <w:r>
        <w:rPr>
          <w:rFonts w:ascii="Arial" w:hAnsi="Arial" w:cs="Arial"/>
          <w:b/>
          <w:bCs/>
          <w:sz w:val="24"/>
          <w:szCs w:val="24"/>
        </w:rPr>
        <w:t>l 1</w:t>
      </w:r>
      <w:r w:rsidRPr="00B74EA0">
        <w:rPr>
          <w:rFonts w:ascii="Arial" w:hAnsi="Arial" w:cs="Arial"/>
          <w:b/>
          <w:bCs/>
          <w:sz w:val="24"/>
          <w:szCs w:val="24"/>
        </w:rPr>
        <w:t>:</w:t>
      </w:r>
      <w:r>
        <w:rPr>
          <w:rFonts w:ascii="Arial" w:hAnsi="Arial" w:cs="Arial"/>
          <w:b/>
          <w:bCs/>
          <w:color w:val="EE0000"/>
          <w:sz w:val="24"/>
          <w:szCs w:val="24"/>
        </w:rPr>
        <w:t xml:space="preserve"> </w:t>
      </w:r>
      <w:r w:rsidR="002D2CC6" w:rsidRPr="00B03685">
        <w:rPr>
          <w:rFonts w:ascii="Arial" w:hAnsi="Arial" w:cs="Arial"/>
          <w:color w:val="EE0000"/>
          <w:sz w:val="24"/>
          <w:szCs w:val="24"/>
        </w:rPr>
        <w:t xml:space="preserve"> </w:t>
      </w:r>
      <w:r w:rsidR="002D2CC6" w:rsidRPr="007A6730">
        <w:rPr>
          <w:rFonts w:ascii="Arial" w:hAnsi="Arial" w:cs="Arial"/>
          <w:sz w:val="24"/>
          <w:szCs w:val="24"/>
        </w:rPr>
        <w:t>La obligación de suscribir el Encargo Fiduciario por parte de la empresa ejecutora aplica para los proyectos de infraestructura de gas combustible por redes, y no para los proyectos que correspondan exclusivamente a conexiones al servicio.</w:t>
      </w:r>
    </w:p>
    <w:p w14:paraId="0319E58E" w14:textId="77777777" w:rsidR="002D2CC6" w:rsidRDefault="002D2CC6" w:rsidP="008E39FD">
      <w:pPr>
        <w:spacing w:after="0"/>
        <w:jc w:val="both"/>
        <w:rPr>
          <w:rFonts w:ascii="Arial" w:hAnsi="Arial" w:cs="Arial"/>
          <w:sz w:val="24"/>
          <w:szCs w:val="24"/>
        </w:rPr>
      </w:pPr>
    </w:p>
    <w:p w14:paraId="13882373" w14:textId="27088A5C" w:rsidR="002D2CC6" w:rsidRDefault="002D2B03" w:rsidP="00835D7F">
      <w:pPr>
        <w:pStyle w:val="Ttulo5"/>
        <w:ind w:left="1008" w:hanging="1008"/>
      </w:pPr>
      <w:bookmarkStart w:id="102" w:name="_Toc224844331"/>
      <w:r>
        <w:t>II-6.2</w:t>
      </w:r>
      <w:r w:rsidR="002D2CC6">
        <w:t xml:space="preserve"> Giro de los recursos.</w:t>
      </w:r>
      <w:bookmarkEnd w:id="102"/>
    </w:p>
    <w:p w14:paraId="68C4A25B" w14:textId="77777777" w:rsidR="002D2CC6" w:rsidRDefault="002D2CC6" w:rsidP="008E39FD">
      <w:pPr>
        <w:spacing w:after="0"/>
        <w:jc w:val="both"/>
        <w:rPr>
          <w:rFonts w:ascii="Arial" w:hAnsi="Arial" w:cs="Arial"/>
          <w:b/>
          <w:bCs/>
          <w:sz w:val="24"/>
          <w:szCs w:val="24"/>
        </w:rPr>
      </w:pPr>
    </w:p>
    <w:p w14:paraId="5A957B03" w14:textId="77777777" w:rsidR="002D2CC6" w:rsidRPr="002D1EB9" w:rsidRDefault="002D2CC6" w:rsidP="008E39FD">
      <w:pPr>
        <w:spacing w:after="0"/>
        <w:jc w:val="both"/>
        <w:rPr>
          <w:rFonts w:ascii="Arial" w:hAnsi="Arial" w:cs="Arial"/>
          <w:sz w:val="24"/>
          <w:szCs w:val="24"/>
        </w:rPr>
      </w:pPr>
      <w:r w:rsidRPr="002D1EB9">
        <w:rPr>
          <w:rFonts w:ascii="Arial" w:hAnsi="Arial" w:cs="Arial"/>
          <w:sz w:val="24"/>
          <w:szCs w:val="24"/>
        </w:rPr>
        <w:t xml:space="preserve">Una vez perfeccionado el </w:t>
      </w:r>
      <w:r>
        <w:rPr>
          <w:rFonts w:ascii="Arial" w:hAnsi="Arial" w:cs="Arial"/>
          <w:sz w:val="24"/>
          <w:szCs w:val="24"/>
        </w:rPr>
        <w:t>c</w:t>
      </w:r>
      <w:r w:rsidRPr="002D1EB9">
        <w:rPr>
          <w:rFonts w:ascii="Arial" w:hAnsi="Arial" w:cs="Arial"/>
          <w:sz w:val="24"/>
          <w:szCs w:val="24"/>
        </w:rPr>
        <w:t xml:space="preserve">onvenio y cumplidos los requisitos para tal fin, el </w:t>
      </w:r>
      <w:r>
        <w:rPr>
          <w:rFonts w:ascii="Arial" w:hAnsi="Arial" w:cs="Arial"/>
          <w:sz w:val="24"/>
          <w:szCs w:val="24"/>
        </w:rPr>
        <w:t>FONENERGÍA</w:t>
      </w:r>
      <w:r w:rsidRPr="002D1EB9">
        <w:rPr>
          <w:rFonts w:ascii="Arial" w:hAnsi="Arial" w:cs="Arial"/>
          <w:sz w:val="24"/>
          <w:szCs w:val="24"/>
        </w:rPr>
        <w:t xml:space="preserve"> ordenará el giro de los recursos, de conformidad con el programa de desembolsos establecido en el respectivo convenio.</w:t>
      </w:r>
    </w:p>
    <w:p w14:paraId="339D08E4" w14:textId="77777777" w:rsidR="002D2CC6" w:rsidRPr="002D1EB9" w:rsidRDefault="002D2CC6" w:rsidP="008E39FD">
      <w:pPr>
        <w:spacing w:after="0"/>
        <w:jc w:val="both"/>
        <w:rPr>
          <w:rFonts w:ascii="Arial" w:hAnsi="Arial" w:cs="Arial"/>
          <w:sz w:val="24"/>
          <w:szCs w:val="24"/>
        </w:rPr>
      </w:pPr>
    </w:p>
    <w:p w14:paraId="2A6AF4C3" w14:textId="739FE914" w:rsidR="002D2CC6" w:rsidRPr="002D1EB9" w:rsidRDefault="00B74EA0" w:rsidP="008E39FD">
      <w:pPr>
        <w:spacing w:after="0"/>
        <w:jc w:val="both"/>
        <w:rPr>
          <w:rFonts w:ascii="Arial" w:hAnsi="Arial" w:cs="Arial"/>
          <w:sz w:val="24"/>
          <w:szCs w:val="24"/>
        </w:rPr>
      </w:pPr>
      <w:r>
        <w:rPr>
          <w:rFonts w:ascii="Arial" w:hAnsi="Arial" w:cs="Arial"/>
          <w:b/>
          <w:bCs/>
          <w:sz w:val="24"/>
          <w:szCs w:val="24"/>
        </w:rPr>
        <w:t>Nota Especial 2:</w:t>
      </w:r>
      <w:r w:rsidR="002D2CC6">
        <w:rPr>
          <w:rFonts w:ascii="Arial" w:hAnsi="Arial" w:cs="Arial"/>
          <w:b/>
          <w:sz w:val="24"/>
          <w:szCs w:val="24"/>
        </w:rPr>
        <w:t xml:space="preserve"> </w:t>
      </w:r>
      <w:r w:rsidR="002D2CC6" w:rsidRPr="002D1EB9">
        <w:rPr>
          <w:rFonts w:ascii="Arial" w:hAnsi="Arial" w:cs="Arial"/>
          <w:sz w:val="24"/>
          <w:szCs w:val="24"/>
        </w:rPr>
        <w:t xml:space="preserve">El </w:t>
      </w:r>
      <w:r w:rsidR="002D2CC6">
        <w:rPr>
          <w:rFonts w:ascii="Arial" w:hAnsi="Arial" w:cs="Arial"/>
          <w:sz w:val="24"/>
          <w:szCs w:val="24"/>
        </w:rPr>
        <w:t>FONENERGÍA</w:t>
      </w:r>
      <w:r w:rsidR="002D2CC6" w:rsidRPr="002D1EB9">
        <w:rPr>
          <w:rFonts w:ascii="Arial" w:hAnsi="Arial" w:cs="Arial"/>
          <w:sz w:val="24"/>
          <w:szCs w:val="24"/>
        </w:rPr>
        <w:t xml:space="preserve"> girará los recursos correspondientes a los desembolsos previstos en el respectivo convenio, de conformidad con la disponibilidad de Presupuesto Anualizado de Caja (PAC).</w:t>
      </w:r>
    </w:p>
    <w:p w14:paraId="643C9FD3" w14:textId="77777777" w:rsidR="002D2CC6" w:rsidRPr="002D1EB9" w:rsidRDefault="002D2CC6" w:rsidP="008E39FD">
      <w:pPr>
        <w:spacing w:after="0"/>
        <w:jc w:val="both"/>
        <w:rPr>
          <w:rFonts w:ascii="Arial" w:hAnsi="Arial" w:cs="Arial"/>
          <w:sz w:val="24"/>
          <w:szCs w:val="24"/>
        </w:rPr>
      </w:pPr>
    </w:p>
    <w:p w14:paraId="04CC4A55" w14:textId="77777777" w:rsidR="002D2CC6" w:rsidRDefault="002D2CC6" w:rsidP="008E39FD">
      <w:pPr>
        <w:spacing w:after="0"/>
        <w:jc w:val="both"/>
        <w:rPr>
          <w:rFonts w:ascii="Arial" w:hAnsi="Arial" w:cs="Arial"/>
          <w:sz w:val="24"/>
          <w:szCs w:val="24"/>
        </w:rPr>
      </w:pPr>
      <w:r w:rsidRPr="002D1EB9">
        <w:rPr>
          <w:rFonts w:ascii="Arial" w:hAnsi="Arial" w:cs="Arial"/>
          <w:sz w:val="24"/>
          <w:szCs w:val="24"/>
        </w:rPr>
        <w:t xml:space="preserve">Para el desembolso de los recursos el </w:t>
      </w:r>
      <w:r>
        <w:rPr>
          <w:rFonts w:ascii="Arial" w:hAnsi="Arial" w:cs="Arial"/>
          <w:sz w:val="24"/>
          <w:szCs w:val="24"/>
        </w:rPr>
        <w:t>FONENERGÍA</w:t>
      </w:r>
      <w:r w:rsidRPr="002D1EB9">
        <w:rPr>
          <w:rFonts w:ascii="Arial" w:hAnsi="Arial" w:cs="Arial"/>
          <w:sz w:val="24"/>
          <w:szCs w:val="24"/>
        </w:rPr>
        <w:t xml:space="preserve"> verificará la constitución de una cuenta bancaria para uso exclusivo del proyecto. Para el caso de anticipos, los movimientos bancarios de la cuenta deberán coincidir con el programa de inversión de anticipo presentado por el solicitante.</w:t>
      </w:r>
    </w:p>
    <w:p w14:paraId="2C4C48D7" w14:textId="77777777" w:rsidR="002D2CC6" w:rsidRDefault="002D2CC6" w:rsidP="008E39FD">
      <w:pPr>
        <w:spacing w:after="0"/>
        <w:jc w:val="both"/>
        <w:rPr>
          <w:rFonts w:ascii="Arial" w:hAnsi="Arial" w:cs="Arial"/>
          <w:sz w:val="24"/>
          <w:szCs w:val="24"/>
        </w:rPr>
      </w:pPr>
    </w:p>
    <w:p w14:paraId="09E46123" w14:textId="30ACBAE0" w:rsidR="002D2CC6" w:rsidRDefault="00FD4BA9" w:rsidP="00835D7F">
      <w:pPr>
        <w:pStyle w:val="Ttulo5"/>
        <w:ind w:left="1008" w:hanging="1008"/>
      </w:pPr>
      <w:bookmarkStart w:id="103" w:name="_Toc224844333"/>
      <w:r>
        <w:t>II-6.4</w:t>
      </w:r>
      <w:r w:rsidR="002D2CC6">
        <w:t xml:space="preserve"> Presentación de informes.</w:t>
      </w:r>
      <w:bookmarkEnd w:id="103"/>
    </w:p>
    <w:p w14:paraId="196F3197" w14:textId="77777777" w:rsidR="002D2CC6" w:rsidRDefault="002D2CC6" w:rsidP="008E39FD">
      <w:pPr>
        <w:spacing w:after="0"/>
        <w:jc w:val="both"/>
        <w:rPr>
          <w:rFonts w:ascii="Arial" w:hAnsi="Arial" w:cs="Arial"/>
          <w:b/>
          <w:bCs/>
          <w:sz w:val="24"/>
          <w:szCs w:val="24"/>
        </w:rPr>
      </w:pPr>
    </w:p>
    <w:p w14:paraId="59CE3855" w14:textId="77777777" w:rsidR="002D2CC6" w:rsidRPr="007A6730" w:rsidRDefault="002D2CC6" w:rsidP="008E39FD">
      <w:pPr>
        <w:spacing w:after="0"/>
        <w:jc w:val="both"/>
        <w:rPr>
          <w:rFonts w:ascii="Arial" w:hAnsi="Arial" w:cs="Arial"/>
          <w:sz w:val="24"/>
          <w:szCs w:val="24"/>
        </w:rPr>
      </w:pPr>
      <w:r w:rsidRPr="007A6730">
        <w:rPr>
          <w:rFonts w:ascii="Arial" w:hAnsi="Arial" w:cs="Arial"/>
          <w:sz w:val="24"/>
          <w:szCs w:val="24"/>
        </w:rPr>
        <w:t>El ejecutor de los recursos deberá presentar los siguientes informes:</w:t>
      </w:r>
    </w:p>
    <w:p w14:paraId="575403D9" w14:textId="77777777" w:rsidR="002D2CC6" w:rsidRDefault="002D2CC6" w:rsidP="008E39FD">
      <w:pPr>
        <w:spacing w:after="0"/>
        <w:jc w:val="both"/>
        <w:rPr>
          <w:rFonts w:ascii="Arial" w:hAnsi="Arial" w:cs="Arial"/>
          <w:b/>
          <w:bCs/>
          <w:sz w:val="24"/>
          <w:szCs w:val="24"/>
        </w:rPr>
      </w:pPr>
    </w:p>
    <w:p w14:paraId="4D24760C"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i) Informes mensuales durante la vigencia del Convenio, y</w:t>
      </w:r>
    </w:p>
    <w:p w14:paraId="0AD17883" w14:textId="77777777" w:rsidR="002D2CC6" w:rsidRPr="008A57D8" w:rsidRDefault="002D2CC6" w:rsidP="008E39FD">
      <w:pPr>
        <w:spacing w:after="0"/>
        <w:jc w:val="both"/>
        <w:rPr>
          <w:rFonts w:ascii="Arial" w:hAnsi="Arial" w:cs="Arial"/>
          <w:sz w:val="24"/>
          <w:szCs w:val="24"/>
        </w:rPr>
      </w:pPr>
    </w:p>
    <w:p w14:paraId="2108FE60"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ii)</w:t>
      </w:r>
      <w:r>
        <w:rPr>
          <w:rFonts w:ascii="Arial" w:hAnsi="Arial" w:cs="Arial"/>
          <w:sz w:val="24"/>
          <w:szCs w:val="24"/>
        </w:rPr>
        <w:t xml:space="preserve"> </w:t>
      </w:r>
      <w:r w:rsidRPr="008A57D8">
        <w:rPr>
          <w:rFonts w:ascii="Arial" w:hAnsi="Arial" w:cs="Arial"/>
          <w:sz w:val="24"/>
          <w:szCs w:val="24"/>
        </w:rPr>
        <w:t xml:space="preserve">Informe Final de Ejecución. Los citados informes deberán ser avalados por el Interventor del Proyecto, de forma previa a la entrega de los mismos al </w:t>
      </w:r>
      <w:r>
        <w:rPr>
          <w:rFonts w:ascii="Arial" w:hAnsi="Arial" w:cs="Arial"/>
          <w:sz w:val="24"/>
          <w:szCs w:val="24"/>
        </w:rPr>
        <w:t>FONENERGÍA.</w:t>
      </w:r>
    </w:p>
    <w:p w14:paraId="711378F8" w14:textId="77777777" w:rsidR="002D2CC6" w:rsidRPr="008A57D8" w:rsidRDefault="002D2CC6" w:rsidP="008E39FD">
      <w:pPr>
        <w:spacing w:after="0"/>
        <w:jc w:val="both"/>
        <w:rPr>
          <w:rFonts w:ascii="Arial" w:hAnsi="Arial" w:cs="Arial"/>
          <w:sz w:val="24"/>
          <w:szCs w:val="24"/>
        </w:rPr>
      </w:pPr>
    </w:p>
    <w:p w14:paraId="1314C8F8"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Los informes mensuales, deberán presentarse dentro de los primeros tres (3) días hábiles del siguiente mes, los cuales deberán contener la relación de los usuarios beneficiados durante el período reportado con la siguiente información:</w:t>
      </w:r>
    </w:p>
    <w:p w14:paraId="1F6E83C6" w14:textId="77777777" w:rsidR="002D2CC6" w:rsidRPr="008A57D8" w:rsidRDefault="002D2CC6" w:rsidP="008E39FD">
      <w:pPr>
        <w:spacing w:after="0"/>
        <w:jc w:val="both"/>
        <w:rPr>
          <w:rFonts w:ascii="Arial" w:hAnsi="Arial" w:cs="Arial"/>
          <w:sz w:val="24"/>
          <w:szCs w:val="24"/>
        </w:rPr>
      </w:pPr>
    </w:p>
    <w:p w14:paraId="6DC206D0"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1. Nombre del beneficiario.</w:t>
      </w:r>
    </w:p>
    <w:p w14:paraId="478C4921" w14:textId="77777777" w:rsidR="002D2CC6" w:rsidRPr="008A57D8" w:rsidRDefault="002D2CC6" w:rsidP="008E39FD">
      <w:pPr>
        <w:spacing w:after="0"/>
        <w:jc w:val="both"/>
        <w:rPr>
          <w:rFonts w:ascii="Arial" w:hAnsi="Arial" w:cs="Arial"/>
          <w:sz w:val="24"/>
          <w:szCs w:val="24"/>
        </w:rPr>
      </w:pPr>
    </w:p>
    <w:p w14:paraId="6BDE62A8"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2. Dirección del beneficiario.</w:t>
      </w:r>
    </w:p>
    <w:p w14:paraId="4D7BC7E8" w14:textId="77777777" w:rsidR="002D2CC6" w:rsidRPr="008A57D8" w:rsidRDefault="002D2CC6" w:rsidP="008E39FD">
      <w:pPr>
        <w:spacing w:after="0"/>
        <w:jc w:val="both"/>
        <w:rPr>
          <w:rFonts w:ascii="Arial" w:hAnsi="Arial" w:cs="Arial"/>
          <w:sz w:val="24"/>
          <w:szCs w:val="24"/>
        </w:rPr>
      </w:pPr>
    </w:p>
    <w:p w14:paraId="20B0F94F"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3. Municipio del beneficiario.</w:t>
      </w:r>
    </w:p>
    <w:p w14:paraId="40590000" w14:textId="77777777" w:rsidR="002D2CC6" w:rsidRPr="008A57D8" w:rsidRDefault="002D2CC6" w:rsidP="008E39FD">
      <w:pPr>
        <w:spacing w:after="0"/>
        <w:jc w:val="both"/>
        <w:rPr>
          <w:rFonts w:ascii="Arial" w:hAnsi="Arial" w:cs="Arial"/>
          <w:sz w:val="24"/>
          <w:szCs w:val="24"/>
        </w:rPr>
      </w:pPr>
    </w:p>
    <w:p w14:paraId="3161D199"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4. Barrio del beneficiario.</w:t>
      </w:r>
    </w:p>
    <w:p w14:paraId="10B2AD02" w14:textId="77777777" w:rsidR="002D2CC6" w:rsidRPr="008A57D8" w:rsidRDefault="002D2CC6" w:rsidP="008E39FD">
      <w:pPr>
        <w:spacing w:after="0"/>
        <w:jc w:val="both"/>
        <w:rPr>
          <w:rFonts w:ascii="Arial" w:hAnsi="Arial" w:cs="Arial"/>
          <w:sz w:val="24"/>
          <w:szCs w:val="24"/>
        </w:rPr>
      </w:pPr>
    </w:p>
    <w:p w14:paraId="31A3D1B6"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5. Teléfono del beneficiario.</w:t>
      </w:r>
    </w:p>
    <w:p w14:paraId="74B0FE7E" w14:textId="77777777" w:rsidR="002D2CC6" w:rsidRPr="008A57D8" w:rsidRDefault="002D2CC6" w:rsidP="008E39FD">
      <w:pPr>
        <w:spacing w:after="0"/>
        <w:jc w:val="both"/>
        <w:rPr>
          <w:rFonts w:ascii="Arial" w:hAnsi="Arial" w:cs="Arial"/>
          <w:sz w:val="24"/>
          <w:szCs w:val="24"/>
        </w:rPr>
      </w:pPr>
    </w:p>
    <w:p w14:paraId="45201DA3"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6. Estrato del beneficiario.</w:t>
      </w:r>
    </w:p>
    <w:p w14:paraId="7C1DC569" w14:textId="77777777" w:rsidR="002D2CC6" w:rsidRPr="008A57D8" w:rsidRDefault="002D2CC6" w:rsidP="008E39FD">
      <w:pPr>
        <w:spacing w:after="0"/>
        <w:jc w:val="both"/>
        <w:rPr>
          <w:rFonts w:ascii="Arial" w:hAnsi="Arial" w:cs="Arial"/>
          <w:sz w:val="24"/>
          <w:szCs w:val="24"/>
        </w:rPr>
      </w:pPr>
    </w:p>
    <w:p w14:paraId="1D2B4D20"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7. Fecha de conexión.</w:t>
      </w:r>
    </w:p>
    <w:p w14:paraId="213A8165" w14:textId="77777777" w:rsidR="002D2CC6" w:rsidRPr="008A57D8" w:rsidRDefault="002D2CC6" w:rsidP="008E39FD">
      <w:pPr>
        <w:spacing w:after="0"/>
        <w:jc w:val="both"/>
        <w:rPr>
          <w:rFonts w:ascii="Arial" w:hAnsi="Arial" w:cs="Arial"/>
          <w:sz w:val="24"/>
          <w:szCs w:val="24"/>
        </w:rPr>
      </w:pPr>
    </w:p>
    <w:p w14:paraId="5C82BF14"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8. Valor del subsidio asignado.</w:t>
      </w:r>
    </w:p>
    <w:p w14:paraId="1EE955BC" w14:textId="77777777" w:rsidR="002D2CC6" w:rsidRPr="008A57D8" w:rsidRDefault="002D2CC6" w:rsidP="008E39FD">
      <w:pPr>
        <w:spacing w:after="0"/>
        <w:jc w:val="both"/>
        <w:rPr>
          <w:rFonts w:ascii="Arial" w:hAnsi="Arial" w:cs="Arial"/>
          <w:sz w:val="24"/>
          <w:szCs w:val="24"/>
        </w:rPr>
      </w:pPr>
    </w:p>
    <w:p w14:paraId="788ABD3F"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9. Número de identificación del cliente, que corresponderá al número del soporte registrado en el archivo</w:t>
      </w:r>
      <w:r>
        <w:rPr>
          <w:rFonts w:ascii="Arial" w:hAnsi="Arial" w:cs="Arial"/>
          <w:sz w:val="24"/>
          <w:szCs w:val="24"/>
        </w:rPr>
        <w:t xml:space="preserve"> digital.</w:t>
      </w:r>
    </w:p>
    <w:p w14:paraId="7D8B23AD" w14:textId="77777777" w:rsidR="002D2CC6" w:rsidRPr="008A57D8" w:rsidRDefault="002D2CC6" w:rsidP="008E39FD">
      <w:pPr>
        <w:spacing w:after="0"/>
        <w:jc w:val="both"/>
        <w:rPr>
          <w:rFonts w:ascii="Arial" w:hAnsi="Arial" w:cs="Arial"/>
          <w:sz w:val="24"/>
          <w:szCs w:val="24"/>
        </w:rPr>
      </w:pPr>
    </w:p>
    <w:p w14:paraId="5DE4A58C"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El informe final deberá ser presentado dentro de los diez (10) días calendario siguientes a la finalización de la ejecución del proyecto, el cual debe contener:</w:t>
      </w:r>
    </w:p>
    <w:p w14:paraId="27AFD5E2" w14:textId="77777777" w:rsidR="002D2CC6" w:rsidRPr="008A57D8" w:rsidRDefault="002D2CC6" w:rsidP="008E39FD">
      <w:pPr>
        <w:spacing w:after="0"/>
        <w:jc w:val="both"/>
        <w:rPr>
          <w:rFonts w:ascii="Arial" w:hAnsi="Arial" w:cs="Arial"/>
          <w:sz w:val="24"/>
          <w:szCs w:val="24"/>
        </w:rPr>
      </w:pPr>
    </w:p>
    <w:p w14:paraId="1FAD19C4"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i) Un informe que dé cuenta, entre otros, de los contratos ejecutados, la utilización de los recursos, los recursos no ejecutados, liquidaciones de los contratos efectuados en ejecución del proyecto, estado de servidumbres, acompañado de sus respectivos soportes;</w:t>
      </w:r>
    </w:p>
    <w:p w14:paraId="4EC245CD" w14:textId="77777777" w:rsidR="002D2CC6" w:rsidRPr="008A57D8" w:rsidRDefault="002D2CC6" w:rsidP="008E39FD">
      <w:pPr>
        <w:spacing w:after="0"/>
        <w:jc w:val="both"/>
        <w:rPr>
          <w:rFonts w:ascii="Arial" w:hAnsi="Arial" w:cs="Arial"/>
          <w:sz w:val="24"/>
          <w:szCs w:val="24"/>
        </w:rPr>
      </w:pPr>
    </w:p>
    <w:p w14:paraId="0DFC9BE6" w14:textId="77777777" w:rsidR="002D2CC6" w:rsidRPr="008A57D8" w:rsidRDefault="002D2CC6" w:rsidP="008E39FD">
      <w:pPr>
        <w:spacing w:after="0"/>
        <w:jc w:val="both"/>
        <w:rPr>
          <w:rFonts w:ascii="Arial" w:hAnsi="Arial" w:cs="Arial"/>
          <w:sz w:val="24"/>
          <w:szCs w:val="24"/>
        </w:rPr>
      </w:pPr>
      <w:r w:rsidRPr="008A57D8">
        <w:rPr>
          <w:rFonts w:ascii="Arial" w:hAnsi="Arial" w:cs="Arial"/>
          <w:sz w:val="24"/>
          <w:szCs w:val="24"/>
        </w:rPr>
        <w:t>ii) Certificación avalada por el Interventor del Proyecto en la que conste que el ciento por ciento (100%) del proyecto fue debidamente ejecutado; y</w:t>
      </w:r>
    </w:p>
    <w:p w14:paraId="2EF5728A" w14:textId="77777777" w:rsidR="002D2CC6" w:rsidRPr="008A57D8" w:rsidRDefault="002D2CC6" w:rsidP="008E39FD">
      <w:pPr>
        <w:spacing w:after="0"/>
        <w:jc w:val="both"/>
        <w:rPr>
          <w:rFonts w:ascii="Arial" w:hAnsi="Arial" w:cs="Arial"/>
          <w:sz w:val="24"/>
          <w:szCs w:val="24"/>
        </w:rPr>
      </w:pPr>
    </w:p>
    <w:p w14:paraId="1937E383" w14:textId="77777777" w:rsidR="002D2CC6" w:rsidRDefault="002D2CC6" w:rsidP="008E39FD">
      <w:pPr>
        <w:spacing w:after="0"/>
        <w:jc w:val="both"/>
        <w:rPr>
          <w:rFonts w:ascii="Arial" w:hAnsi="Arial" w:cs="Arial"/>
          <w:sz w:val="24"/>
          <w:szCs w:val="24"/>
        </w:rPr>
      </w:pPr>
      <w:r w:rsidRPr="008A57D8">
        <w:rPr>
          <w:rFonts w:ascii="Arial" w:hAnsi="Arial" w:cs="Arial"/>
          <w:sz w:val="24"/>
          <w:szCs w:val="24"/>
        </w:rPr>
        <w:t>iii) Copia del recibo de consignación por concepto de devolución de recursos no ejecutados y/o rendimientos financieros cuando corresponda</w:t>
      </w:r>
    </w:p>
    <w:p w14:paraId="101FE818" w14:textId="77777777" w:rsidR="002D2CC6" w:rsidRDefault="002D2CC6" w:rsidP="008E39FD">
      <w:pPr>
        <w:spacing w:after="0"/>
        <w:jc w:val="both"/>
        <w:rPr>
          <w:rFonts w:ascii="Arial" w:hAnsi="Arial" w:cs="Arial"/>
          <w:sz w:val="24"/>
          <w:szCs w:val="24"/>
        </w:rPr>
      </w:pPr>
    </w:p>
    <w:p w14:paraId="3317897B" w14:textId="36AA2A36" w:rsidR="002D2CC6" w:rsidRDefault="007C7355" w:rsidP="008E39FD">
      <w:pPr>
        <w:spacing w:after="0"/>
        <w:jc w:val="both"/>
        <w:rPr>
          <w:rFonts w:ascii="Arial" w:hAnsi="Arial" w:cs="Arial"/>
          <w:sz w:val="24"/>
          <w:szCs w:val="24"/>
        </w:rPr>
      </w:pPr>
      <w:r>
        <w:rPr>
          <w:rFonts w:ascii="Arial" w:hAnsi="Arial" w:cs="Arial"/>
          <w:b/>
          <w:bCs/>
          <w:sz w:val="24"/>
          <w:szCs w:val="24"/>
        </w:rPr>
        <w:t>Nota Especial 4</w:t>
      </w:r>
      <w:r w:rsidR="002D2CC6">
        <w:rPr>
          <w:rFonts w:ascii="Arial" w:hAnsi="Arial" w:cs="Arial"/>
          <w:b/>
          <w:sz w:val="24"/>
          <w:szCs w:val="24"/>
        </w:rPr>
        <w:t xml:space="preserve">: </w:t>
      </w:r>
      <w:r w:rsidR="002D2CC6" w:rsidRPr="008A57D8">
        <w:rPr>
          <w:rFonts w:ascii="Arial" w:hAnsi="Arial" w:cs="Arial"/>
          <w:sz w:val="24"/>
          <w:szCs w:val="24"/>
        </w:rPr>
        <w:t>Los informes deberán ser presentados y avalados directamente por la firma interventora del proyecto</w:t>
      </w:r>
      <w:r w:rsidR="00AF35AF">
        <w:rPr>
          <w:rFonts w:ascii="Arial" w:hAnsi="Arial" w:cs="Arial"/>
          <w:sz w:val="24"/>
          <w:szCs w:val="24"/>
        </w:rPr>
        <w:t xml:space="preserve"> -si aplica-</w:t>
      </w:r>
      <w:r w:rsidR="002D2CC6" w:rsidRPr="008A57D8">
        <w:rPr>
          <w:rFonts w:ascii="Arial" w:hAnsi="Arial" w:cs="Arial"/>
          <w:sz w:val="24"/>
          <w:szCs w:val="24"/>
        </w:rPr>
        <w:t xml:space="preserve"> y ser entregados al </w:t>
      </w:r>
      <w:r w:rsidR="002D2CC6">
        <w:rPr>
          <w:rFonts w:ascii="Arial" w:hAnsi="Arial" w:cs="Arial"/>
          <w:sz w:val="24"/>
          <w:szCs w:val="24"/>
        </w:rPr>
        <w:t>FONENERGÍA</w:t>
      </w:r>
      <w:r w:rsidR="002D2CC6" w:rsidRPr="008A57D8">
        <w:rPr>
          <w:rFonts w:ascii="Arial" w:hAnsi="Arial" w:cs="Arial"/>
          <w:sz w:val="24"/>
          <w:szCs w:val="24"/>
        </w:rPr>
        <w:t xml:space="preserve"> en medio </w:t>
      </w:r>
      <w:r w:rsidR="002D2CC6">
        <w:rPr>
          <w:rFonts w:ascii="Arial" w:hAnsi="Arial" w:cs="Arial"/>
          <w:sz w:val="24"/>
          <w:szCs w:val="24"/>
        </w:rPr>
        <w:t>digital.</w:t>
      </w:r>
    </w:p>
    <w:p w14:paraId="29020655" w14:textId="77777777" w:rsidR="002D2CC6" w:rsidRDefault="002D2CC6" w:rsidP="008E39FD">
      <w:pPr>
        <w:spacing w:after="0"/>
        <w:jc w:val="both"/>
        <w:rPr>
          <w:rFonts w:ascii="Arial" w:hAnsi="Arial" w:cs="Arial"/>
          <w:sz w:val="24"/>
          <w:szCs w:val="24"/>
        </w:rPr>
      </w:pPr>
    </w:p>
    <w:p w14:paraId="4DB9ABC4" w14:textId="72C29E85" w:rsidR="002D2CC6" w:rsidRDefault="007C7355" w:rsidP="008E39FD">
      <w:pPr>
        <w:spacing w:after="0"/>
        <w:jc w:val="both"/>
        <w:rPr>
          <w:rFonts w:ascii="Arial" w:hAnsi="Arial" w:cs="Arial"/>
          <w:sz w:val="24"/>
          <w:szCs w:val="24"/>
        </w:rPr>
      </w:pPr>
      <w:r>
        <w:rPr>
          <w:rFonts w:ascii="Arial" w:hAnsi="Arial" w:cs="Arial"/>
          <w:b/>
          <w:bCs/>
          <w:sz w:val="24"/>
          <w:szCs w:val="24"/>
        </w:rPr>
        <w:t>Nota Especial 5</w:t>
      </w:r>
      <w:r w:rsidR="002D2CC6">
        <w:rPr>
          <w:rFonts w:ascii="Arial" w:hAnsi="Arial" w:cs="Arial"/>
          <w:b/>
          <w:sz w:val="24"/>
          <w:szCs w:val="24"/>
        </w:rPr>
        <w:t xml:space="preserve">: </w:t>
      </w:r>
      <w:r w:rsidR="002D2CC6">
        <w:rPr>
          <w:rFonts w:ascii="Arial" w:hAnsi="Arial" w:cs="Arial"/>
          <w:sz w:val="24"/>
          <w:szCs w:val="24"/>
        </w:rPr>
        <w:t>L</w:t>
      </w:r>
      <w:r w:rsidR="002D2CC6" w:rsidRPr="009F12B8">
        <w:rPr>
          <w:rFonts w:ascii="Arial" w:hAnsi="Arial" w:cs="Arial"/>
          <w:sz w:val="24"/>
          <w:szCs w:val="24"/>
        </w:rPr>
        <w:t>os</w:t>
      </w:r>
      <w:r w:rsidR="002D2CC6">
        <w:rPr>
          <w:rFonts w:ascii="Arial" w:hAnsi="Arial" w:cs="Arial"/>
          <w:sz w:val="24"/>
          <w:szCs w:val="24"/>
        </w:rPr>
        <w:t xml:space="preserve"> informes</w:t>
      </w:r>
      <w:r w:rsidR="002D2CC6" w:rsidRPr="009F12B8">
        <w:rPr>
          <w:rFonts w:ascii="Arial" w:hAnsi="Arial" w:cs="Arial"/>
          <w:sz w:val="24"/>
          <w:szCs w:val="24"/>
        </w:rPr>
        <w:t xml:space="preserve"> </w:t>
      </w:r>
      <w:r w:rsidR="002D2CC6">
        <w:rPr>
          <w:rFonts w:ascii="Arial" w:hAnsi="Arial" w:cs="Arial"/>
          <w:sz w:val="24"/>
          <w:szCs w:val="24"/>
        </w:rPr>
        <w:t xml:space="preserve">y demás soportes </w:t>
      </w:r>
      <w:r w:rsidR="002D2CC6" w:rsidRPr="009F12B8">
        <w:rPr>
          <w:rFonts w:ascii="Arial" w:hAnsi="Arial" w:cs="Arial"/>
          <w:sz w:val="24"/>
          <w:szCs w:val="24"/>
        </w:rPr>
        <w:t xml:space="preserve">deberán </w:t>
      </w:r>
      <w:r w:rsidR="002D2CC6">
        <w:rPr>
          <w:rFonts w:ascii="Arial" w:hAnsi="Arial" w:cs="Arial"/>
          <w:sz w:val="24"/>
          <w:szCs w:val="24"/>
        </w:rPr>
        <w:t xml:space="preserve">ser </w:t>
      </w:r>
      <w:r w:rsidR="002D2CC6" w:rsidRPr="009F12B8">
        <w:rPr>
          <w:rFonts w:ascii="Arial" w:hAnsi="Arial" w:cs="Arial"/>
          <w:sz w:val="24"/>
          <w:szCs w:val="24"/>
        </w:rPr>
        <w:t>registrados en el sistema de información – SUNA o en el sistema de información disponibl</w:t>
      </w:r>
      <w:r w:rsidR="002D2CC6">
        <w:rPr>
          <w:rFonts w:ascii="Arial" w:hAnsi="Arial" w:cs="Arial"/>
          <w:sz w:val="24"/>
          <w:szCs w:val="24"/>
        </w:rPr>
        <w:t>e.</w:t>
      </w:r>
    </w:p>
    <w:p w14:paraId="6554916C" w14:textId="77777777" w:rsidR="002B186E" w:rsidRDefault="002B186E" w:rsidP="008E39FD"/>
    <w:p w14:paraId="6AA611EA" w14:textId="2925995E" w:rsidR="00996312" w:rsidRDefault="00996312" w:rsidP="00835D7F">
      <w:pPr>
        <w:pStyle w:val="Ttulo3"/>
        <w:ind w:left="720" w:hanging="720"/>
        <w:jc w:val="center"/>
      </w:pPr>
      <w:bookmarkStart w:id="104" w:name="_Toc224844334"/>
      <w:r>
        <w:t xml:space="preserve">CAPÍTULO </w:t>
      </w:r>
      <w:r w:rsidR="00457AAD">
        <w:t>VII</w:t>
      </w:r>
      <w:bookmarkEnd w:id="104"/>
    </w:p>
    <w:p w14:paraId="4FA8D189" w14:textId="5798AADA" w:rsidR="00996312" w:rsidRPr="00B03685" w:rsidRDefault="00996312" w:rsidP="00835D7F">
      <w:pPr>
        <w:pStyle w:val="Ttulo4"/>
        <w:ind w:left="864" w:hanging="864"/>
        <w:jc w:val="center"/>
      </w:pPr>
      <w:bookmarkStart w:id="105" w:name="_Toc224844335"/>
      <w:r>
        <w:t>ACTIVOS GAS</w:t>
      </w:r>
      <w:bookmarkEnd w:id="105"/>
    </w:p>
    <w:p w14:paraId="3A0010AE" w14:textId="77777777" w:rsidR="00A65C1C" w:rsidRPr="00C63186" w:rsidRDefault="00A65C1C" w:rsidP="008E39FD">
      <w:pPr>
        <w:tabs>
          <w:tab w:val="left" w:pos="4474"/>
        </w:tabs>
        <w:spacing w:after="0"/>
        <w:jc w:val="center"/>
        <w:rPr>
          <w:rFonts w:ascii="Arial" w:hAnsi="Arial" w:cs="Arial"/>
          <w:b/>
          <w:bCs/>
          <w:sz w:val="24"/>
          <w:szCs w:val="24"/>
        </w:rPr>
      </w:pPr>
    </w:p>
    <w:p w14:paraId="2F8CAC7E" w14:textId="77777777" w:rsidR="00A65C1C" w:rsidRDefault="00A65C1C" w:rsidP="008E39FD">
      <w:pPr>
        <w:tabs>
          <w:tab w:val="left" w:pos="4474"/>
        </w:tabs>
        <w:spacing w:after="0"/>
        <w:jc w:val="both"/>
        <w:rPr>
          <w:rFonts w:ascii="Arial" w:hAnsi="Arial" w:cs="Arial"/>
          <w:sz w:val="24"/>
          <w:szCs w:val="24"/>
        </w:rPr>
      </w:pPr>
      <w:r w:rsidRPr="00C63186">
        <w:rPr>
          <w:rFonts w:ascii="Arial" w:hAnsi="Arial" w:cs="Arial"/>
          <w:sz w:val="24"/>
          <w:szCs w:val="24"/>
        </w:rPr>
        <w:t>La infraestructura resultante de la inversión de los recursos públicos tendrá el siguiente tratamiento:</w:t>
      </w:r>
    </w:p>
    <w:p w14:paraId="42C229FA" w14:textId="77777777" w:rsidR="00A65C1C" w:rsidRPr="00C63186" w:rsidRDefault="00A65C1C" w:rsidP="008E39FD">
      <w:pPr>
        <w:tabs>
          <w:tab w:val="left" w:pos="4474"/>
        </w:tabs>
        <w:spacing w:after="0"/>
        <w:jc w:val="both"/>
        <w:rPr>
          <w:rFonts w:ascii="Arial" w:hAnsi="Arial" w:cs="Arial"/>
          <w:sz w:val="24"/>
          <w:szCs w:val="24"/>
        </w:rPr>
      </w:pPr>
    </w:p>
    <w:p w14:paraId="2DD12B3F" w14:textId="11E25D1C" w:rsidR="00A65C1C" w:rsidRDefault="00457AAD" w:rsidP="00434507">
      <w:pPr>
        <w:pStyle w:val="Ttulo5"/>
        <w:spacing w:before="0"/>
        <w:ind w:left="1008" w:hanging="1008"/>
      </w:pPr>
      <w:bookmarkStart w:id="106" w:name="_Toc224844336"/>
      <w:r w:rsidRPr="00760103">
        <w:rPr>
          <w:bCs/>
        </w:rPr>
        <w:t>II</w:t>
      </w:r>
      <w:r w:rsidR="00760103" w:rsidRPr="00760103">
        <w:rPr>
          <w:bCs/>
        </w:rPr>
        <w:t xml:space="preserve">-7.1 </w:t>
      </w:r>
      <w:r w:rsidR="00434507">
        <w:rPr>
          <w:bCs/>
        </w:rPr>
        <w:t>Cop</w:t>
      </w:r>
      <w:r w:rsidR="00A65C1C" w:rsidRPr="00760103">
        <w:rPr>
          <w:bCs/>
        </w:rPr>
        <w:t>ropiedad</w:t>
      </w:r>
      <w:r w:rsidR="00A65C1C" w:rsidRPr="00760103">
        <w:t xml:space="preserve"> de la infraestructura construida y cofinanciada</w:t>
      </w:r>
      <w:bookmarkEnd w:id="106"/>
    </w:p>
    <w:p w14:paraId="4AAB250B" w14:textId="77777777" w:rsidR="00434507" w:rsidRPr="00434507" w:rsidRDefault="00434507" w:rsidP="00434507">
      <w:pPr>
        <w:spacing w:after="0"/>
      </w:pPr>
    </w:p>
    <w:p w14:paraId="3990F4C4" w14:textId="0073F36B"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La </w:t>
      </w:r>
      <w:r w:rsidR="00434507">
        <w:rPr>
          <w:rFonts w:ascii="Arial" w:hAnsi="Arial" w:cs="Arial"/>
          <w:sz w:val="24"/>
          <w:szCs w:val="24"/>
        </w:rPr>
        <w:t>co</w:t>
      </w:r>
      <w:r w:rsidRPr="00C63186">
        <w:rPr>
          <w:rFonts w:ascii="Arial" w:hAnsi="Arial" w:cs="Arial"/>
          <w:sz w:val="24"/>
          <w:szCs w:val="24"/>
        </w:rPr>
        <w:t xml:space="preserve">propiedad de la infraestructura construida y cofinanciada con recursos del FONENERGÍA o de las fuentes de recursos que habilite el Gobierno Nacional en procura de masificar el uso de gas combustible en el territorio nacional, estará en cabeza de la Nación – Ministerio de Minas y Energía, en proporción directa al aporte de recursos de cofinanciación, </w:t>
      </w:r>
      <w:r>
        <w:rPr>
          <w:rFonts w:ascii="Arial" w:hAnsi="Arial" w:cs="Arial"/>
          <w:sz w:val="24"/>
          <w:szCs w:val="24"/>
        </w:rPr>
        <w:t xml:space="preserve">mientras </w:t>
      </w:r>
      <w:r w:rsidRPr="00C63186">
        <w:rPr>
          <w:rFonts w:ascii="Arial" w:hAnsi="Arial" w:cs="Arial"/>
          <w:sz w:val="24"/>
          <w:szCs w:val="24"/>
        </w:rPr>
        <w:t xml:space="preserve">no se efectúe la reposición de dicha infraestructura por parte de </w:t>
      </w:r>
      <w:r w:rsidRPr="00C63186">
        <w:rPr>
          <w:rFonts w:ascii="Arial" w:hAnsi="Arial" w:cs="Arial"/>
          <w:sz w:val="24"/>
          <w:szCs w:val="24"/>
        </w:rPr>
        <w:lastRenderedPageBreak/>
        <w:t>la empresa prestadora del servicio público de transporte o de distribución de gas combustible por redes</w:t>
      </w:r>
      <w:r>
        <w:rPr>
          <w:rFonts w:ascii="Arial" w:hAnsi="Arial" w:cs="Arial"/>
          <w:sz w:val="24"/>
          <w:szCs w:val="24"/>
        </w:rPr>
        <w:t>.</w:t>
      </w:r>
    </w:p>
    <w:p w14:paraId="090AC3B8" w14:textId="77777777" w:rsidR="00A65C1C" w:rsidRPr="00C63186" w:rsidRDefault="00A65C1C" w:rsidP="00B03685">
      <w:pPr>
        <w:shd w:val="clear" w:color="auto" w:fill="FFFFFF" w:themeFill="background1"/>
        <w:spacing w:after="0"/>
        <w:jc w:val="both"/>
        <w:rPr>
          <w:rFonts w:ascii="Arial" w:hAnsi="Arial" w:cs="Arial"/>
          <w:sz w:val="24"/>
          <w:szCs w:val="24"/>
        </w:rPr>
      </w:pPr>
    </w:p>
    <w:p w14:paraId="7D032C60" w14:textId="77777777" w:rsidR="00A65C1C" w:rsidRPr="00C63186" w:rsidRDefault="00A65C1C" w:rsidP="00B03685">
      <w:pPr>
        <w:shd w:val="clear" w:color="auto" w:fill="FFFFFF" w:themeFill="background1"/>
        <w:spacing w:after="0"/>
        <w:jc w:val="both"/>
        <w:rPr>
          <w:rFonts w:ascii="Arial" w:hAnsi="Arial" w:cs="Arial"/>
          <w:b/>
          <w:bCs/>
          <w:sz w:val="24"/>
          <w:szCs w:val="24"/>
        </w:rPr>
      </w:pPr>
      <w:r w:rsidRPr="496D1C69">
        <w:rPr>
          <w:rFonts w:ascii="Arial" w:hAnsi="Arial" w:cs="Arial"/>
          <w:sz w:val="24"/>
          <w:szCs w:val="24"/>
        </w:rPr>
        <w:t>No serán objeto de remuneración vía tarifa la proporción de la inversión realizada con recursos de los extintos Fondos de Financiación que se fusionan en el FONENERGÍA y/o otras fuentes de financiación, así como los que provengan del mismo FONENERGIA, de conformidad con lo previsto en el numeral 87.9 del artículo 87 de la Ley 142 de 1994, modificado por el artículo 99 de la Ley 1450 de 2011 y el artículo 8° del Decreto Legislativo 819 de 2020.</w:t>
      </w:r>
    </w:p>
    <w:p w14:paraId="7DCA6A77" w14:textId="77777777" w:rsidR="00A65C1C" w:rsidRPr="00C63186" w:rsidRDefault="00A65C1C" w:rsidP="00B03685">
      <w:pPr>
        <w:shd w:val="clear" w:color="auto" w:fill="FFFFFF"/>
        <w:spacing w:after="0"/>
        <w:jc w:val="both"/>
        <w:rPr>
          <w:rFonts w:ascii="Arial" w:hAnsi="Arial" w:cs="Arial"/>
          <w:bCs/>
          <w:sz w:val="24"/>
          <w:szCs w:val="24"/>
        </w:rPr>
      </w:pPr>
    </w:p>
    <w:p w14:paraId="4FA8B6E7" w14:textId="47FDC538" w:rsidR="00A65C1C" w:rsidRDefault="0074229F" w:rsidP="00434507">
      <w:pPr>
        <w:pStyle w:val="Ttulo5"/>
        <w:spacing w:before="0"/>
        <w:ind w:left="1008" w:hanging="1008"/>
      </w:pPr>
      <w:bookmarkStart w:id="107" w:name="_Toc224844337"/>
      <w:r w:rsidRPr="00470455">
        <w:t xml:space="preserve">II-7.2 </w:t>
      </w:r>
      <w:r w:rsidR="00A65C1C" w:rsidRPr="00470455">
        <w:t>Valoración de la infraestructura.</w:t>
      </w:r>
      <w:bookmarkEnd w:id="107"/>
    </w:p>
    <w:p w14:paraId="4A8589BE" w14:textId="77777777" w:rsidR="00434507" w:rsidRPr="00434507" w:rsidRDefault="00434507" w:rsidP="00434507">
      <w:pPr>
        <w:spacing w:after="0"/>
      </w:pPr>
    </w:p>
    <w:p w14:paraId="167D9F93" w14:textId="77777777" w:rsidR="00A65C1C" w:rsidRPr="001D3ED0" w:rsidRDefault="00A65C1C" w:rsidP="00B03685">
      <w:pPr>
        <w:shd w:val="clear" w:color="auto" w:fill="FFFFFF" w:themeFill="background1"/>
        <w:spacing w:after="0"/>
        <w:jc w:val="both"/>
        <w:rPr>
          <w:rFonts w:ascii="Arial" w:hAnsi="Arial" w:cs="Arial"/>
          <w:sz w:val="24"/>
          <w:szCs w:val="24"/>
        </w:rPr>
      </w:pPr>
      <w:r w:rsidRPr="001D3ED0">
        <w:rPr>
          <w:rFonts w:ascii="Arial" w:hAnsi="Arial" w:cs="Arial"/>
          <w:sz w:val="24"/>
          <w:szCs w:val="24"/>
        </w:rPr>
        <w:t>Para establecer el valor</w:t>
      </w:r>
      <w:r>
        <w:rPr>
          <w:rFonts w:ascii="Arial" w:hAnsi="Arial" w:cs="Arial"/>
          <w:sz w:val="24"/>
          <w:szCs w:val="24"/>
        </w:rPr>
        <w:t xml:space="preserve"> </w:t>
      </w:r>
      <w:r w:rsidRPr="001D3ED0">
        <w:rPr>
          <w:rFonts w:ascii="Arial" w:hAnsi="Arial" w:cs="Arial"/>
          <w:sz w:val="24"/>
          <w:szCs w:val="24"/>
        </w:rPr>
        <w:t xml:space="preserve">de los activos resultantes de la ejecución de proyectos destinados a </w:t>
      </w:r>
      <w:r>
        <w:rPr>
          <w:rFonts w:ascii="Arial" w:hAnsi="Arial" w:cs="Arial"/>
          <w:sz w:val="24"/>
          <w:szCs w:val="24"/>
        </w:rPr>
        <w:t xml:space="preserve">la prestación del servicio </w:t>
      </w:r>
      <w:r w:rsidRPr="001D3ED0">
        <w:rPr>
          <w:rFonts w:ascii="Arial" w:hAnsi="Arial" w:cs="Arial"/>
          <w:sz w:val="24"/>
          <w:szCs w:val="24"/>
        </w:rPr>
        <w:t>de gas</w:t>
      </w:r>
      <w:r>
        <w:rPr>
          <w:rFonts w:ascii="Arial" w:hAnsi="Arial" w:cs="Arial"/>
          <w:sz w:val="24"/>
          <w:szCs w:val="24"/>
        </w:rPr>
        <w:t xml:space="preserve"> combustible por redes cofinanciados</w:t>
      </w:r>
      <w:r w:rsidRPr="001D3ED0">
        <w:rPr>
          <w:rFonts w:ascii="Arial" w:hAnsi="Arial" w:cs="Arial"/>
          <w:sz w:val="24"/>
          <w:szCs w:val="24"/>
        </w:rPr>
        <w:t>, se tomará la inversión base determinada a partir de</w:t>
      </w:r>
      <w:r>
        <w:rPr>
          <w:rFonts w:ascii="Arial" w:hAnsi="Arial" w:cs="Arial"/>
          <w:sz w:val="24"/>
          <w:szCs w:val="24"/>
        </w:rPr>
        <w:t xml:space="preserve">l </w:t>
      </w:r>
      <w:r w:rsidRPr="001D3ED0">
        <w:rPr>
          <w:rFonts w:ascii="Arial" w:hAnsi="Arial" w:cs="Arial"/>
          <w:sz w:val="24"/>
          <w:szCs w:val="24"/>
        </w:rPr>
        <w:t xml:space="preserve">inventario </w:t>
      </w:r>
      <w:r>
        <w:rPr>
          <w:rFonts w:ascii="Arial" w:hAnsi="Arial" w:cs="Arial"/>
          <w:sz w:val="24"/>
          <w:szCs w:val="24"/>
        </w:rPr>
        <w:t>disponible en el acta de entrega y recibo de activos, con base en las unidades constructivas vigentes establecidas por la CREG y valorado con los costos unitarios de las mismas</w:t>
      </w:r>
      <w:r w:rsidRPr="001D3ED0">
        <w:rPr>
          <w:rFonts w:ascii="Arial" w:hAnsi="Arial" w:cs="Arial"/>
          <w:sz w:val="24"/>
          <w:szCs w:val="24"/>
        </w:rPr>
        <w:t xml:space="preserve">.  </w:t>
      </w:r>
    </w:p>
    <w:p w14:paraId="6C5F9434" w14:textId="77777777" w:rsidR="00A65C1C" w:rsidRPr="001D3ED0" w:rsidRDefault="00A65C1C" w:rsidP="00B03685">
      <w:pPr>
        <w:shd w:val="clear" w:color="auto" w:fill="FFFFFF" w:themeFill="background1"/>
        <w:spacing w:after="0"/>
        <w:jc w:val="both"/>
        <w:rPr>
          <w:rFonts w:ascii="Arial" w:hAnsi="Arial" w:cs="Arial"/>
          <w:sz w:val="24"/>
          <w:szCs w:val="24"/>
        </w:rPr>
      </w:pPr>
    </w:p>
    <w:p w14:paraId="29C58BDF" w14:textId="77777777" w:rsidR="00A65C1C" w:rsidRPr="00C63186" w:rsidRDefault="00A65C1C" w:rsidP="00B03685">
      <w:pPr>
        <w:shd w:val="clear" w:color="auto" w:fill="FFFFFF" w:themeFill="background1"/>
        <w:spacing w:after="0"/>
        <w:jc w:val="both"/>
        <w:rPr>
          <w:rFonts w:ascii="Arial" w:hAnsi="Arial" w:cs="Arial"/>
          <w:sz w:val="24"/>
          <w:szCs w:val="24"/>
        </w:rPr>
      </w:pPr>
      <w:r>
        <w:rPr>
          <w:rFonts w:ascii="Arial" w:hAnsi="Arial" w:cs="Arial"/>
          <w:sz w:val="24"/>
          <w:szCs w:val="24"/>
        </w:rPr>
        <w:t>L</w:t>
      </w:r>
      <w:r w:rsidRPr="001D3ED0">
        <w:rPr>
          <w:rFonts w:ascii="Arial" w:hAnsi="Arial" w:cs="Arial"/>
          <w:sz w:val="24"/>
          <w:szCs w:val="24"/>
        </w:rPr>
        <w:t>a clasificación de los activos en dicho inventario se realizará atendiendo a la metodología establecida por el Ministerio de Minas y Energía</w:t>
      </w:r>
      <w:r>
        <w:rPr>
          <w:rFonts w:ascii="Arial" w:hAnsi="Arial" w:cs="Arial"/>
          <w:sz w:val="24"/>
          <w:szCs w:val="24"/>
        </w:rPr>
        <w:t>-</w:t>
      </w:r>
      <w:r w:rsidRPr="001D3ED0">
        <w:rPr>
          <w:rFonts w:ascii="Arial" w:hAnsi="Arial" w:cs="Arial"/>
          <w:sz w:val="24"/>
          <w:szCs w:val="24"/>
        </w:rPr>
        <w:t>MME, la cual se fundamenta en las resoluciones emitidas por la Comisión de Regulación de Energía y Gas (CREG)</w:t>
      </w:r>
      <w:r>
        <w:rPr>
          <w:rStyle w:val="Refdenotaalpie"/>
          <w:rFonts w:ascii="Arial" w:hAnsi="Arial" w:cs="Arial"/>
          <w:sz w:val="24"/>
          <w:szCs w:val="24"/>
        </w:rPr>
        <w:footnoteReference w:id="33"/>
      </w:r>
      <w:r w:rsidRPr="001D3ED0">
        <w:rPr>
          <w:rFonts w:ascii="Arial" w:hAnsi="Arial" w:cs="Arial"/>
          <w:sz w:val="24"/>
          <w:szCs w:val="24"/>
        </w:rPr>
        <w:t xml:space="preserve">, relacionadas con </w:t>
      </w:r>
      <w:r>
        <w:rPr>
          <w:rFonts w:ascii="Arial" w:hAnsi="Arial" w:cs="Arial"/>
          <w:sz w:val="24"/>
          <w:szCs w:val="24"/>
        </w:rPr>
        <w:t>l</w:t>
      </w:r>
      <w:r w:rsidRPr="001D3ED0">
        <w:rPr>
          <w:rFonts w:ascii="Arial" w:hAnsi="Arial" w:cs="Arial"/>
          <w:sz w:val="24"/>
          <w:szCs w:val="24"/>
        </w:rPr>
        <w:t>os criterios generales para remunerar la actividad de transporte o distribución de gas combustible por redes de tubería.</w:t>
      </w:r>
    </w:p>
    <w:p w14:paraId="1A93C2F4" w14:textId="77777777" w:rsidR="00A65C1C" w:rsidRDefault="00A65C1C" w:rsidP="00B03685">
      <w:pPr>
        <w:shd w:val="clear" w:color="auto" w:fill="FFFFFF" w:themeFill="background1"/>
        <w:spacing w:after="0"/>
        <w:jc w:val="both"/>
        <w:rPr>
          <w:rFonts w:ascii="Arial" w:hAnsi="Arial" w:cs="Arial"/>
          <w:sz w:val="24"/>
          <w:szCs w:val="24"/>
        </w:rPr>
      </w:pPr>
    </w:p>
    <w:p w14:paraId="31AAD56C" w14:textId="24AD7CC6" w:rsidR="00A65C1C" w:rsidRDefault="00054E1E" w:rsidP="00434507">
      <w:pPr>
        <w:pStyle w:val="Ttulo5"/>
        <w:spacing w:before="0"/>
      </w:pPr>
      <w:bookmarkStart w:id="108" w:name="_Toc224844338"/>
      <w:r w:rsidRPr="00EB63B2">
        <w:t xml:space="preserve">II-7.3 </w:t>
      </w:r>
      <w:r w:rsidR="00A65C1C" w:rsidRPr="00EB63B2">
        <w:t>Determinación de porcentajes de copropiedad de los activos de proyectos de gas.</w:t>
      </w:r>
      <w:bookmarkEnd w:id="108"/>
    </w:p>
    <w:p w14:paraId="6B5A53AE" w14:textId="77777777" w:rsidR="00434507" w:rsidRPr="00434507" w:rsidRDefault="00434507" w:rsidP="00434507">
      <w:pPr>
        <w:spacing w:after="0"/>
      </w:pPr>
    </w:p>
    <w:p w14:paraId="01CA4E5B"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Los porcentajes de copropiedad de la infraestructura construida y cofinanciada </w:t>
      </w:r>
      <w:r>
        <w:rPr>
          <w:rFonts w:ascii="Arial" w:hAnsi="Arial" w:cs="Arial"/>
          <w:sz w:val="24"/>
          <w:szCs w:val="24"/>
        </w:rPr>
        <w:t>por</w:t>
      </w:r>
      <w:r w:rsidRPr="00C63186">
        <w:rPr>
          <w:rFonts w:ascii="Arial" w:hAnsi="Arial" w:cs="Arial"/>
          <w:sz w:val="24"/>
          <w:szCs w:val="24"/>
        </w:rPr>
        <w:t xml:space="preserve"> el FONENERGÍA se establecerán en el acta de</w:t>
      </w:r>
      <w:r>
        <w:rPr>
          <w:rFonts w:ascii="Arial" w:hAnsi="Arial" w:cs="Arial"/>
          <w:sz w:val="24"/>
          <w:szCs w:val="24"/>
        </w:rPr>
        <w:t xml:space="preserve"> liquidación del respectivo documento jurídico</w:t>
      </w:r>
      <w:r w:rsidRPr="00C63186">
        <w:rPr>
          <w:rFonts w:ascii="Arial" w:hAnsi="Arial" w:cs="Arial"/>
          <w:sz w:val="24"/>
          <w:szCs w:val="24"/>
        </w:rPr>
        <w:t>, de acuerdo con la siguiente expresión:</w:t>
      </w:r>
    </w:p>
    <w:p w14:paraId="492C9C6D" w14:textId="77777777" w:rsidR="00A65C1C" w:rsidRPr="00C63186" w:rsidRDefault="00A65C1C" w:rsidP="00B03685">
      <w:pPr>
        <w:shd w:val="clear" w:color="auto" w:fill="FFFFFF"/>
        <w:spacing w:after="0"/>
        <w:jc w:val="both"/>
        <w:rPr>
          <w:rFonts w:ascii="Arial" w:hAnsi="Arial" w:cs="Arial"/>
          <w:sz w:val="24"/>
          <w:szCs w:val="24"/>
        </w:rPr>
      </w:pPr>
    </w:p>
    <w:p w14:paraId="4F79D140" w14:textId="77777777" w:rsidR="00A65C1C" w:rsidRPr="00434507" w:rsidRDefault="00A65C1C" w:rsidP="00B03685">
      <w:pPr>
        <w:shd w:val="clear" w:color="auto" w:fill="FFFFFF" w:themeFill="background1"/>
        <w:spacing w:after="0"/>
        <w:jc w:val="center"/>
        <w:rPr>
          <w:rFonts w:ascii="Arial" w:hAnsi="Arial" w:cs="Arial"/>
          <w:sz w:val="24"/>
          <w:szCs w:val="24"/>
          <w:vertAlign w:val="subscript"/>
          <w:lang w:val="de-DE"/>
        </w:rPr>
      </w:pPr>
      <w:r w:rsidRPr="00434507">
        <w:rPr>
          <w:rFonts w:ascii="Arial" w:hAnsi="Arial" w:cs="Arial"/>
          <w:sz w:val="24"/>
          <w:szCs w:val="24"/>
          <w:lang w:val="de-DE"/>
        </w:rPr>
        <w:t xml:space="preserve">Aportes E.S.P </w:t>
      </w:r>
      <w:r w:rsidRPr="00434507">
        <w:rPr>
          <w:rFonts w:ascii="Arial" w:hAnsi="Arial" w:cs="Arial"/>
          <w:sz w:val="24"/>
          <w:szCs w:val="24"/>
          <w:vertAlign w:val="subscript"/>
          <w:lang w:val="de-DE"/>
        </w:rPr>
        <w:t xml:space="preserve">t=0 </w:t>
      </w:r>
      <w:r w:rsidRPr="00434507">
        <w:rPr>
          <w:rFonts w:ascii="Arial" w:hAnsi="Arial" w:cs="Arial"/>
          <w:sz w:val="24"/>
          <w:szCs w:val="24"/>
          <w:lang w:val="de-DE"/>
        </w:rPr>
        <w:t xml:space="preserve">= VPC </w:t>
      </w:r>
      <w:r w:rsidRPr="00434507">
        <w:rPr>
          <w:rFonts w:ascii="Arial" w:hAnsi="Arial" w:cs="Arial"/>
          <w:sz w:val="24"/>
          <w:szCs w:val="24"/>
          <w:vertAlign w:val="subscript"/>
          <w:lang w:val="de-DE"/>
        </w:rPr>
        <w:t>t=0</w:t>
      </w:r>
      <w:r w:rsidRPr="00434507">
        <w:rPr>
          <w:rFonts w:ascii="Arial" w:hAnsi="Arial" w:cs="Arial"/>
          <w:sz w:val="24"/>
          <w:szCs w:val="24"/>
          <w:lang w:val="de-DE"/>
        </w:rPr>
        <w:t xml:space="preserve"> - AN </w:t>
      </w:r>
      <w:r w:rsidRPr="00434507">
        <w:rPr>
          <w:rFonts w:ascii="Arial" w:hAnsi="Arial" w:cs="Arial"/>
          <w:sz w:val="24"/>
          <w:szCs w:val="24"/>
          <w:vertAlign w:val="subscript"/>
          <w:lang w:val="de-DE"/>
        </w:rPr>
        <w:t>t=0</w:t>
      </w:r>
    </w:p>
    <w:p w14:paraId="0F5D51F4" w14:textId="77777777" w:rsidR="00A65C1C" w:rsidRPr="00C63186" w:rsidRDefault="00A65C1C" w:rsidP="00B03685">
      <w:pPr>
        <w:shd w:val="clear" w:color="auto" w:fill="FFFFFF"/>
        <w:spacing w:after="0"/>
        <w:jc w:val="both"/>
        <w:rPr>
          <w:rFonts w:ascii="Arial" w:hAnsi="Arial" w:cs="Arial"/>
          <w:bCs/>
          <w:sz w:val="24"/>
          <w:szCs w:val="24"/>
          <w:lang w:val="de-DE"/>
        </w:rPr>
      </w:pPr>
    </w:p>
    <w:p w14:paraId="0A1DBEFB" w14:textId="77777777" w:rsidR="00A65C1C" w:rsidRPr="00C63186" w:rsidRDefault="00A65C1C" w:rsidP="00B03685">
      <w:pPr>
        <w:shd w:val="clear" w:color="auto" w:fill="FFFFFF"/>
        <w:spacing w:after="0"/>
        <w:jc w:val="both"/>
        <w:rPr>
          <w:rFonts w:ascii="Arial" w:hAnsi="Arial" w:cs="Arial"/>
          <w:b/>
          <w:sz w:val="24"/>
          <w:szCs w:val="24"/>
        </w:rPr>
      </w:pPr>
      <w:r w:rsidRPr="00C63186">
        <w:rPr>
          <w:rFonts w:ascii="Arial" w:hAnsi="Arial" w:cs="Arial"/>
          <w:bCs/>
          <w:sz w:val="24"/>
          <w:szCs w:val="24"/>
        </w:rPr>
        <w:t>Donde:</w:t>
      </w:r>
    </w:p>
    <w:p w14:paraId="323465A5" w14:textId="77777777" w:rsidR="00A65C1C" w:rsidRPr="00C63186" w:rsidRDefault="00A65C1C" w:rsidP="00B03685">
      <w:pPr>
        <w:shd w:val="clear" w:color="auto" w:fill="FFFFFF"/>
        <w:spacing w:after="0"/>
        <w:jc w:val="both"/>
        <w:rPr>
          <w:rFonts w:ascii="Arial" w:hAnsi="Arial" w:cs="Arial"/>
          <w:b/>
          <w:sz w:val="24"/>
          <w:szCs w:val="24"/>
        </w:rPr>
      </w:pPr>
    </w:p>
    <w:p w14:paraId="1F2C4934" w14:textId="77777777" w:rsidR="00A65C1C" w:rsidRPr="00C63186" w:rsidRDefault="00A65C1C" w:rsidP="00B03685">
      <w:pPr>
        <w:shd w:val="clear" w:color="auto" w:fill="FFFFFF"/>
        <w:spacing w:after="0"/>
        <w:jc w:val="both"/>
        <w:rPr>
          <w:rFonts w:ascii="Arial" w:hAnsi="Arial" w:cs="Arial"/>
          <w:sz w:val="24"/>
          <w:szCs w:val="24"/>
        </w:rPr>
      </w:pPr>
      <w:r w:rsidRPr="00C63186">
        <w:rPr>
          <w:rFonts w:ascii="Arial" w:hAnsi="Arial" w:cs="Arial"/>
          <w:b/>
          <w:sz w:val="24"/>
          <w:szCs w:val="24"/>
        </w:rPr>
        <w:t xml:space="preserve">Aportes E.S.P </w:t>
      </w:r>
      <w:r w:rsidRPr="00C63186">
        <w:rPr>
          <w:rFonts w:ascii="Arial" w:hAnsi="Arial" w:cs="Arial"/>
          <w:b/>
          <w:sz w:val="24"/>
          <w:szCs w:val="24"/>
          <w:vertAlign w:val="subscript"/>
        </w:rPr>
        <w:t xml:space="preserve">t=0 </w:t>
      </w:r>
      <w:r w:rsidRPr="00C63186">
        <w:rPr>
          <w:rFonts w:ascii="Arial" w:hAnsi="Arial" w:cs="Arial"/>
          <w:b/>
          <w:sz w:val="24"/>
          <w:szCs w:val="24"/>
        </w:rPr>
        <w:t>=</w:t>
      </w:r>
      <w:r w:rsidRPr="00C63186">
        <w:rPr>
          <w:rFonts w:ascii="Arial" w:hAnsi="Arial" w:cs="Arial"/>
          <w:sz w:val="24"/>
          <w:szCs w:val="24"/>
        </w:rPr>
        <w:t xml:space="preserve"> Aportes de la E.S.P. a un proyecto determinado, acumulados al momento de </w:t>
      </w:r>
      <w:r>
        <w:rPr>
          <w:rFonts w:ascii="Arial" w:hAnsi="Arial" w:cs="Arial"/>
          <w:sz w:val="24"/>
          <w:szCs w:val="24"/>
        </w:rPr>
        <w:t xml:space="preserve">la </w:t>
      </w:r>
      <w:r w:rsidRPr="00C63186">
        <w:rPr>
          <w:rFonts w:ascii="Arial" w:hAnsi="Arial" w:cs="Arial"/>
          <w:sz w:val="24"/>
          <w:szCs w:val="24"/>
        </w:rPr>
        <w:t>formalización</w:t>
      </w:r>
      <w:r>
        <w:rPr>
          <w:rFonts w:ascii="Arial" w:hAnsi="Arial" w:cs="Arial"/>
          <w:sz w:val="24"/>
          <w:szCs w:val="24"/>
        </w:rPr>
        <w:t xml:space="preserve"> del acta de liquidación </w:t>
      </w:r>
      <w:r w:rsidRPr="00C63186">
        <w:rPr>
          <w:rFonts w:ascii="Arial" w:hAnsi="Arial" w:cs="Arial"/>
          <w:sz w:val="24"/>
          <w:szCs w:val="24"/>
        </w:rPr>
        <w:t>correspondiente.</w:t>
      </w:r>
    </w:p>
    <w:p w14:paraId="010116B4" w14:textId="77777777" w:rsidR="00A65C1C" w:rsidRPr="00C63186" w:rsidRDefault="00A65C1C" w:rsidP="00B03685">
      <w:pPr>
        <w:shd w:val="clear" w:color="auto" w:fill="FFFFFF"/>
        <w:spacing w:after="0"/>
        <w:jc w:val="both"/>
        <w:rPr>
          <w:rFonts w:ascii="Arial" w:hAnsi="Arial" w:cs="Arial"/>
          <w:sz w:val="24"/>
          <w:szCs w:val="24"/>
        </w:rPr>
      </w:pPr>
    </w:p>
    <w:p w14:paraId="21D09D75"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b/>
          <w:bCs/>
          <w:sz w:val="24"/>
          <w:szCs w:val="24"/>
        </w:rPr>
        <w:t xml:space="preserve">VPC: Valor del Proyecto Cofinanciado </w:t>
      </w:r>
      <w:r w:rsidRPr="00C63186">
        <w:rPr>
          <w:rFonts w:ascii="Arial" w:hAnsi="Arial" w:cs="Arial"/>
          <w:b/>
          <w:bCs/>
          <w:sz w:val="24"/>
          <w:szCs w:val="24"/>
          <w:vertAlign w:val="subscript"/>
        </w:rPr>
        <w:t xml:space="preserve">t=0 </w:t>
      </w:r>
      <w:r w:rsidRPr="00C63186">
        <w:rPr>
          <w:rFonts w:ascii="Arial" w:hAnsi="Arial" w:cs="Arial"/>
          <w:b/>
          <w:bCs/>
          <w:sz w:val="24"/>
          <w:szCs w:val="24"/>
        </w:rPr>
        <w:t xml:space="preserve">= </w:t>
      </w:r>
      <w:r w:rsidRPr="00C63186">
        <w:rPr>
          <w:rFonts w:ascii="Arial" w:hAnsi="Arial" w:cs="Arial"/>
          <w:sz w:val="24"/>
          <w:szCs w:val="24"/>
        </w:rPr>
        <w:t>Corresponde a las inversiones realizadas en redes de transporte o distribución</w:t>
      </w:r>
      <w:r>
        <w:rPr>
          <w:rFonts w:ascii="Arial" w:hAnsi="Arial" w:cs="Arial"/>
          <w:sz w:val="24"/>
          <w:szCs w:val="24"/>
        </w:rPr>
        <w:t xml:space="preserve">, </w:t>
      </w:r>
      <w:r w:rsidRPr="00C63186">
        <w:rPr>
          <w:rFonts w:ascii="Arial" w:hAnsi="Arial" w:cs="Arial"/>
          <w:sz w:val="24"/>
          <w:szCs w:val="24"/>
        </w:rPr>
        <w:t xml:space="preserve">establecidas en el momento de la formalización </w:t>
      </w:r>
      <w:r>
        <w:rPr>
          <w:rFonts w:ascii="Arial" w:hAnsi="Arial" w:cs="Arial"/>
          <w:sz w:val="24"/>
          <w:szCs w:val="24"/>
        </w:rPr>
        <w:t>del acta de liquidación.</w:t>
      </w:r>
    </w:p>
    <w:p w14:paraId="5B354F78" w14:textId="77777777" w:rsidR="00A65C1C" w:rsidRPr="00C63186" w:rsidRDefault="00A65C1C" w:rsidP="00B03685">
      <w:pPr>
        <w:shd w:val="clear" w:color="auto" w:fill="FFFFFF" w:themeFill="background1"/>
        <w:spacing w:after="0"/>
        <w:jc w:val="both"/>
        <w:rPr>
          <w:rFonts w:ascii="Arial" w:hAnsi="Arial" w:cs="Arial"/>
          <w:b/>
          <w:bCs/>
          <w:sz w:val="24"/>
          <w:szCs w:val="24"/>
        </w:rPr>
      </w:pPr>
    </w:p>
    <w:p w14:paraId="27369C41" w14:textId="77777777" w:rsidR="00A65C1C" w:rsidRDefault="00A65C1C" w:rsidP="00B03685">
      <w:pPr>
        <w:shd w:val="clear" w:color="auto" w:fill="FFFFFF"/>
        <w:spacing w:after="0"/>
        <w:jc w:val="both"/>
        <w:rPr>
          <w:rFonts w:ascii="Arial" w:hAnsi="Arial" w:cs="Arial"/>
        </w:rPr>
      </w:pPr>
      <w:r w:rsidRPr="00C63186">
        <w:rPr>
          <w:rFonts w:ascii="Arial" w:hAnsi="Arial" w:cs="Arial"/>
          <w:b/>
          <w:bCs/>
          <w:sz w:val="24"/>
          <w:szCs w:val="24"/>
        </w:rPr>
        <w:t xml:space="preserve">AN: Aportes Nación </w:t>
      </w:r>
      <w:r w:rsidRPr="00C63186">
        <w:rPr>
          <w:rFonts w:ascii="Arial" w:hAnsi="Arial" w:cs="Arial"/>
          <w:b/>
          <w:bCs/>
          <w:sz w:val="24"/>
          <w:szCs w:val="24"/>
          <w:vertAlign w:val="subscript"/>
        </w:rPr>
        <w:t>t=0</w:t>
      </w:r>
      <w:r w:rsidRPr="00C63186">
        <w:rPr>
          <w:rFonts w:ascii="Arial" w:hAnsi="Arial" w:cs="Arial"/>
          <w:b/>
          <w:bCs/>
          <w:sz w:val="24"/>
          <w:szCs w:val="24"/>
        </w:rPr>
        <w:t xml:space="preserve"> =</w:t>
      </w:r>
      <w:r w:rsidRPr="00C63186">
        <w:rPr>
          <w:rFonts w:ascii="Arial" w:hAnsi="Arial" w:cs="Arial"/>
          <w:sz w:val="24"/>
          <w:szCs w:val="24"/>
        </w:rPr>
        <w:t xml:space="preserve"> Aportes de la Nación a un proyecto cofinanciado, acumulados al momento de la formalización </w:t>
      </w:r>
      <w:r>
        <w:rPr>
          <w:rFonts w:ascii="Arial" w:hAnsi="Arial" w:cs="Arial"/>
          <w:sz w:val="24"/>
          <w:szCs w:val="24"/>
        </w:rPr>
        <w:t xml:space="preserve">del acta de liquidación </w:t>
      </w:r>
      <w:r w:rsidRPr="00C63186">
        <w:rPr>
          <w:rFonts w:ascii="Arial" w:hAnsi="Arial" w:cs="Arial"/>
          <w:sz w:val="24"/>
          <w:szCs w:val="24"/>
        </w:rPr>
        <w:t xml:space="preserve">correspondiente. Se determinarán de acuerdo con los recursos </w:t>
      </w:r>
      <w:r>
        <w:rPr>
          <w:rFonts w:ascii="Arial" w:hAnsi="Arial" w:cs="Arial"/>
          <w:sz w:val="24"/>
          <w:szCs w:val="24"/>
        </w:rPr>
        <w:t xml:space="preserve">del FONENERGÍA </w:t>
      </w:r>
      <w:r w:rsidRPr="00C63186">
        <w:rPr>
          <w:rFonts w:ascii="Arial" w:hAnsi="Arial" w:cs="Arial"/>
          <w:sz w:val="24"/>
          <w:szCs w:val="24"/>
        </w:rPr>
        <w:t xml:space="preserve">y/o otras fuentes de financiación, </w:t>
      </w:r>
      <w:r w:rsidRPr="00C63186">
        <w:rPr>
          <w:rFonts w:ascii="Arial" w:hAnsi="Arial" w:cs="Arial"/>
          <w:sz w:val="24"/>
          <w:szCs w:val="24"/>
        </w:rPr>
        <w:lastRenderedPageBreak/>
        <w:t>ejecutados en dichos proyectos, excluyendo aquellos recursos que hayan sido otorgados para subsidiar las conexiones e instalaciones internas.</w:t>
      </w:r>
    </w:p>
    <w:p w14:paraId="751529C0" w14:textId="77777777" w:rsidR="00A65C1C" w:rsidRPr="00C63186" w:rsidRDefault="00A65C1C" w:rsidP="00B03685">
      <w:pPr>
        <w:shd w:val="clear" w:color="auto" w:fill="FFFFFF"/>
        <w:spacing w:after="0"/>
        <w:jc w:val="both"/>
        <w:rPr>
          <w:rFonts w:ascii="Arial" w:hAnsi="Arial" w:cs="Arial"/>
        </w:rPr>
      </w:pPr>
    </w:p>
    <w:p w14:paraId="4D874687" w14:textId="0A48E097" w:rsidR="00A65C1C" w:rsidRDefault="00EB63B2" w:rsidP="00434507">
      <w:pPr>
        <w:pStyle w:val="Ttulo5"/>
        <w:spacing w:before="0"/>
        <w:ind w:left="1008" w:hanging="1008"/>
      </w:pPr>
      <w:bookmarkStart w:id="109" w:name="_Toc205496190"/>
      <w:bookmarkStart w:id="110" w:name="_Toc224844339"/>
      <w:r w:rsidRPr="00EB63B2">
        <w:rPr>
          <w:bCs/>
        </w:rPr>
        <w:t xml:space="preserve">II-7.4 </w:t>
      </w:r>
      <w:r w:rsidR="00A65C1C" w:rsidRPr="00EB63B2">
        <w:t>Actualización de los porcentajes de copropiedad</w:t>
      </w:r>
      <w:bookmarkEnd w:id="109"/>
      <w:bookmarkEnd w:id="110"/>
    </w:p>
    <w:p w14:paraId="7A5C2515" w14:textId="77777777" w:rsidR="00434507" w:rsidRPr="00434507" w:rsidRDefault="00434507" w:rsidP="00434507">
      <w:pPr>
        <w:spacing w:after="0"/>
      </w:pPr>
    </w:p>
    <w:p w14:paraId="59A99730"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Para la determinación de porcentajes de copropiedad en cada periodo tarifario del proyecto (t) o cuando las partes lo acuerden, se realizará la actualización de los aportes de la Nación - </w:t>
      </w:r>
      <w:r>
        <w:rPr>
          <w:rFonts w:ascii="Arial" w:hAnsi="Arial" w:cs="Arial"/>
          <w:sz w:val="24"/>
          <w:szCs w:val="24"/>
        </w:rPr>
        <w:t>FONERGIA</w:t>
      </w:r>
      <w:r w:rsidRPr="00C63186">
        <w:rPr>
          <w:rFonts w:ascii="Arial" w:hAnsi="Arial" w:cs="Arial"/>
          <w:sz w:val="24"/>
          <w:szCs w:val="24"/>
        </w:rPr>
        <w:t xml:space="preserve">, como componentes de la inversión base, con el índice de actualización establecido en la Resolución CREG </w:t>
      </w:r>
      <w:r>
        <w:rPr>
          <w:rFonts w:ascii="Arial" w:hAnsi="Arial" w:cs="Arial"/>
          <w:sz w:val="24"/>
          <w:szCs w:val="24"/>
        </w:rPr>
        <w:t>202</w:t>
      </w:r>
      <w:r w:rsidRPr="00C63186">
        <w:rPr>
          <w:rFonts w:ascii="Arial" w:hAnsi="Arial" w:cs="Arial"/>
          <w:sz w:val="24"/>
          <w:szCs w:val="24"/>
        </w:rPr>
        <w:t xml:space="preserve"> de 20</w:t>
      </w:r>
      <w:r>
        <w:rPr>
          <w:rFonts w:ascii="Arial" w:hAnsi="Arial" w:cs="Arial"/>
          <w:sz w:val="24"/>
          <w:szCs w:val="24"/>
        </w:rPr>
        <w:t>1</w:t>
      </w:r>
      <w:r w:rsidRPr="00C63186">
        <w:rPr>
          <w:rFonts w:ascii="Arial" w:hAnsi="Arial" w:cs="Arial"/>
          <w:sz w:val="24"/>
          <w:szCs w:val="24"/>
        </w:rPr>
        <w:t>3 o aquellas que la modifiquen o sustituyan.</w:t>
      </w:r>
    </w:p>
    <w:p w14:paraId="5A19E6BA" w14:textId="77777777" w:rsidR="00A65C1C" w:rsidRPr="00C63186" w:rsidRDefault="00A65C1C" w:rsidP="00B03685">
      <w:pPr>
        <w:shd w:val="clear" w:color="auto" w:fill="FFFFFF" w:themeFill="background1"/>
        <w:spacing w:after="0"/>
        <w:jc w:val="both"/>
        <w:rPr>
          <w:rFonts w:ascii="Arial" w:hAnsi="Arial" w:cs="Arial"/>
          <w:sz w:val="24"/>
          <w:szCs w:val="24"/>
        </w:rPr>
      </w:pPr>
    </w:p>
    <w:p w14:paraId="2EB542B1"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Una vez actualizado dicho componente se aplicarán las siguientes fórmulas para obtener el nuevo porcentaje:</w:t>
      </w:r>
    </w:p>
    <w:p w14:paraId="7ACC40F6" w14:textId="77777777" w:rsidR="00A65C1C" w:rsidRPr="00C63186" w:rsidRDefault="00A65C1C" w:rsidP="00B03685">
      <w:pPr>
        <w:shd w:val="clear" w:color="auto" w:fill="FFFFFF"/>
        <w:spacing w:after="0"/>
        <w:ind w:left="150"/>
        <w:jc w:val="center"/>
        <w:rPr>
          <w:rFonts w:ascii="Arial" w:hAnsi="Arial" w:cs="Arial"/>
          <w:b/>
          <w:sz w:val="24"/>
          <w:szCs w:val="24"/>
          <w:lang w:eastAsia="es-CO"/>
        </w:rPr>
      </w:pPr>
    </w:p>
    <w:p w14:paraId="08E51435" w14:textId="77777777" w:rsidR="00A65C1C" w:rsidRPr="00EB63B2" w:rsidRDefault="00A65C1C" w:rsidP="00B03685">
      <w:pPr>
        <w:shd w:val="clear" w:color="auto" w:fill="FFFFFF" w:themeFill="background1"/>
        <w:spacing w:after="0"/>
        <w:ind w:left="150"/>
        <w:jc w:val="center"/>
        <w:rPr>
          <w:rFonts w:ascii="Arial" w:hAnsi="Arial" w:cs="Arial"/>
          <w:sz w:val="24"/>
          <w:szCs w:val="24"/>
          <w:lang w:eastAsia="es-CO"/>
        </w:rPr>
      </w:pPr>
      <w:r w:rsidRPr="00EB63B2">
        <w:rPr>
          <w:rFonts w:ascii="Arial" w:hAnsi="Arial" w:cs="Arial"/>
          <w:sz w:val="24"/>
          <w:szCs w:val="24"/>
          <w:lang w:eastAsia="es-CO"/>
        </w:rPr>
        <w:t xml:space="preserve">% Copropiedad Nación </w:t>
      </w:r>
      <w:r w:rsidRPr="00EB63B2">
        <w:rPr>
          <w:rFonts w:ascii="Arial" w:hAnsi="Arial" w:cs="Arial"/>
          <w:sz w:val="24"/>
          <w:szCs w:val="24"/>
          <w:vertAlign w:val="subscript"/>
          <w:lang w:eastAsia="es-CO"/>
        </w:rPr>
        <w:t>t</w:t>
      </w:r>
      <w:r w:rsidRPr="00EB63B2">
        <w:rPr>
          <w:rFonts w:ascii="Arial" w:hAnsi="Arial" w:cs="Arial"/>
          <w:sz w:val="24"/>
          <w:szCs w:val="24"/>
          <w:lang w:eastAsia="es-CO"/>
        </w:rPr>
        <w:t xml:space="preserve">= Aportes Nación </w:t>
      </w:r>
      <w:r w:rsidRPr="00EB63B2">
        <w:rPr>
          <w:rFonts w:ascii="Arial" w:hAnsi="Arial" w:cs="Arial"/>
          <w:sz w:val="24"/>
          <w:szCs w:val="24"/>
          <w:vertAlign w:val="subscript"/>
          <w:lang w:eastAsia="es-CO"/>
        </w:rPr>
        <w:t xml:space="preserve">t </w:t>
      </w:r>
      <w:r w:rsidRPr="00EB63B2">
        <w:rPr>
          <w:rFonts w:ascii="Arial" w:hAnsi="Arial" w:cs="Arial"/>
          <w:sz w:val="24"/>
          <w:szCs w:val="24"/>
          <w:lang w:eastAsia="es-CO"/>
        </w:rPr>
        <w:t xml:space="preserve">/ (Valor actualizado del sistema de distribución </w:t>
      </w:r>
      <w:r w:rsidRPr="00EB63B2">
        <w:rPr>
          <w:rFonts w:ascii="Arial" w:hAnsi="Arial" w:cs="Arial"/>
          <w:sz w:val="24"/>
          <w:szCs w:val="24"/>
          <w:vertAlign w:val="subscript"/>
          <w:lang w:eastAsia="es-CO"/>
        </w:rPr>
        <w:t>t</w:t>
      </w:r>
      <w:r w:rsidRPr="00EB63B2">
        <w:rPr>
          <w:rFonts w:ascii="Arial" w:hAnsi="Arial" w:cs="Arial"/>
          <w:sz w:val="24"/>
          <w:szCs w:val="24"/>
          <w:lang w:eastAsia="es-CO"/>
        </w:rPr>
        <w:t>)</w:t>
      </w:r>
    </w:p>
    <w:p w14:paraId="5744EC07" w14:textId="77777777" w:rsidR="00A65C1C" w:rsidRPr="00C63186" w:rsidRDefault="00A65C1C" w:rsidP="00B03685">
      <w:pPr>
        <w:shd w:val="clear" w:color="auto" w:fill="FFFFFF" w:themeFill="background1"/>
        <w:spacing w:after="0"/>
        <w:ind w:left="150"/>
        <w:jc w:val="center"/>
        <w:rPr>
          <w:rFonts w:ascii="Arial" w:hAnsi="Arial" w:cs="Arial"/>
          <w:b/>
          <w:bCs/>
          <w:sz w:val="24"/>
          <w:szCs w:val="24"/>
          <w:lang w:eastAsia="es-CO"/>
        </w:rPr>
      </w:pPr>
    </w:p>
    <w:p w14:paraId="0A1F99EB"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El valor del sistema de distribución en un momento (t), posterior a la formalización</w:t>
      </w:r>
      <w:r>
        <w:rPr>
          <w:rFonts w:ascii="Arial" w:hAnsi="Arial" w:cs="Arial"/>
          <w:sz w:val="24"/>
          <w:szCs w:val="24"/>
        </w:rPr>
        <w:t xml:space="preserve"> del acta de liquidación</w:t>
      </w:r>
      <w:r w:rsidRPr="00C63186">
        <w:rPr>
          <w:rFonts w:ascii="Arial" w:hAnsi="Arial" w:cs="Arial"/>
          <w:sz w:val="24"/>
          <w:szCs w:val="24"/>
        </w:rPr>
        <w:t>, se establecerá considerando la reposición que efectúe la ESP sobre activos del proyecto cofinanciado y la expansión que desarrolle la empresa por el crecimiento natural del mercado. La expresión para calcular dicho valor será:</w:t>
      </w:r>
    </w:p>
    <w:p w14:paraId="796089E2" w14:textId="77777777" w:rsidR="00A65C1C" w:rsidRPr="00C63186" w:rsidRDefault="00A65C1C" w:rsidP="00B03685">
      <w:pPr>
        <w:shd w:val="clear" w:color="auto" w:fill="FFFFFF"/>
        <w:spacing w:after="0"/>
        <w:jc w:val="both"/>
        <w:rPr>
          <w:rFonts w:ascii="Arial" w:hAnsi="Arial" w:cs="Arial"/>
          <w:sz w:val="24"/>
          <w:szCs w:val="24"/>
        </w:rPr>
      </w:pPr>
    </w:p>
    <w:p w14:paraId="0796A82E" w14:textId="77777777" w:rsidR="00A65C1C" w:rsidRPr="00C63186" w:rsidRDefault="00A65C1C" w:rsidP="00B03685">
      <w:pPr>
        <w:shd w:val="clear" w:color="auto" w:fill="FFFFFF"/>
        <w:spacing w:after="0"/>
        <w:jc w:val="both"/>
        <w:rPr>
          <w:rFonts w:ascii="Arial" w:hAnsi="Arial" w:cs="Arial"/>
          <w:bCs/>
          <w:sz w:val="24"/>
          <w:szCs w:val="24"/>
          <w:vertAlign w:val="subscript"/>
          <w:lang w:eastAsia="es-CO"/>
        </w:rPr>
      </w:pPr>
      <w:r w:rsidRPr="00C63186">
        <w:rPr>
          <w:rFonts w:ascii="Arial" w:hAnsi="Arial" w:cs="Arial"/>
          <w:bCs/>
          <w:sz w:val="24"/>
          <w:szCs w:val="24"/>
          <w:lang w:eastAsia="es-CO"/>
        </w:rPr>
        <w:t xml:space="preserve">Valor actualizado del sistema de distribución </w:t>
      </w:r>
      <w:r w:rsidRPr="00C63186">
        <w:rPr>
          <w:rFonts w:ascii="Arial" w:hAnsi="Arial" w:cs="Arial"/>
          <w:bCs/>
          <w:sz w:val="24"/>
          <w:szCs w:val="24"/>
          <w:vertAlign w:val="subscript"/>
          <w:lang w:eastAsia="es-CO"/>
        </w:rPr>
        <w:t>t</w:t>
      </w:r>
      <w:r w:rsidRPr="00C63186">
        <w:rPr>
          <w:rFonts w:ascii="Arial" w:hAnsi="Arial" w:cs="Arial"/>
          <w:bCs/>
          <w:sz w:val="24"/>
          <w:szCs w:val="24"/>
          <w:lang w:eastAsia="es-CO"/>
        </w:rPr>
        <w:t xml:space="preserve"> = Valor del sistema de distribución </w:t>
      </w:r>
      <w:r w:rsidRPr="00C63186">
        <w:rPr>
          <w:rFonts w:ascii="Arial" w:hAnsi="Arial" w:cs="Arial"/>
          <w:bCs/>
          <w:sz w:val="24"/>
          <w:szCs w:val="24"/>
          <w:vertAlign w:val="subscript"/>
          <w:lang w:eastAsia="es-CO"/>
        </w:rPr>
        <w:t>t-1</w:t>
      </w:r>
      <w:r w:rsidRPr="00C63186">
        <w:rPr>
          <w:rFonts w:ascii="Arial" w:hAnsi="Arial" w:cs="Arial"/>
          <w:bCs/>
          <w:sz w:val="24"/>
          <w:szCs w:val="24"/>
          <w:lang w:eastAsia="es-CO"/>
        </w:rPr>
        <w:t xml:space="preserve"> + Inversiones de la E.S.P para reposición de activos del sistema de distribución </w:t>
      </w:r>
      <w:r w:rsidRPr="00C63186">
        <w:rPr>
          <w:rFonts w:ascii="Arial" w:hAnsi="Arial" w:cs="Arial"/>
          <w:bCs/>
          <w:sz w:val="24"/>
          <w:szCs w:val="24"/>
          <w:vertAlign w:val="subscript"/>
          <w:lang w:eastAsia="es-CO"/>
        </w:rPr>
        <w:t>t</w:t>
      </w:r>
      <w:r w:rsidRPr="00C63186">
        <w:rPr>
          <w:rFonts w:ascii="Arial" w:hAnsi="Arial" w:cs="Arial"/>
          <w:bCs/>
          <w:sz w:val="24"/>
          <w:szCs w:val="24"/>
          <w:lang w:eastAsia="es-CO"/>
        </w:rPr>
        <w:t xml:space="preserve"> + Inversiones para expansión desde la última revisión tarifaria </w:t>
      </w:r>
      <w:r w:rsidRPr="00C63186">
        <w:rPr>
          <w:rFonts w:ascii="Arial" w:hAnsi="Arial" w:cs="Arial"/>
          <w:bCs/>
          <w:sz w:val="24"/>
          <w:szCs w:val="24"/>
          <w:vertAlign w:val="subscript"/>
          <w:lang w:eastAsia="es-CO"/>
        </w:rPr>
        <w:t>t</w:t>
      </w:r>
    </w:p>
    <w:p w14:paraId="39BE909A" w14:textId="77777777" w:rsidR="00A65C1C" w:rsidRPr="00C63186" w:rsidRDefault="00A65C1C" w:rsidP="008E39FD">
      <w:pPr>
        <w:tabs>
          <w:tab w:val="left" w:pos="4474"/>
        </w:tabs>
        <w:spacing w:after="0"/>
        <w:jc w:val="both"/>
        <w:rPr>
          <w:rFonts w:ascii="Arial" w:hAnsi="Arial" w:cs="Arial"/>
          <w:b/>
          <w:bCs/>
          <w:sz w:val="24"/>
          <w:szCs w:val="24"/>
        </w:rPr>
      </w:pPr>
    </w:p>
    <w:p w14:paraId="435DB94E" w14:textId="1C15BE47" w:rsidR="00A65C1C" w:rsidRDefault="00F160D0" w:rsidP="00434507">
      <w:pPr>
        <w:pStyle w:val="Ttulo5"/>
        <w:spacing w:before="0"/>
        <w:ind w:left="1008" w:hanging="1008"/>
      </w:pPr>
      <w:bookmarkStart w:id="111" w:name="_Toc224844340"/>
      <w:bookmarkStart w:id="112" w:name="_Toc205496191"/>
      <w:r w:rsidRPr="00F160D0">
        <w:rPr>
          <w:bCs/>
        </w:rPr>
        <w:t xml:space="preserve">II-7.5 </w:t>
      </w:r>
      <w:r w:rsidR="00A65C1C" w:rsidRPr="00F160D0">
        <w:t>Actualización del valor de la infraestructura</w:t>
      </w:r>
      <w:bookmarkEnd w:id="111"/>
      <w:r w:rsidR="00A65C1C" w:rsidRPr="00F160D0">
        <w:t xml:space="preserve"> </w:t>
      </w:r>
      <w:bookmarkEnd w:id="112"/>
    </w:p>
    <w:p w14:paraId="55838E3A" w14:textId="77777777" w:rsidR="007061FC" w:rsidRPr="007061FC" w:rsidRDefault="007061FC" w:rsidP="00434507">
      <w:pPr>
        <w:spacing w:after="0"/>
      </w:pPr>
    </w:p>
    <w:p w14:paraId="7D9AB25C" w14:textId="77777777" w:rsidR="00A65C1C" w:rsidRDefault="00A65C1C" w:rsidP="00434507">
      <w:pPr>
        <w:shd w:val="clear" w:color="auto" w:fill="FFFFFF" w:themeFill="background1"/>
        <w:spacing w:after="0"/>
        <w:jc w:val="both"/>
        <w:rPr>
          <w:rFonts w:ascii="Arial" w:hAnsi="Arial" w:cs="Arial"/>
          <w:sz w:val="24"/>
          <w:szCs w:val="24"/>
        </w:rPr>
      </w:pPr>
      <w:r w:rsidRPr="00C63186">
        <w:rPr>
          <w:rFonts w:ascii="Arial" w:hAnsi="Arial" w:cs="Arial"/>
          <w:sz w:val="24"/>
          <w:szCs w:val="24"/>
        </w:rPr>
        <w:t>Cuando lo requiera el FONENERGÍA, deberá calcularse el valor de la infraestructura mediante el costo de reposición del activo. El costo de reposición se determinará a partir de los costos unitarios definidos en la Resolución CREG 202 de 2013, o aquella que la modifique o sustituya, aplicados a las unidades constructivas del inventario de la red al momento de la valoración.</w:t>
      </w:r>
    </w:p>
    <w:p w14:paraId="32B96923" w14:textId="77777777" w:rsidR="00A65C1C" w:rsidRDefault="00A65C1C" w:rsidP="00434507">
      <w:pPr>
        <w:spacing w:after="0"/>
      </w:pPr>
    </w:p>
    <w:p w14:paraId="0E0324FB" w14:textId="4F0F6805" w:rsidR="00A65C1C" w:rsidRDefault="00F160D0" w:rsidP="00434507">
      <w:pPr>
        <w:pStyle w:val="Ttulo5"/>
        <w:spacing w:before="0"/>
        <w:ind w:left="1008" w:hanging="1008"/>
      </w:pPr>
      <w:bookmarkStart w:id="113" w:name="_Toc224844341"/>
      <w:r w:rsidRPr="00F160D0">
        <w:rPr>
          <w:bCs/>
        </w:rPr>
        <w:t xml:space="preserve">II-7.6 </w:t>
      </w:r>
      <w:r w:rsidR="00A65C1C" w:rsidRPr="00F160D0">
        <w:t xml:space="preserve">Contabilización de aportes de la Nación </w:t>
      </w:r>
      <w:r w:rsidR="00774B24">
        <w:rPr>
          <w:bCs/>
        </w:rPr>
        <w:t>p</w:t>
      </w:r>
      <w:r w:rsidR="00A65C1C" w:rsidRPr="00F160D0">
        <w:rPr>
          <w:bCs/>
        </w:rPr>
        <w:t>ara</w:t>
      </w:r>
      <w:r w:rsidR="00A65C1C" w:rsidRPr="00F160D0">
        <w:t xml:space="preserve"> proyectos de Gas.</w:t>
      </w:r>
      <w:bookmarkEnd w:id="113"/>
    </w:p>
    <w:p w14:paraId="5B03F7CA" w14:textId="77777777" w:rsidR="007061FC" w:rsidRPr="007061FC" w:rsidRDefault="007061FC" w:rsidP="00434507">
      <w:pPr>
        <w:spacing w:after="0"/>
      </w:pPr>
    </w:p>
    <w:p w14:paraId="238C0B3B"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Una vez definidos los porcentajes de copropiedad y calculadas las inversiones realizadas por la Nación y por </w:t>
      </w:r>
      <w:r>
        <w:rPr>
          <w:rFonts w:ascii="Arial" w:hAnsi="Arial" w:cs="Arial"/>
          <w:sz w:val="24"/>
          <w:szCs w:val="24"/>
        </w:rPr>
        <w:t>terceros</w:t>
      </w:r>
      <w:r w:rsidRPr="00C63186">
        <w:rPr>
          <w:rFonts w:ascii="Arial" w:hAnsi="Arial" w:cs="Arial"/>
          <w:sz w:val="24"/>
          <w:szCs w:val="24"/>
        </w:rPr>
        <w:t xml:space="preserve">, el Ministerio de Minas y Energía registrará el activo construido en su contabilidad por el valor de su aporte, </w:t>
      </w:r>
      <w:r>
        <w:rPr>
          <w:rFonts w:ascii="Arial" w:hAnsi="Arial" w:cs="Arial"/>
          <w:sz w:val="24"/>
          <w:szCs w:val="24"/>
        </w:rPr>
        <w:t xml:space="preserve">de </w:t>
      </w:r>
      <w:r w:rsidRPr="00402032">
        <w:rPr>
          <w:rFonts w:ascii="Arial" w:hAnsi="Arial" w:cs="Arial"/>
          <w:sz w:val="24"/>
          <w:szCs w:val="24"/>
        </w:rPr>
        <w:t>acuerdo con el régimen de contabilidad pública vigente para entidades de gobierno</w:t>
      </w:r>
      <w:r w:rsidRPr="00C63186">
        <w:rPr>
          <w:rFonts w:ascii="Arial" w:hAnsi="Arial" w:cs="Arial"/>
          <w:sz w:val="24"/>
          <w:szCs w:val="24"/>
        </w:rPr>
        <w:t>, expedid</w:t>
      </w:r>
      <w:r>
        <w:rPr>
          <w:rFonts w:ascii="Arial" w:hAnsi="Arial" w:cs="Arial"/>
          <w:sz w:val="24"/>
          <w:szCs w:val="24"/>
        </w:rPr>
        <w:t>o</w:t>
      </w:r>
      <w:r w:rsidRPr="00C63186">
        <w:rPr>
          <w:rFonts w:ascii="Arial" w:hAnsi="Arial" w:cs="Arial"/>
          <w:sz w:val="24"/>
          <w:szCs w:val="24"/>
        </w:rPr>
        <w:t xml:space="preserve"> por la Contaduría General de la Nación.</w:t>
      </w:r>
    </w:p>
    <w:p w14:paraId="4E979CDE" w14:textId="77777777" w:rsidR="00A65C1C" w:rsidRPr="00C63186" w:rsidRDefault="00A65C1C" w:rsidP="00B03685">
      <w:pPr>
        <w:shd w:val="clear" w:color="auto" w:fill="FFFFFF"/>
        <w:spacing w:after="0"/>
        <w:jc w:val="both"/>
        <w:rPr>
          <w:rFonts w:ascii="Arial" w:hAnsi="Arial" w:cs="Arial"/>
          <w:sz w:val="24"/>
          <w:szCs w:val="24"/>
        </w:rPr>
      </w:pPr>
    </w:p>
    <w:p w14:paraId="2969C099" w14:textId="25C6CE5A" w:rsidR="00A65C1C" w:rsidRPr="00C63186" w:rsidRDefault="00A65C1C" w:rsidP="00983791">
      <w:pPr>
        <w:shd w:val="clear" w:color="auto" w:fill="FFFFFF" w:themeFill="background1"/>
        <w:spacing w:after="0"/>
        <w:jc w:val="both"/>
        <w:rPr>
          <w:rFonts w:ascii="Arial" w:hAnsi="Arial" w:cs="Arial"/>
          <w:sz w:val="24"/>
          <w:szCs w:val="24"/>
        </w:rPr>
      </w:pPr>
      <w:r w:rsidRPr="00C63186">
        <w:rPr>
          <w:rFonts w:ascii="Arial" w:hAnsi="Arial" w:cs="Arial"/>
          <w:sz w:val="24"/>
          <w:szCs w:val="24"/>
        </w:rPr>
        <w:t>Para efectuar el registro del citado activo, el prestador del servicio una vez se haya formalizado el acta d</w:t>
      </w:r>
      <w:r>
        <w:rPr>
          <w:rFonts w:ascii="Arial" w:hAnsi="Arial" w:cs="Arial"/>
          <w:sz w:val="24"/>
          <w:szCs w:val="24"/>
        </w:rPr>
        <w:t>e liquidación</w:t>
      </w:r>
      <w:r w:rsidRPr="00C63186">
        <w:rPr>
          <w:rFonts w:ascii="Arial" w:hAnsi="Arial" w:cs="Arial"/>
          <w:sz w:val="24"/>
          <w:szCs w:val="24"/>
        </w:rPr>
        <w:t xml:space="preserve">, </w:t>
      </w:r>
      <w:r w:rsidR="00434507">
        <w:rPr>
          <w:rFonts w:ascii="Arial" w:hAnsi="Arial" w:cs="Arial"/>
          <w:sz w:val="24"/>
          <w:szCs w:val="24"/>
        </w:rPr>
        <w:t xml:space="preserve">o acta de entrega y recibo de activos, </w:t>
      </w:r>
      <w:r w:rsidRPr="00C63186">
        <w:rPr>
          <w:rFonts w:ascii="Arial" w:hAnsi="Arial" w:cs="Arial"/>
          <w:sz w:val="24"/>
          <w:szCs w:val="24"/>
        </w:rPr>
        <w:t>deberá suscribir con el Ministerio de Minas y Energía el Contrato Especial de que trata el numeral 39.3 del artículo 39 de la Ley 142 de 1994 o la norma que lo modifique o sustituya.</w:t>
      </w:r>
    </w:p>
    <w:p w14:paraId="662EC7BB" w14:textId="77777777" w:rsidR="00765D45" w:rsidRDefault="00765D45" w:rsidP="00983791">
      <w:pPr>
        <w:spacing w:after="0"/>
        <w:jc w:val="both"/>
        <w:rPr>
          <w:rFonts w:ascii="Arial" w:hAnsi="Arial" w:cs="Arial"/>
          <w:b/>
          <w:bCs/>
          <w:sz w:val="24"/>
          <w:szCs w:val="24"/>
        </w:rPr>
      </w:pPr>
    </w:p>
    <w:p w14:paraId="327703B9" w14:textId="2754AE56" w:rsidR="00983791" w:rsidRPr="00C63186" w:rsidRDefault="00983791" w:rsidP="00983791">
      <w:pPr>
        <w:shd w:val="clear" w:color="auto" w:fill="FFFFFF"/>
        <w:spacing w:after="0"/>
        <w:jc w:val="both"/>
        <w:rPr>
          <w:rFonts w:ascii="Arial" w:hAnsi="Arial" w:cs="Arial"/>
          <w:sz w:val="24"/>
          <w:szCs w:val="24"/>
        </w:rPr>
      </w:pPr>
      <w:r w:rsidRPr="00C63186">
        <w:rPr>
          <w:rFonts w:ascii="Arial" w:hAnsi="Arial" w:cs="Arial"/>
          <w:b/>
          <w:sz w:val="24"/>
          <w:szCs w:val="24"/>
        </w:rPr>
        <w:t xml:space="preserve">Nota Especial </w:t>
      </w:r>
      <w:r>
        <w:rPr>
          <w:rFonts w:ascii="Arial" w:hAnsi="Arial" w:cs="Arial"/>
          <w:b/>
          <w:sz w:val="24"/>
          <w:szCs w:val="24"/>
        </w:rPr>
        <w:t>1</w:t>
      </w:r>
      <w:r w:rsidRPr="00C63186">
        <w:rPr>
          <w:rFonts w:ascii="Arial" w:hAnsi="Arial" w:cs="Arial"/>
          <w:b/>
          <w:sz w:val="24"/>
          <w:szCs w:val="24"/>
        </w:rPr>
        <w:t xml:space="preserve">: </w:t>
      </w:r>
      <w:r w:rsidRPr="00C63186">
        <w:rPr>
          <w:rFonts w:ascii="Arial" w:hAnsi="Arial" w:cs="Arial"/>
          <w:sz w:val="24"/>
          <w:szCs w:val="24"/>
        </w:rPr>
        <w:t xml:space="preserve">Al momento de efectuar la entrega y recibo de activos que hacen parte del proyecto cofinanciado y para efectos de contabilizar el porcentaje de copropiedad de </w:t>
      </w:r>
      <w:r w:rsidRPr="00C63186">
        <w:rPr>
          <w:rFonts w:ascii="Arial" w:hAnsi="Arial" w:cs="Arial"/>
          <w:sz w:val="24"/>
          <w:szCs w:val="24"/>
        </w:rPr>
        <w:lastRenderedPageBreak/>
        <w:t>la infraestructura construida, la empresa realizará un inventario digital de</w:t>
      </w:r>
      <w:r>
        <w:rPr>
          <w:rFonts w:ascii="Arial" w:hAnsi="Arial" w:cs="Arial"/>
          <w:sz w:val="24"/>
          <w:szCs w:val="24"/>
        </w:rPr>
        <w:t xml:space="preserve">l sistema de distribución </w:t>
      </w:r>
      <w:r w:rsidRPr="00C63186">
        <w:rPr>
          <w:rFonts w:ascii="Arial" w:hAnsi="Arial" w:cs="Arial"/>
          <w:sz w:val="24"/>
          <w:szCs w:val="24"/>
        </w:rPr>
        <w:t>en el momento de su puesta en operación.</w:t>
      </w:r>
    </w:p>
    <w:p w14:paraId="6E3BB713" w14:textId="77777777" w:rsidR="00A65C1C" w:rsidRDefault="00A65C1C" w:rsidP="00B03685">
      <w:pPr>
        <w:shd w:val="clear" w:color="auto" w:fill="FFFFFF" w:themeFill="background1"/>
        <w:spacing w:after="0"/>
        <w:jc w:val="both"/>
        <w:rPr>
          <w:rFonts w:ascii="Arial" w:hAnsi="Arial" w:cs="Arial"/>
          <w:sz w:val="24"/>
          <w:szCs w:val="24"/>
        </w:rPr>
      </w:pPr>
    </w:p>
    <w:p w14:paraId="638DCD8A" w14:textId="5895C451" w:rsidR="00A65C1C" w:rsidRDefault="00765D45" w:rsidP="00E27C56">
      <w:pPr>
        <w:pStyle w:val="Ttulo5"/>
        <w:spacing w:before="0"/>
        <w:ind w:left="1008" w:hanging="1008"/>
      </w:pPr>
      <w:bookmarkStart w:id="114" w:name="_Toc205496204"/>
      <w:bookmarkStart w:id="115" w:name="_Toc224844345"/>
      <w:r>
        <w:rPr>
          <w:bCs/>
        </w:rPr>
        <w:t>II-7.</w:t>
      </w:r>
      <w:r w:rsidR="00983791">
        <w:rPr>
          <w:bCs/>
        </w:rPr>
        <w:t>7</w:t>
      </w:r>
      <w:r w:rsidR="00305165" w:rsidRPr="00305165">
        <w:rPr>
          <w:bCs/>
        </w:rPr>
        <w:t xml:space="preserve"> </w:t>
      </w:r>
      <w:r w:rsidR="00A65C1C" w:rsidRPr="00305165">
        <w:t xml:space="preserve">Enajenación de la participación de la copropiedad </w:t>
      </w:r>
      <w:bookmarkEnd w:id="114"/>
      <w:r w:rsidR="00A65C1C" w:rsidRPr="00305165">
        <w:t>de La Nación</w:t>
      </w:r>
      <w:bookmarkEnd w:id="115"/>
      <w:r w:rsidR="00A65C1C" w:rsidRPr="00305165">
        <w:t xml:space="preserve"> </w:t>
      </w:r>
    </w:p>
    <w:p w14:paraId="66C36BD3" w14:textId="77777777" w:rsidR="007061FC" w:rsidRPr="007061FC" w:rsidRDefault="007061FC" w:rsidP="00E27C56">
      <w:pPr>
        <w:spacing w:after="0"/>
      </w:pPr>
    </w:p>
    <w:p w14:paraId="4043E92B" w14:textId="3CD1F982" w:rsidR="00A65C1C" w:rsidRDefault="00A65C1C" w:rsidP="00983791">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Cuando la empresa copropietaria de los activos cofinanciados con recursos del </w:t>
      </w:r>
      <w:r>
        <w:rPr>
          <w:rFonts w:ascii="Arial" w:hAnsi="Arial" w:cs="Arial"/>
          <w:sz w:val="24"/>
          <w:szCs w:val="24"/>
        </w:rPr>
        <w:t xml:space="preserve">FONENERGÍA </w:t>
      </w:r>
      <w:r w:rsidRPr="00C63186">
        <w:rPr>
          <w:rFonts w:ascii="Arial" w:hAnsi="Arial" w:cs="Arial"/>
          <w:sz w:val="24"/>
          <w:szCs w:val="24"/>
        </w:rPr>
        <w:t xml:space="preserve">decida enajenar su participación, deberá obtener concepto previo favorable del FONENERGÍA en su calidad de copropietario, quien verificará: (i) que el nuevo prestador del servicio cumpla con las mismas condiciones con las cuales fue elegido el prestador inicial, (ii) la preservación de la garantía de continuidad del mismo, (iii) el cumplimiento de las obligaciones derivadas del convenio de cofinanciación </w:t>
      </w:r>
      <w:r w:rsidR="00983791">
        <w:rPr>
          <w:rFonts w:ascii="Arial" w:hAnsi="Arial" w:cs="Arial"/>
          <w:sz w:val="24"/>
          <w:szCs w:val="24"/>
        </w:rPr>
        <w:t>o del Contrato Especial de Aporte.</w:t>
      </w:r>
    </w:p>
    <w:p w14:paraId="4E8B2671" w14:textId="77777777" w:rsidR="00983791" w:rsidRPr="00C63186" w:rsidRDefault="00983791" w:rsidP="00983791">
      <w:pPr>
        <w:shd w:val="clear" w:color="auto" w:fill="FFFFFF" w:themeFill="background1"/>
        <w:spacing w:after="0"/>
        <w:jc w:val="both"/>
        <w:rPr>
          <w:rFonts w:ascii="Arial" w:hAnsi="Arial" w:cs="Arial"/>
          <w:sz w:val="24"/>
          <w:szCs w:val="24"/>
        </w:rPr>
      </w:pPr>
    </w:p>
    <w:p w14:paraId="45012878" w14:textId="4339A4A4" w:rsidR="00A65C1C" w:rsidRDefault="00765D45" w:rsidP="00E27C56">
      <w:pPr>
        <w:pStyle w:val="Ttulo5"/>
        <w:spacing w:before="0"/>
        <w:jc w:val="both"/>
      </w:pPr>
      <w:bookmarkStart w:id="116" w:name="_Toc205496205"/>
      <w:bookmarkStart w:id="117" w:name="_Toc224844346"/>
      <w:r>
        <w:rPr>
          <w:bCs/>
        </w:rPr>
        <w:t>II-</w:t>
      </w:r>
      <w:r w:rsidR="00506DEA" w:rsidRPr="00506DEA">
        <w:rPr>
          <w:bCs/>
        </w:rPr>
        <w:t>7.</w:t>
      </w:r>
      <w:r w:rsidR="00E27C56">
        <w:rPr>
          <w:bCs/>
        </w:rPr>
        <w:t>8</w:t>
      </w:r>
      <w:r w:rsidR="00506DEA" w:rsidRPr="00506DEA">
        <w:rPr>
          <w:bCs/>
        </w:rPr>
        <w:t xml:space="preserve"> </w:t>
      </w:r>
      <w:r w:rsidR="00A65C1C" w:rsidRPr="00506DEA">
        <w:t>Verificación de la aplicación del aporte de la Nación al cargo de distribución - Gas.</w:t>
      </w:r>
      <w:bookmarkEnd w:id="116"/>
      <w:bookmarkEnd w:id="117"/>
      <w:r w:rsidR="00A65C1C" w:rsidRPr="00506DEA">
        <w:t xml:space="preserve"> </w:t>
      </w:r>
    </w:p>
    <w:p w14:paraId="63ACB315" w14:textId="77777777" w:rsidR="007061FC" w:rsidRPr="007061FC" w:rsidRDefault="007061FC" w:rsidP="00E27C56">
      <w:pPr>
        <w:spacing w:after="0"/>
      </w:pPr>
    </w:p>
    <w:p w14:paraId="587A4E5F"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De conformidad con lo establecido en el numeral 7.7 de la Resolución CREG 011 de 2003 o la norma que la modifique o sustituya, la condición que deben cumplir los cargos de distribución se indica en la siguiente expresión:</w:t>
      </w:r>
    </w:p>
    <w:p w14:paraId="671D76FD" w14:textId="77777777" w:rsidR="00A65C1C" w:rsidRPr="00C63186" w:rsidRDefault="00A65C1C" w:rsidP="00B03685">
      <w:pPr>
        <w:shd w:val="clear" w:color="auto" w:fill="FFFFFF"/>
        <w:spacing w:after="0"/>
        <w:jc w:val="both"/>
        <w:rPr>
          <w:rFonts w:ascii="Arial" w:hAnsi="Arial" w:cs="Arial"/>
          <w:b/>
        </w:rPr>
      </w:pPr>
    </w:p>
    <w:p w14:paraId="706AB800" w14:textId="77777777" w:rsidR="00A65C1C" w:rsidRPr="00C63186" w:rsidRDefault="00000000" w:rsidP="00B03685">
      <w:pPr>
        <w:shd w:val="clear" w:color="auto" w:fill="FFFFFF"/>
        <w:spacing w:after="0"/>
        <w:ind w:left="150"/>
        <w:jc w:val="center"/>
        <w:rPr>
          <w:rFonts w:ascii="Arial" w:hAnsi="Arial" w:cs="Arial"/>
        </w:rPr>
      </w:pPr>
      <m:oMathPara>
        <m:oMath>
          <m:f>
            <m:fPr>
              <m:ctrlPr>
                <w:rPr>
                  <w:rFonts w:ascii="Cambria Math" w:eastAsia="Calibri" w:hAnsi="Cambria Math" w:cs="Arial"/>
                  <w:i/>
                  <w:sz w:val="24"/>
                  <w:szCs w:val="24"/>
                </w:rPr>
              </m:ctrlPr>
            </m:fPr>
            <m:num>
              <m:nary>
                <m:naryPr>
                  <m:chr m:val="∑"/>
                  <m:limLoc m:val="undOvr"/>
                  <m:ctrlPr>
                    <w:rPr>
                      <w:rFonts w:ascii="Cambria Math" w:eastAsia="Calibri"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eastAsia="Calibri"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m:t>
                      </m:r>
                    </m:sub>
                  </m:sSub>
                  <m:sSub>
                    <m:sSubPr>
                      <m:ctrlPr>
                        <w:rPr>
                          <w:rFonts w:ascii="Cambria Math" w:eastAsia="Calibri"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j(m-3)</m:t>
                      </m:r>
                    </m:sub>
                  </m:sSub>
                </m:e>
              </m:nary>
            </m:num>
            <m:den>
              <m:nary>
                <m:naryPr>
                  <m:chr m:val="∑"/>
                  <m:limLoc m:val="undOvr"/>
                  <m:ctrlPr>
                    <w:rPr>
                      <w:rFonts w:ascii="Cambria Math" w:eastAsia="Calibri"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eastAsia="Calibri"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j(m-3)</m:t>
                      </m:r>
                    </m:sub>
                  </m:sSub>
                </m:e>
              </m:nary>
            </m:den>
          </m:f>
          <m:r>
            <w:rPr>
              <w:rFonts w:ascii="Cambria Math" w:hAnsi="Cambria Math" w:cs="Arial"/>
              <w:sz w:val="24"/>
              <w:szCs w:val="24"/>
            </w:rPr>
            <m:t>≤</m:t>
          </m:r>
          <m:sSub>
            <m:sSubPr>
              <m:ctrlPr>
                <w:rPr>
                  <w:rFonts w:ascii="Cambria Math" w:eastAsia="Calibri"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m</m:t>
              </m:r>
            </m:sub>
          </m:sSub>
        </m:oMath>
      </m:oMathPara>
    </w:p>
    <w:p w14:paraId="4921CE03" w14:textId="77777777" w:rsidR="00A65C1C" w:rsidRPr="00C63186" w:rsidRDefault="00A65C1C" w:rsidP="00B03685">
      <w:pPr>
        <w:shd w:val="clear" w:color="auto" w:fill="FFFFFF"/>
        <w:spacing w:after="0"/>
        <w:rPr>
          <w:rFonts w:ascii="Arial" w:hAnsi="Arial" w:cs="Arial"/>
          <w:sz w:val="24"/>
          <w:szCs w:val="24"/>
        </w:rPr>
      </w:pPr>
      <w:r w:rsidRPr="00C63186">
        <w:rPr>
          <w:rFonts w:ascii="Arial" w:hAnsi="Arial" w:cs="Arial"/>
          <w:sz w:val="24"/>
          <w:szCs w:val="24"/>
        </w:rPr>
        <w:t>Dónde:</w:t>
      </w:r>
    </w:p>
    <w:p w14:paraId="30E9263A" w14:textId="77777777" w:rsidR="00A65C1C" w:rsidRPr="00C63186" w:rsidRDefault="00A65C1C" w:rsidP="00B03685">
      <w:pPr>
        <w:shd w:val="clear" w:color="auto" w:fill="FFFFFF"/>
        <w:spacing w:after="0"/>
        <w:jc w:val="both"/>
        <w:rPr>
          <w:rFonts w:ascii="Arial" w:hAnsi="Arial" w:cs="Arial"/>
          <w:sz w:val="24"/>
          <w:szCs w:val="24"/>
        </w:rPr>
      </w:pPr>
    </w:p>
    <w:p w14:paraId="7B6C5070" w14:textId="77777777" w:rsidR="00A65C1C" w:rsidRPr="00C63186" w:rsidRDefault="00A65C1C" w:rsidP="00B03685">
      <w:pPr>
        <w:shd w:val="clear" w:color="auto" w:fill="FFFFFF"/>
        <w:spacing w:after="0"/>
        <w:jc w:val="both"/>
        <w:rPr>
          <w:rFonts w:ascii="Arial" w:hAnsi="Arial" w:cs="Arial"/>
          <w:i/>
          <w:sz w:val="24"/>
          <w:szCs w:val="24"/>
        </w:rPr>
      </w:pPr>
      <w:r w:rsidRPr="00C63186">
        <w:rPr>
          <w:rFonts w:ascii="Arial" w:hAnsi="Arial" w:cs="Arial"/>
          <w:b/>
          <w:i/>
          <w:sz w:val="24"/>
          <w:szCs w:val="24"/>
        </w:rPr>
        <w:t xml:space="preserve"> j =</w:t>
      </w:r>
      <w:r w:rsidRPr="00C63186">
        <w:rPr>
          <w:rFonts w:ascii="Arial" w:hAnsi="Arial" w:cs="Arial"/>
          <w:i/>
          <w:sz w:val="24"/>
          <w:szCs w:val="24"/>
        </w:rPr>
        <w:t xml:space="preserve"> rango de consumo.</w:t>
      </w:r>
    </w:p>
    <w:p w14:paraId="0556E2EF" w14:textId="77777777" w:rsidR="00A65C1C" w:rsidRPr="00C63186" w:rsidRDefault="00A65C1C" w:rsidP="00B03685">
      <w:pPr>
        <w:shd w:val="clear" w:color="auto" w:fill="FFFFFF"/>
        <w:spacing w:after="0"/>
        <w:jc w:val="both"/>
        <w:rPr>
          <w:rFonts w:ascii="Arial" w:hAnsi="Arial" w:cs="Arial"/>
          <w:b/>
          <w:i/>
          <w:sz w:val="24"/>
          <w:szCs w:val="24"/>
        </w:rPr>
      </w:pPr>
    </w:p>
    <w:p w14:paraId="714CA33E" w14:textId="77777777" w:rsidR="00A65C1C" w:rsidRPr="00C63186" w:rsidRDefault="00A65C1C" w:rsidP="00B03685">
      <w:pPr>
        <w:shd w:val="clear" w:color="auto" w:fill="FFFFFF"/>
        <w:spacing w:after="0"/>
        <w:jc w:val="both"/>
        <w:rPr>
          <w:rFonts w:ascii="Arial" w:hAnsi="Arial" w:cs="Arial"/>
          <w:i/>
          <w:sz w:val="24"/>
          <w:szCs w:val="24"/>
        </w:rPr>
      </w:pPr>
      <w:r w:rsidRPr="00C63186">
        <w:rPr>
          <w:rFonts w:ascii="Arial" w:hAnsi="Arial" w:cs="Arial"/>
          <w:b/>
          <w:i/>
          <w:sz w:val="24"/>
          <w:szCs w:val="24"/>
        </w:rPr>
        <w:t>M =</w:t>
      </w:r>
      <w:r w:rsidRPr="00C63186">
        <w:rPr>
          <w:rFonts w:ascii="Arial" w:hAnsi="Arial" w:cs="Arial"/>
          <w:i/>
          <w:sz w:val="24"/>
          <w:szCs w:val="24"/>
        </w:rPr>
        <w:t xml:space="preserve"> mes m.</w:t>
      </w:r>
    </w:p>
    <w:p w14:paraId="241F791C" w14:textId="77777777" w:rsidR="00A65C1C" w:rsidRPr="00C63186" w:rsidRDefault="00A65C1C" w:rsidP="00B03685">
      <w:pPr>
        <w:shd w:val="clear" w:color="auto" w:fill="FFFFFF"/>
        <w:spacing w:after="0"/>
        <w:jc w:val="both"/>
        <w:rPr>
          <w:rFonts w:ascii="Arial" w:hAnsi="Arial" w:cs="Arial"/>
          <w:b/>
          <w:i/>
          <w:sz w:val="24"/>
          <w:szCs w:val="24"/>
        </w:rPr>
      </w:pPr>
    </w:p>
    <w:p w14:paraId="6675FD1D" w14:textId="77777777" w:rsidR="00A65C1C" w:rsidRPr="00C63186" w:rsidRDefault="00A65C1C" w:rsidP="00B03685">
      <w:pPr>
        <w:shd w:val="clear" w:color="auto" w:fill="FFFFFF"/>
        <w:spacing w:after="0"/>
        <w:jc w:val="both"/>
        <w:rPr>
          <w:rFonts w:ascii="Arial" w:hAnsi="Arial" w:cs="Arial"/>
          <w:i/>
          <w:sz w:val="24"/>
          <w:szCs w:val="24"/>
        </w:rPr>
      </w:pPr>
      <w:r w:rsidRPr="4622A9B7">
        <w:rPr>
          <w:rFonts w:ascii="Arial" w:hAnsi="Arial" w:cs="Arial"/>
          <w:b/>
          <w:bCs/>
          <w:i/>
          <w:iCs/>
          <w:sz w:val="24"/>
          <w:szCs w:val="24"/>
        </w:rPr>
        <w:t>Q</w:t>
      </w:r>
      <w:r w:rsidRPr="4622A9B7">
        <w:rPr>
          <w:rFonts w:ascii="Arial" w:hAnsi="Arial" w:cs="Arial"/>
          <w:b/>
          <w:bCs/>
          <w:i/>
          <w:iCs/>
          <w:sz w:val="24"/>
          <w:szCs w:val="24"/>
          <w:vertAlign w:val="subscript"/>
        </w:rPr>
        <w:t xml:space="preserve">j (m-3) </w:t>
      </w:r>
      <w:r w:rsidRPr="4622A9B7">
        <w:rPr>
          <w:rFonts w:ascii="Arial" w:hAnsi="Arial" w:cs="Arial"/>
          <w:b/>
          <w:bCs/>
          <w:i/>
          <w:iCs/>
          <w:sz w:val="24"/>
          <w:szCs w:val="24"/>
        </w:rPr>
        <w:t>=</w:t>
      </w:r>
      <w:r w:rsidRPr="4622A9B7">
        <w:rPr>
          <w:rFonts w:ascii="Arial" w:hAnsi="Arial" w:cs="Arial"/>
          <w:i/>
          <w:iCs/>
          <w:sz w:val="24"/>
          <w:szCs w:val="24"/>
        </w:rPr>
        <w:t xml:space="preserve"> Consumo total de los usuarios del rango j de consumo, durante el trimestre anterior al mes m</w:t>
      </w:r>
      <w:r w:rsidRPr="4622A9B7">
        <w:rPr>
          <w:rStyle w:val="Refdenotaalpie"/>
          <w:rFonts w:ascii="Arial" w:hAnsi="Arial" w:cs="Arial"/>
          <w:i/>
          <w:iCs/>
          <w:sz w:val="24"/>
          <w:szCs w:val="24"/>
        </w:rPr>
        <w:footnoteReference w:id="34"/>
      </w:r>
      <w:r w:rsidRPr="4622A9B7">
        <w:rPr>
          <w:rFonts w:ascii="Arial" w:hAnsi="Arial" w:cs="Arial"/>
          <w:i/>
          <w:iCs/>
          <w:sz w:val="24"/>
          <w:szCs w:val="24"/>
        </w:rPr>
        <w:t>.</w:t>
      </w:r>
    </w:p>
    <w:p w14:paraId="577C287C" w14:textId="77777777" w:rsidR="00A65C1C" w:rsidRPr="00C63186" w:rsidRDefault="00A65C1C" w:rsidP="00B03685">
      <w:pPr>
        <w:shd w:val="clear" w:color="auto" w:fill="FFFFFF"/>
        <w:spacing w:after="0"/>
        <w:jc w:val="both"/>
        <w:rPr>
          <w:rFonts w:ascii="Arial" w:hAnsi="Arial" w:cs="Arial"/>
          <w:b/>
          <w:i/>
          <w:sz w:val="24"/>
          <w:szCs w:val="24"/>
        </w:rPr>
      </w:pPr>
    </w:p>
    <w:p w14:paraId="512A0CEA" w14:textId="77777777" w:rsidR="00A65C1C" w:rsidRPr="00C63186" w:rsidRDefault="00A65C1C" w:rsidP="00B03685">
      <w:pPr>
        <w:shd w:val="clear" w:color="auto" w:fill="FFFFFF"/>
        <w:spacing w:after="0"/>
        <w:jc w:val="both"/>
        <w:rPr>
          <w:rFonts w:ascii="Arial" w:hAnsi="Arial" w:cs="Arial"/>
          <w:i/>
          <w:sz w:val="24"/>
          <w:szCs w:val="24"/>
        </w:rPr>
      </w:pPr>
      <w:r w:rsidRPr="00C63186">
        <w:rPr>
          <w:rFonts w:ascii="Arial" w:hAnsi="Arial" w:cs="Arial"/>
          <w:b/>
          <w:i/>
          <w:sz w:val="24"/>
          <w:szCs w:val="24"/>
        </w:rPr>
        <w:t>D</w:t>
      </w:r>
      <w:r w:rsidRPr="00C63186">
        <w:rPr>
          <w:rFonts w:ascii="Arial" w:hAnsi="Arial" w:cs="Arial"/>
          <w:b/>
          <w:i/>
          <w:sz w:val="24"/>
          <w:szCs w:val="24"/>
          <w:vertAlign w:val="subscript"/>
        </w:rPr>
        <w:t xml:space="preserve">jm </w:t>
      </w:r>
      <w:r w:rsidRPr="00C63186">
        <w:rPr>
          <w:rFonts w:ascii="Arial" w:hAnsi="Arial" w:cs="Arial"/>
          <w:b/>
          <w:i/>
          <w:sz w:val="24"/>
          <w:szCs w:val="24"/>
        </w:rPr>
        <w:t>=</w:t>
      </w:r>
      <w:r w:rsidRPr="00C63186">
        <w:rPr>
          <w:rFonts w:ascii="Arial" w:hAnsi="Arial" w:cs="Arial"/>
          <w:i/>
          <w:sz w:val="24"/>
          <w:szCs w:val="24"/>
        </w:rPr>
        <w:t xml:space="preserve"> Cargo de distribución definido por el distribuidor aplicable en el mes m a los usuarios del rango j de consumo.</w:t>
      </w:r>
    </w:p>
    <w:p w14:paraId="553E4E1D" w14:textId="77777777" w:rsidR="00A65C1C" w:rsidRPr="00C63186" w:rsidRDefault="00A65C1C" w:rsidP="00B03685">
      <w:pPr>
        <w:shd w:val="clear" w:color="auto" w:fill="FFFFFF"/>
        <w:spacing w:after="0"/>
        <w:jc w:val="both"/>
        <w:rPr>
          <w:rFonts w:ascii="Arial" w:hAnsi="Arial" w:cs="Arial"/>
          <w:b/>
          <w:i/>
          <w:sz w:val="24"/>
          <w:szCs w:val="24"/>
        </w:rPr>
      </w:pPr>
    </w:p>
    <w:p w14:paraId="524797F5" w14:textId="77777777" w:rsidR="00A65C1C" w:rsidRPr="00C63186" w:rsidRDefault="00A65C1C" w:rsidP="00B03685">
      <w:pPr>
        <w:shd w:val="clear" w:color="auto" w:fill="FFFFFF"/>
        <w:spacing w:after="0"/>
        <w:jc w:val="both"/>
        <w:rPr>
          <w:rFonts w:ascii="Arial" w:hAnsi="Arial" w:cs="Arial"/>
          <w:i/>
          <w:sz w:val="24"/>
          <w:szCs w:val="24"/>
        </w:rPr>
      </w:pPr>
      <w:r w:rsidRPr="00C63186">
        <w:rPr>
          <w:rFonts w:ascii="Arial" w:hAnsi="Arial" w:cs="Arial"/>
          <w:b/>
          <w:i/>
          <w:sz w:val="24"/>
          <w:szCs w:val="24"/>
        </w:rPr>
        <w:t>D</w:t>
      </w:r>
      <w:r w:rsidRPr="00C63186">
        <w:rPr>
          <w:rFonts w:ascii="Arial" w:hAnsi="Arial" w:cs="Arial"/>
          <w:b/>
          <w:i/>
          <w:sz w:val="24"/>
          <w:szCs w:val="24"/>
          <w:vertAlign w:val="subscript"/>
        </w:rPr>
        <w:t xml:space="preserve">m </w:t>
      </w:r>
      <w:r w:rsidRPr="00C63186">
        <w:rPr>
          <w:rFonts w:ascii="Arial" w:hAnsi="Arial" w:cs="Arial"/>
          <w:b/>
          <w:i/>
          <w:sz w:val="24"/>
          <w:szCs w:val="24"/>
        </w:rPr>
        <w:t>=</w:t>
      </w:r>
      <w:r w:rsidRPr="00C63186">
        <w:rPr>
          <w:rFonts w:ascii="Arial" w:hAnsi="Arial" w:cs="Arial"/>
          <w:i/>
          <w:sz w:val="24"/>
          <w:szCs w:val="24"/>
        </w:rPr>
        <w:t xml:space="preserve"> Cargo promedio de distribución definido por la CREG para el mercado relevante aplicable en el mes m.</w:t>
      </w:r>
    </w:p>
    <w:p w14:paraId="1F9D81A6" w14:textId="77777777" w:rsidR="00A65C1C" w:rsidRPr="00C63186" w:rsidRDefault="00A65C1C" w:rsidP="00B03685">
      <w:pPr>
        <w:shd w:val="clear" w:color="auto" w:fill="FFFFFF" w:themeFill="background1"/>
        <w:spacing w:after="0"/>
        <w:jc w:val="both"/>
        <w:rPr>
          <w:rFonts w:ascii="Arial" w:hAnsi="Arial" w:cs="Arial"/>
          <w:sz w:val="24"/>
          <w:szCs w:val="24"/>
        </w:rPr>
      </w:pPr>
    </w:p>
    <w:p w14:paraId="78838981" w14:textId="77777777" w:rsidR="00A65C1C" w:rsidRPr="00C63186" w:rsidRDefault="00A65C1C" w:rsidP="00B03685">
      <w:pPr>
        <w:shd w:val="clear" w:color="auto" w:fill="FFFFFF" w:themeFill="background1"/>
        <w:spacing w:after="0"/>
        <w:ind w:firstLine="1"/>
        <w:jc w:val="both"/>
        <w:rPr>
          <w:rFonts w:ascii="Arial" w:hAnsi="Arial" w:cs="Arial"/>
          <w:b/>
          <w:bCs/>
          <w:sz w:val="24"/>
          <w:szCs w:val="24"/>
        </w:rPr>
      </w:pPr>
      <w:r w:rsidRPr="00C63186">
        <w:rPr>
          <w:rFonts w:ascii="Arial" w:hAnsi="Arial" w:cs="Arial"/>
          <w:sz w:val="24"/>
          <w:szCs w:val="24"/>
        </w:rPr>
        <w:t xml:space="preserve">Con base en lo anterior, la empresa establecerá mensualmente el cargo de acuerdo con los aportes del </w:t>
      </w:r>
      <w:r>
        <w:rPr>
          <w:rFonts w:ascii="Arial" w:hAnsi="Arial" w:cs="Arial"/>
          <w:sz w:val="24"/>
          <w:szCs w:val="24"/>
        </w:rPr>
        <w:t>FONENERGÍA</w:t>
      </w:r>
      <w:r w:rsidRPr="00C63186">
        <w:rPr>
          <w:rFonts w:ascii="Arial" w:hAnsi="Arial" w:cs="Arial"/>
          <w:sz w:val="24"/>
          <w:szCs w:val="24"/>
        </w:rPr>
        <w:t xml:space="preserve"> y/o otras fuentes de financiación, establecidos en la resolución tarifaria particular. Dicho cargo debe cumplir la condición de no superar el ingreso medio que se muestra en la expresión arriba señalada.</w:t>
      </w:r>
    </w:p>
    <w:p w14:paraId="693F0FA6" w14:textId="77777777" w:rsidR="00A65C1C" w:rsidRPr="00C63186" w:rsidRDefault="00A65C1C" w:rsidP="00B03685">
      <w:pPr>
        <w:shd w:val="clear" w:color="auto" w:fill="FFFFFF" w:themeFill="background1"/>
        <w:spacing w:after="0"/>
        <w:jc w:val="both"/>
        <w:rPr>
          <w:rFonts w:ascii="Arial" w:hAnsi="Arial" w:cs="Arial"/>
          <w:b/>
          <w:bCs/>
        </w:rPr>
      </w:pPr>
    </w:p>
    <w:p w14:paraId="334841D3" w14:textId="0A572FC4"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b/>
          <w:bCs/>
          <w:sz w:val="24"/>
          <w:szCs w:val="24"/>
        </w:rPr>
        <w:t xml:space="preserve">Nota Especial </w:t>
      </w:r>
      <w:r w:rsidR="00E27C56">
        <w:rPr>
          <w:rFonts w:ascii="Arial" w:hAnsi="Arial" w:cs="Arial"/>
          <w:b/>
          <w:bCs/>
          <w:sz w:val="24"/>
          <w:szCs w:val="24"/>
        </w:rPr>
        <w:t>2</w:t>
      </w:r>
      <w:r w:rsidRPr="00C63186">
        <w:rPr>
          <w:rFonts w:ascii="Arial" w:hAnsi="Arial" w:cs="Arial"/>
          <w:b/>
          <w:bCs/>
          <w:sz w:val="24"/>
          <w:szCs w:val="24"/>
        </w:rPr>
        <w:t xml:space="preserve">: </w:t>
      </w:r>
      <w:r w:rsidRPr="00C63186">
        <w:rPr>
          <w:rFonts w:ascii="Arial" w:hAnsi="Arial" w:cs="Arial"/>
          <w:sz w:val="24"/>
          <w:szCs w:val="24"/>
        </w:rPr>
        <w:t xml:space="preserve">El cargo de distribución con los aportes de la Nación debe ser informado expresamente a los usuarios a través de las publicaciones tarifarias y/o facturas del servicio. En caso de que la empresa prestadora del servicio público no aplique el cargo de distribución con los aportes de la Nación o lo aplique indebidamente, el FONENERGÍA </w:t>
      </w:r>
      <w:r w:rsidRPr="00C63186">
        <w:rPr>
          <w:rFonts w:ascii="Arial" w:hAnsi="Arial" w:cs="Arial"/>
          <w:sz w:val="24"/>
          <w:szCs w:val="24"/>
        </w:rPr>
        <w:lastRenderedPageBreak/>
        <w:t>informará a la Superintendencia de Servicios Públicos Domiciliarios – SSPD para lo de su competencia.</w:t>
      </w:r>
    </w:p>
    <w:p w14:paraId="7612126B" w14:textId="77777777" w:rsidR="00A65C1C" w:rsidRPr="00C63186" w:rsidRDefault="00A65C1C" w:rsidP="00B03685">
      <w:pPr>
        <w:shd w:val="clear" w:color="auto" w:fill="FFFFFF"/>
        <w:spacing w:after="0"/>
        <w:jc w:val="both"/>
        <w:rPr>
          <w:rFonts w:ascii="Arial" w:hAnsi="Arial" w:cs="Arial"/>
          <w:sz w:val="24"/>
          <w:szCs w:val="24"/>
        </w:rPr>
      </w:pPr>
    </w:p>
    <w:p w14:paraId="2E5979C0" w14:textId="47A97A35" w:rsidR="00A65C1C" w:rsidRPr="00C63186" w:rsidRDefault="00A65C1C" w:rsidP="00E27C56">
      <w:pPr>
        <w:shd w:val="clear" w:color="auto" w:fill="FFFFFF"/>
        <w:spacing w:after="0"/>
        <w:jc w:val="both"/>
        <w:rPr>
          <w:rFonts w:ascii="Arial" w:hAnsi="Arial" w:cs="Arial"/>
          <w:sz w:val="24"/>
          <w:szCs w:val="24"/>
        </w:rPr>
      </w:pPr>
      <w:r w:rsidRPr="00C63186">
        <w:rPr>
          <w:rFonts w:ascii="Arial" w:hAnsi="Arial" w:cs="Arial"/>
          <w:b/>
          <w:sz w:val="24"/>
          <w:szCs w:val="24"/>
        </w:rPr>
        <w:t xml:space="preserve">Nota Especial </w:t>
      </w:r>
      <w:r w:rsidR="00E27C56">
        <w:rPr>
          <w:rFonts w:ascii="Arial" w:hAnsi="Arial" w:cs="Arial"/>
          <w:b/>
          <w:sz w:val="24"/>
          <w:szCs w:val="24"/>
        </w:rPr>
        <w:t>3</w:t>
      </w:r>
      <w:r w:rsidRPr="00C63186">
        <w:rPr>
          <w:rFonts w:ascii="Arial" w:hAnsi="Arial" w:cs="Arial"/>
          <w:b/>
          <w:sz w:val="24"/>
          <w:szCs w:val="24"/>
        </w:rPr>
        <w:t xml:space="preserve">: </w:t>
      </w:r>
      <w:r w:rsidRPr="00C63186">
        <w:rPr>
          <w:rFonts w:ascii="Arial" w:hAnsi="Arial" w:cs="Arial"/>
          <w:sz w:val="24"/>
          <w:szCs w:val="24"/>
        </w:rPr>
        <w:t>La metodología de aplicación de los aportes de la Nación deberá modificarse cuando así lo disponga la Comisión de Regulación de Energía y Gas – CREG en el marco regulatorio de la actividad correspondiente.</w:t>
      </w:r>
    </w:p>
    <w:p w14:paraId="18169038" w14:textId="77777777" w:rsidR="00765D45" w:rsidRDefault="00765D45" w:rsidP="00E27C56">
      <w:pPr>
        <w:spacing w:after="0"/>
        <w:jc w:val="both"/>
        <w:rPr>
          <w:rFonts w:ascii="Arial" w:hAnsi="Arial" w:cs="Arial"/>
          <w:b/>
          <w:bCs/>
          <w:sz w:val="24"/>
          <w:szCs w:val="24"/>
        </w:rPr>
      </w:pPr>
      <w:bookmarkStart w:id="118" w:name="_Toc205496206"/>
    </w:p>
    <w:p w14:paraId="71DBB0C0" w14:textId="4DA01CB8" w:rsidR="00A65C1C" w:rsidRDefault="00765D45" w:rsidP="00E27C56">
      <w:pPr>
        <w:pStyle w:val="Ttulo5"/>
        <w:spacing w:before="0"/>
        <w:ind w:left="1008" w:hanging="1008"/>
      </w:pPr>
      <w:bookmarkStart w:id="119" w:name="_Toc224844351"/>
      <w:bookmarkEnd w:id="118"/>
      <w:r>
        <w:rPr>
          <w:bCs/>
        </w:rPr>
        <w:t>II-</w:t>
      </w:r>
      <w:r w:rsidR="00727A78" w:rsidRPr="00727A78">
        <w:rPr>
          <w:bCs/>
        </w:rPr>
        <w:t>7.</w:t>
      </w:r>
      <w:r w:rsidR="00E27C56">
        <w:rPr>
          <w:bCs/>
        </w:rPr>
        <w:t>9</w:t>
      </w:r>
      <w:r w:rsidR="00727A78">
        <w:t xml:space="preserve"> </w:t>
      </w:r>
      <w:r w:rsidR="00A65C1C" w:rsidRPr="00727A78">
        <w:t>Activos para prestación del servicio de gas combustible por redes</w:t>
      </w:r>
      <w:bookmarkEnd w:id="119"/>
    </w:p>
    <w:p w14:paraId="2B5610B5" w14:textId="77777777" w:rsidR="00A06B02" w:rsidRPr="00A06B02" w:rsidRDefault="00A06B02" w:rsidP="00E27C56">
      <w:pPr>
        <w:spacing w:after="0"/>
      </w:pPr>
    </w:p>
    <w:p w14:paraId="24711D76" w14:textId="77777777" w:rsidR="00A65C1C" w:rsidRPr="00C63186" w:rsidRDefault="00A65C1C"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Una vez suscrito el contrato especial de que trata el numeral 39.3 del artículo 39 de la Ley 142 de 1994, la empresa ejecutora que haya llevado a cabo la construcción del sistema de distribución cofinanciado con recursos del FONENERGÍA, tendrá la obligación de adelantar la prestación del servicio de distribución y comercialización de gas combustible por redes a los usuarios del mercado relevante correspondiente. </w:t>
      </w:r>
    </w:p>
    <w:p w14:paraId="2283EC3F" w14:textId="77777777" w:rsidR="00A65C1C" w:rsidRPr="00C63186" w:rsidRDefault="00A65C1C" w:rsidP="00B03685">
      <w:pPr>
        <w:shd w:val="clear" w:color="auto" w:fill="FFFFFF" w:themeFill="background1"/>
        <w:spacing w:after="0"/>
        <w:jc w:val="both"/>
        <w:rPr>
          <w:rFonts w:ascii="Arial" w:hAnsi="Arial" w:cs="Arial"/>
          <w:sz w:val="24"/>
          <w:szCs w:val="24"/>
        </w:rPr>
      </w:pPr>
    </w:p>
    <w:p w14:paraId="3A0ADF17" w14:textId="77777777" w:rsidR="00A65C1C" w:rsidRPr="00C63186" w:rsidRDefault="00A65C1C" w:rsidP="00B03685">
      <w:pPr>
        <w:shd w:val="clear" w:color="auto" w:fill="FFFFFF" w:themeFill="background1"/>
        <w:spacing w:after="0"/>
        <w:jc w:val="both"/>
        <w:rPr>
          <w:rFonts w:ascii="Helvetica" w:eastAsia="Helvetica" w:hAnsi="Helvetica" w:cs="Helvetica"/>
          <w:color w:val="000000" w:themeColor="text1"/>
          <w:sz w:val="24"/>
          <w:szCs w:val="24"/>
        </w:rPr>
      </w:pPr>
      <w:r w:rsidRPr="54B2E939">
        <w:rPr>
          <w:rFonts w:ascii="Helvetica" w:eastAsia="Helvetica" w:hAnsi="Helvetica" w:cs="Helvetica"/>
          <w:sz w:val="24"/>
          <w:szCs w:val="24"/>
        </w:rPr>
        <w:t>Esto se adelantará bajo los términos estipulados en el derecho privado, tal y como lo estipula el parágrafo del artículo 39 de la Ley 142 de 1994. Así mismo, el prestador del servicio recibe</w:t>
      </w:r>
      <w:r w:rsidRPr="54B2E939">
        <w:rPr>
          <w:rFonts w:ascii="Helvetica" w:eastAsia="Helvetica" w:hAnsi="Helvetica" w:cs="Helvetica"/>
          <w:b/>
          <w:bCs/>
          <w:sz w:val="24"/>
          <w:szCs w:val="24"/>
        </w:rPr>
        <w:t xml:space="preserve"> </w:t>
      </w:r>
      <w:r w:rsidRPr="54B2E939">
        <w:rPr>
          <w:rFonts w:ascii="Helvetica" w:eastAsia="Helvetica" w:hAnsi="Helvetica" w:cs="Helvetica"/>
          <w:sz w:val="24"/>
          <w:szCs w:val="24"/>
        </w:rPr>
        <w:t xml:space="preserve">el uso y goce de la Infraestructura en aplicación de la figura de aporte bajo condición, en los términos del artículo 87.9 de la Ley 142 de 1994, modificado por el artículo 8 del Decreto Legislativo 819 de 2020, hasta la terminación del plazo del Contrato, para prestar los servicios directamente. </w:t>
      </w:r>
      <w:r w:rsidRPr="54B2E939">
        <w:rPr>
          <w:rFonts w:ascii="Helvetica" w:eastAsia="Helvetica" w:hAnsi="Helvetica" w:cs="Helvetica"/>
          <w:color w:val="000000" w:themeColor="text1"/>
          <w:sz w:val="24"/>
          <w:szCs w:val="24"/>
        </w:rPr>
        <w:t>Por lo que, se prohíbe la contratación derivada o ceder el contrato sin el consentimiento expreso y escrito del Ministerio de Minas y Energía.</w:t>
      </w:r>
    </w:p>
    <w:p w14:paraId="4E1D43A8" w14:textId="77777777" w:rsidR="00A65C1C" w:rsidRPr="00C63186" w:rsidRDefault="00A65C1C" w:rsidP="00B03685">
      <w:pPr>
        <w:shd w:val="clear" w:color="auto" w:fill="FFFFFF" w:themeFill="background1"/>
        <w:spacing w:after="0"/>
        <w:jc w:val="both"/>
        <w:rPr>
          <w:rFonts w:ascii="Helvetica" w:eastAsia="Helvetica" w:hAnsi="Helvetica" w:cs="Helvetica"/>
          <w:sz w:val="24"/>
          <w:szCs w:val="24"/>
        </w:rPr>
      </w:pPr>
      <w:r w:rsidRPr="54B2E939">
        <w:rPr>
          <w:rFonts w:ascii="Helvetica" w:eastAsia="Helvetica" w:hAnsi="Helvetica" w:cs="Helvetica"/>
          <w:sz w:val="24"/>
          <w:szCs w:val="24"/>
        </w:rPr>
        <w:t xml:space="preserve"> </w:t>
      </w:r>
    </w:p>
    <w:p w14:paraId="53B956C0" w14:textId="77777777" w:rsidR="00A65C1C" w:rsidRPr="00C63186" w:rsidRDefault="00A65C1C" w:rsidP="00B03685">
      <w:pPr>
        <w:shd w:val="clear" w:color="auto" w:fill="FFFFFF" w:themeFill="background1"/>
        <w:spacing w:after="0"/>
        <w:jc w:val="both"/>
        <w:rPr>
          <w:rFonts w:ascii="Helvetica" w:eastAsia="Helvetica" w:hAnsi="Helvetica" w:cs="Helvetica"/>
          <w:sz w:val="24"/>
          <w:szCs w:val="24"/>
        </w:rPr>
      </w:pPr>
      <w:r w:rsidRPr="54B2E939">
        <w:rPr>
          <w:rFonts w:ascii="Helvetica" w:eastAsia="Helvetica" w:hAnsi="Helvetica" w:cs="Helvetica"/>
          <w:sz w:val="24"/>
          <w:szCs w:val="24"/>
          <w:lang w:val="es"/>
        </w:rPr>
        <w:t xml:space="preserve">El prestador del servicio deberá asegurar con sus propios recursos y bajo su propio riesgo, </w:t>
      </w:r>
      <w:r w:rsidRPr="54B2E939">
        <w:rPr>
          <w:rFonts w:ascii="Helvetica" w:eastAsia="Helvetica" w:hAnsi="Helvetica" w:cs="Helvetica"/>
          <w:sz w:val="24"/>
          <w:szCs w:val="24"/>
        </w:rPr>
        <w:t xml:space="preserve">aquellos activos aportados que sean susceptibles de ello, con las pólizas que requiera el Ministerio de Minas </w:t>
      </w:r>
      <w:r w:rsidRPr="54B2E939">
        <w:rPr>
          <w:rFonts w:ascii="Helvetica" w:eastAsia="Helvetica" w:hAnsi="Helvetica" w:cs="Helvetica"/>
          <w:sz w:val="24"/>
          <w:szCs w:val="24"/>
          <w:lang w:val="es"/>
        </w:rPr>
        <w:t xml:space="preserve">y Energía, en los términos del artículo 1061 del Código de Comercio, y siguiendo los parámetros del Decreto 1082 de 2015 </w:t>
      </w:r>
      <w:r w:rsidRPr="54B2E939">
        <w:rPr>
          <w:rFonts w:ascii="Helvetica" w:eastAsia="Helvetica" w:hAnsi="Helvetica" w:cs="Helvetica"/>
          <w:sz w:val="24"/>
          <w:szCs w:val="24"/>
        </w:rPr>
        <w:t>y las normas que lo complementen, modifiquen, sustituyan o desarrollen.</w:t>
      </w:r>
    </w:p>
    <w:p w14:paraId="0841F1F9" w14:textId="77777777" w:rsidR="00A65C1C" w:rsidRPr="00C63186" w:rsidRDefault="00A65C1C" w:rsidP="00B03685">
      <w:pPr>
        <w:shd w:val="clear" w:color="auto" w:fill="FFFFFF" w:themeFill="background1"/>
        <w:spacing w:after="0"/>
        <w:jc w:val="both"/>
        <w:rPr>
          <w:rFonts w:ascii="Helvetica" w:eastAsia="Helvetica" w:hAnsi="Helvetica" w:cs="Helvetica"/>
          <w:sz w:val="24"/>
          <w:szCs w:val="24"/>
        </w:rPr>
      </w:pPr>
      <w:r w:rsidRPr="54B2E939">
        <w:rPr>
          <w:rFonts w:ascii="Helvetica" w:eastAsia="Helvetica" w:hAnsi="Helvetica" w:cs="Helvetica"/>
          <w:sz w:val="24"/>
          <w:szCs w:val="24"/>
        </w:rPr>
        <w:t xml:space="preserve"> </w:t>
      </w:r>
    </w:p>
    <w:p w14:paraId="64EC9859" w14:textId="77777777" w:rsidR="00A65C1C" w:rsidRPr="00C63186" w:rsidRDefault="00A65C1C" w:rsidP="00E27C56">
      <w:pPr>
        <w:shd w:val="clear" w:color="auto" w:fill="FFFFFF" w:themeFill="background1"/>
        <w:spacing w:after="0"/>
        <w:jc w:val="both"/>
        <w:rPr>
          <w:rFonts w:ascii="Helvetica" w:eastAsia="Helvetica" w:hAnsi="Helvetica" w:cs="Helvetica"/>
          <w:sz w:val="24"/>
          <w:szCs w:val="24"/>
        </w:rPr>
      </w:pPr>
      <w:r w:rsidRPr="54B2E939">
        <w:rPr>
          <w:rFonts w:ascii="Helvetica" w:eastAsia="Helvetica" w:hAnsi="Helvetica" w:cs="Helvetica"/>
          <w:sz w:val="24"/>
          <w:szCs w:val="24"/>
        </w:rPr>
        <w:t>Para la ejecución de la AOM se tendrán en cuenta las causales de inhabilidad e incompatibilidad de las que hace referencia al artículo 110 de la Ley 142 de 1993, reglamentado por el Decreto Nacional 3243 de 2004 y demás normas complementarias.</w:t>
      </w:r>
    </w:p>
    <w:p w14:paraId="639D85B1" w14:textId="77777777" w:rsidR="00A65C1C" w:rsidRDefault="00A65C1C" w:rsidP="00E27C56">
      <w:pPr>
        <w:spacing w:after="0"/>
      </w:pPr>
    </w:p>
    <w:p w14:paraId="0F86CC58" w14:textId="5A09B9F2" w:rsidR="00A65C1C" w:rsidRDefault="00765D45" w:rsidP="00E27C56">
      <w:pPr>
        <w:pStyle w:val="Ttulo6"/>
        <w:spacing w:before="0"/>
        <w:ind w:left="1152" w:hanging="1152"/>
      </w:pPr>
      <w:r>
        <w:rPr>
          <w:bCs/>
        </w:rPr>
        <w:t>II-</w:t>
      </w:r>
      <w:r w:rsidR="00F30884" w:rsidRPr="00F30884">
        <w:rPr>
          <w:bCs/>
        </w:rPr>
        <w:t>7.</w:t>
      </w:r>
      <w:r w:rsidR="00E27C56">
        <w:rPr>
          <w:bCs/>
        </w:rPr>
        <w:t>9</w:t>
      </w:r>
      <w:r w:rsidR="00F30884" w:rsidRPr="00F30884">
        <w:rPr>
          <w:bCs/>
        </w:rPr>
        <w:t>.</w:t>
      </w:r>
      <w:r w:rsidR="00BF2044">
        <w:rPr>
          <w:bCs/>
        </w:rPr>
        <w:t>1</w:t>
      </w:r>
      <w:r w:rsidR="00F30884" w:rsidRPr="00F30884">
        <w:rPr>
          <w:bCs/>
        </w:rPr>
        <w:t xml:space="preserve"> </w:t>
      </w:r>
      <w:r w:rsidR="00A65C1C" w:rsidRPr="00F30884">
        <w:t xml:space="preserve">Del incumplimiento en la prestación del servicio público. </w:t>
      </w:r>
    </w:p>
    <w:p w14:paraId="62EB7879" w14:textId="77777777" w:rsidR="00A06B02" w:rsidRPr="00A06B02" w:rsidRDefault="00A06B02" w:rsidP="00E27C56">
      <w:pPr>
        <w:spacing w:after="0"/>
      </w:pPr>
    </w:p>
    <w:p w14:paraId="415A145A" w14:textId="77777777" w:rsidR="00A65C1C" w:rsidRPr="001656C7" w:rsidRDefault="00A65C1C" w:rsidP="00B03685">
      <w:pPr>
        <w:shd w:val="clear" w:color="auto" w:fill="FFFFFF" w:themeFill="background1"/>
        <w:spacing w:after="0"/>
        <w:jc w:val="both"/>
        <w:rPr>
          <w:rFonts w:ascii="Arial" w:hAnsi="Arial" w:cs="Arial"/>
          <w:sz w:val="24"/>
          <w:szCs w:val="24"/>
        </w:rPr>
      </w:pPr>
      <w:r w:rsidRPr="001656C7">
        <w:rPr>
          <w:rFonts w:ascii="Arial" w:hAnsi="Arial" w:cs="Arial"/>
          <w:sz w:val="24"/>
          <w:szCs w:val="24"/>
        </w:rPr>
        <w:t>Cuando la Superintendencia de Servicios Públicos Domiciliarios – SSPD, en el marco de sus funciones y competencias determine que existe un incumplimiento de las obligaciones adquiridas por parte de las empresas prestadoras de servicios públicos domiciliarios de gas combustible, remitirá al FONENERGÍA copia del acto administrativo ejecutoriado mediante el cual se impone la sanción a la empresa prestadora del servicio.</w:t>
      </w:r>
    </w:p>
    <w:p w14:paraId="37CB8601" w14:textId="77777777" w:rsidR="00A65C1C" w:rsidRPr="001656C7" w:rsidRDefault="00A65C1C" w:rsidP="00B03685">
      <w:pPr>
        <w:shd w:val="clear" w:color="auto" w:fill="FFFFFF" w:themeFill="background1"/>
        <w:spacing w:after="0"/>
        <w:jc w:val="both"/>
        <w:rPr>
          <w:rFonts w:ascii="Arial" w:hAnsi="Arial" w:cs="Arial"/>
          <w:sz w:val="24"/>
          <w:szCs w:val="24"/>
        </w:rPr>
      </w:pPr>
    </w:p>
    <w:p w14:paraId="15E0AEE1" w14:textId="7FD11C78" w:rsidR="00A65C1C" w:rsidRPr="001656C7" w:rsidRDefault="00A65C1C" w:rsidP="00B03685">
      <w:pPr>
        <w:shd w:val="clear" w:color="auto" w:fill="FFFFFF" w:themeFill="background1"/>
        <w:spacing w:after="0"/>
        <w:jc w:val="both"/>
        <w:rPr>
          <w:rFonts w:ascii="Arial" w:hAnsi="Arial" w:cs="Arial"/>
          <w:sz w:val="24"/>
          <w:szCs w:val="24"/>
        </w:rPr>
      </w:pPr>
      <w:r w:rsidRPr="00F30884">
        <w:rPr>
          <w:rFonts w:ascii="Arial" w:hAnsi="Arial" w:cs="Arial"/>
          <w:b/>
          <w:sz w:val="24"/>
          <w:szCs w:val="24"/>
        </w:rPr>
        <w:t>Nota Especial</w:t>
      </w:r>
      <w:r w:rsidR="00BF2044">
        <w:rPr>
          <w:rFonts w:ascii="Arial" w:hAnsi="Arial" w:cs="Arial"/>
          <w:b/>
          <w:bCs/>
          <w:sz w:val="24"/>
          <w:szCs w:val="24"/>
        </w:rPr>
        <w:t xml:space="preserve"> </w:t>
      </w:r>
      <w:r w:rsidR="00E27C56">
        <w:rPr>
          <w:rFonts w:ascii="Arial" w:hAnsi="Arial" w:cs="Arial"/>
          <w:b/>
          <w:bCs/>
          <w:sz w:val="24"/>
          <w:szCs w:val="24"/>
        </w:rPr>
        <w:t>4</w:t>
      </w:r>
      <w:r w:rsidRPr="00F30884">
        <w:rPr>
          <w:rFonts w:ascii="Arial" w:hAnsi="Arial" w:cs="Arial"/>
          <w:b/>
          <w:sz w:val="24"/>
          <w:szCs w:val="24"/>
        </w:rPr>
        <w:t>:</w:t>
      </w:r>
      <w:r w:rsidRPr="00F30884">
        <w:rPr>
          <w:rFonts w:ascii="Arial" w:hAnsi="Arial" w:cs="Arial"/>
          <w:sz w:val="24"/>
          <w:szCs w:val="24"/>
        </w:rPr>
        <w:t xml:space="preserve"> </w:t>
      </w:r>
      <w:r w:rsidRPr="001656C7">
        <w:rPr>
          <w:rFonts w:ascii="Arial" w:hAnsi="Arial" w:cs="Arial"/>
          <w:sz w:val="24"/>
          <w:szCs w:val="24"/>
        </w:rPr>
        <w:t>Una vez recibido el acto administrativo sancionatorio ejecutoriado de que trata el presente artículo, con miras a garantizar la prestación efectiva del servicio público domiciliario de gas combustible por redes, el FONENERGÍA podrá determinar la necesidad de iniciar el procedimiento consagrado en los artículos 61 y subsiguientes de la Ley 388 de 1997.</w:t>
      </w:r>
    </w:p>
    <w:p w14:paraId="381DE053" w14:textId="77777777" w:rsidR="00F30884" w:rsidRDefault="00F30884">
      <w:pPr>
        <w:spacing w:after="0" w:line="240" w:lineRule="auto"/>
      </w:pPr>
    </w:p>
    <w:p w14:paraId="3154BBE3" w14:textId="32402E32" w:rsidR="00F73793" w:rsidRDefault="004E24DC">
      <w:pPr>
        <w:spacing w:after="0" w:line="240" w:lineRule="auto"/>
      </w:pPr>
      <w:r>
        <w:br w:type="page"/>
      </w:r>
    </w:p>
    <w:p w14:paraId="6338FA5F" w14:textId="77777777" w:rsidR="00F73793" w:rsidRDefault="00F73793">
      <w:pPr>
        <w:spacing w:after="0" w:line="240" w:lineRule="auto"/>
      </w:pPr>
    </w:p>
    <w:p w14:paraId="3814FEC2" w14:textId="47549050" w:rsidR="00A65C1C" w:rsidRPr="00B67968" w:rsidRDefault="00872C67" w:rsidP="00E268D4">
      <w:pPr>
        <w:pStyle w:val="Ttulo1"/>
        <w:ind w:left="432" w:hanging="432"/>
        <w:rPr>
          <w:lang w:val="pt-PT"/>
        </w:rPr>
      </w:pPr>
      <w:bookmarkStart w:id="120" w:name="_Toc224844352"/>
      <w:r w:rsidRPr="00B67968">
        <w:rPr>
          <w:lang w:val="pt-PT"/>
        </w:rPr>
        <w:t>TÍTULO III</w:t>
      </w:r>
      <w:bookmarkEnd w:id="120"/>
    </w:p>
    <w:p w14:paraId="40F515CA" w14:textId="68BF03E7" w:rsidR="00872C67" w:rsidRPr="00B67968" w:rsidRDefault="00872C67" w:rsidP="00E268D4">
      <w:pPr>
        <w:pStyle w:val="Ttulo2"/>
        <w:ind w:left="576" w:hanging="576"/>
        <w:jc w:val="center"/>
        <w:rPr>
          <w:lang w:val="pt-PT"/>
        </w:rPr>
      </w:pPr>
      <w:bookmarkStart w:id="121" w:name="_Toc224844353"/>
      <w:r w:rsidRPr="00B67968">
        <w:rPr>
          <w:lang w:val="pt-PT"/>
        </w:rPr>
        <w:t>ENERGÍA ELÉCTRICA</w:t>
      </w:r>
      <w:bookmarkEnd w:id="121"/>
    </w:p>
    <w:p w14:paraId="1CE4FFB8" w14:textId="77777777" w:rsidR="00A06B02" w:rsidRPr="00E27C56" w:rsidRDefault="00A06B02" w:rsidP="00A06B02">
      <w:pPr>
        <w:rPr>
          <w:rFonts w:ascii="Arial" w:hAnsi="Arial" w:cs="Arial"/>
          <w:sz w:val="24"/>
          <w:szCs w:val="24"/>
          <w:lang w:val="pt-PT"/>
        </w:rPr>
      </w:pPr>
    </w:p>
    <w:p w14:paraId="6EEB1F89" w14:textId="6E072D45" w:rsidR="00CB6595" w:rsidRPr="00B67968" w:rsidRDefault="009C1341" w:rsidP="00E268D4">
      <w:pPr>
        <w:pStyle w:val="Ttulo3"/>
        <w:ind w:left="720" w:hanging="720"/>
        <w:jc w:val="center"/>
        <w:rPr>
          <w:lang w:val="pt-PT"/>
        </w:rPr>
      </w:pPr>
      <w:bookmarkStart w:id="122" w:name="_Toc224844354"/>
      <w:r w:rsidRPr="00B67968">
        <w:rPr>
          <w:lang w:val="pt-PT"/>
        </w:rPr>
        <w:t xml:space="preserve">CAPÍTULO </w:t>
      </w:r>
      <w:r w:rsidR="00174BF2" w:rsidRPr="00B67968">
        <w:rPr>
          <w:lang w:val="pt-PT"/>
        </w:rPr>
        <w:t>I</w:t>
      </w:r>
      <w:bookmarkEnd w:id="122"/>
    </w:p>
    <w:p w14:paraId="4DBE11EF" w14:textId="51FB846F" w:rsidR="00D0716D" w:rsidRPr="00B03685" w:rsidRDefault="00D0716D" w:rsidP="00A06B02">
      <w:pPr>
        <w:pStyle w:val="Ttulo4"/>
        <w:ind w:left="864" w:hanging="864"/>
        <w:jc w:val="center"/>
      </w:pPr>
      <w:bookmarkStart w:id="123" w:name="_Toc224844355"/>
      <w:r w:rsidRPr="00B03685">
        <w:t xml:space="preserve">CONSIDERACIONES </w:t>
      </w:r>
      <w:r w:rsidR="0069124E">
        <w:rPr>
          <w:bCs/>
        </w:rPr>
        <w:t>PREVIAS</w:t>
      </w:r>
      <w:bookmarkEnd w:id="123"/>
    </w:p>
    <w:p w14:paraId="4ED5BE3E" w14:textId="77777777" w:rsidR="00D0716D" w:rsidRDefault="00D0716D" w:rsidP="00B03685">
      <w:pPr>
        <w:shd w:val="clear" w:color="auto" w:fill="FFFFFF" w:themeFill="background1"/>
        <w:spacing w:after="0"/>
        <w:jc w:val="both"/>
        <w:rPr>
          <w:rFonts w:ascii="Arial" w:eastAsia="Times New Roman" w:hAnsi="Arial" w:cs="Arial"/>
          <w:sz w:val="24"/>
          <w:szCs w:val="24"/>
          <w:lang w:eastAsia="es-CO"/>
        </w:rPr>
      </w:pPr>
    </w:p>
    <w:p w14:paraId="1533CA8B" w14:textId="0D3F420E" w:rsidR="00D14A6B" w:rsidRDefault="2464D60A" w:rsidP="00B03685">
      <w:pPr>
        <w:shd w:val="clear" w:color="auto" w:fill="FFFFFF" w:themeFill="background1"/>
        <w:spacing w:after="0"/>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t>Los planes, programas y/o proyectos eléctricos que se pretendan adelantar en el Sistema Interconectado Nacional-SIN o en las Zonas No Interconectadas-ZNI, que se presenten ante el Comité de Administración del FONENERGÍA para asignación de recursos, deberán atender las siguientes condiciones:</w:t>
      </w:r>
    </w:p>
    <w:p w14:paraId="121D4E72" w14:textId="259858A0" w:rsidR="2464D60A" w:rsidRDefault="2464D60A" w:rsidP="008E39FD">
      <w:pPr>
        <w:shd w:val="clear" w:color="auto" w:fill="FFFFFF" w:themeFill="background1"/>
        <w:spacing w:beforeAutospacing="1" w:afterAutospacing="1"/>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t>a) Los planes estarán conformados por programas y/o proyectos de construcción en nueva infraestructura eléctrica, de reposición, rehabilitación o mejoramiento de la existente, incluyendo elementos que sean necesarios para la generación, transporte, distribución, uso racional y eficiente de energía y suministro de energía eléctrica al usuario final, así como su conexión, medición e instalaciones internas</w:t>
      </w:r>
      <w:r w:rsidR="59EA8DC0" w:rsidRPr="719E25F3">
        <w:rPr>
          <w:rFonts w:ascii="Arial" w:eastAsia="Times New Roman" w:hAnsi="Arial" w:cs="Arial"/>
          <w:sz w:val="24"/>
          <w:szCs w:val="24"/>
          <w:lang w:eastAsia="es-CO"/>
        </w:rPr>
        <w:t xml:space="preserve"> </w:t>
      </w:r>
      <w:r w:rsidR="71190AE9" w:rsidRPr="719E25F3">
        <w:rPr>
          <w:rFonts w:ascii="Arial" w:eastAsia="Times New Roman" w:hAnsi="Arial" w:cs="Arial"/>
          <w:sz w:val="24"/>
          <w:szCs w:val="24"/>
          <w:lang w:eastAsia="es-CO"/>
        </w:rPr>
        <w:t>para el caso de proyectos de ampliación de cobertura</w:t>
      </w:r>
      <w:r w:rsidR="69D27C00" w:rsidRPr="719E25F3">
        <w:rPr>
          <w:rFonts w:ascii="Arial" w:eastAsia="Times New Roman" w:hAnsi="Arial" w:cs="Arial"/>
          <w:sz w:val="24"/>
          <w:szCs w:val="24"/>
          <w:lang w:eastAsia="es-CO"/>
        </w:rPr>
        <w:t>.</w:t>
      </w:r>
    </w:p>
    <w:p w14:paraId="7EEDE64C" w14:textId="72A95DFE" w:rsidR="00D14A6B" w:rsidRPr="00C63186" w:rsidRDefault="2464D60A" w:rsidP="008E39FD">
      <w:pPr>
        <w:shd w:val="clear" w:color="auto" w:fill="FFFFFF"/>
        <w:spacing w:before="100" w:beforeAutospacing="1" w:after="100" w:afterAutospacing="1"/>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t>b) Dentro de los recursos financieros a solicitar para la implementación de los proyectos de inversión se incluirán los costos de construcción, instalación, reposición y/o rehabilitación de activos aptos para la prestación del servicio de energí</w:t>
      </w:r>
      <w:r w:rsidR="4F53A3E2" w:rsidRPr="719E25F3">
        <w:rPr>
          <w:rFonts w:ascii="Arial" w:eastAsia="Times New Roman" w:hAnsi="Arial" w:cs="Arial"/>
          <w:sz w:val="24"/>
          <w:szCs w:val="24"/>
          <w:lang w:eastAsia="es-CO"/>
        </w:rPr>
        <w:t>a</w:t>
      </w:r>
      <w:r w:rsidRPr="719E25F3">
        <w:rPr>
          <w:rFonts w:ascii="Arial" w:eastAsia="Times New Roman" w:hAnsi="Arial" w:cs="Arial"/>
          <w:sz w:val="24"/>
          <w:szCs w:val="24"/>
          <w:lang w:eastAsia="es-CO"/>
        </w:rPr>
        <w:t xml:space="preserve">, así como las interventorías a que haya lugar y los costos de administración de los recursos en que incurran aquellas entidades seleccionadas cuando se implementen los proyectos por medio de </w:t>
      </w:r>
      <w:r w:rsidRPr="007746A2">
        <w:rPr>
          <w:rFonts w:ascii="Arial" w:eastAsia="Times New Roman" w:hAnsi="Arial" w:cs="Arial"/>
          <w:sz w:val="24"/>
          <w:szCs w:val="24"/>
          <w:highlight w:val="yellow"/>
          <w:lang w:eastAsia="es-CO"/>
        </w:rPr>
        <w:t>administraciones delegadas</w:t>
      </w:r>
      <w:r w:rsidRPr="719E25F3">
        <w:rPr>
          <w:rFonts w:ascii="Arial" w:eastAsia="Times New Roman" w:hAnsi="Arial" w:cs="Arial"/>
          <w:sz w:val="24"/>
          <w:szCs w:val="24"/>
          <w:lang w:eastAsia="es-CO"/>
        </w:rPr>
        <w:t xml:space="preserve">. </w:t>
      </w:r>
    </w:p>
    <w:p w14:paraId="07A8ED78" w14:textId="77777777" w:rsidR="00D14A6B" w:rsidRPr="00C63186" w:rsidRDefault="2464D60A" w:rsidP="008E39FD">
      <w:pPr>
        <w:shd w:val="clear" w:color="auto" w:fill="FFFFFF"/>
        <w:spacing w:before="100" w:beforeAutospacing="1" w:after="100" w:afterAutospacing="1"/>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t>c) Los proyectos de rehabilitación o recuperación de la capacidad nominal de plantas de generación o de redes de subtransmisión o de distribución serán financiados solamente si se demuestra que dicho costo es inferior al costo de realizar la inversión en activos nuevos, tomando como referencia su vida útil remanente y la inherente depreciación.</w:t>
      </w:r>
    </w:p>
    <w:p w14:paraId="76AAD1CF" w14:textId="77777777" w:rsidR="00D14A6B" w:rsidRPr="00C63186" w:rsidRDefault="2464D60A" w:rsidP="008E39FD">
      <w:pPr>
        <w:shd w:val="clear" w:color="auto" w:fill="FFFFFF" w:themeFill="background1"/>
        <w:spacing w:before="100" w:beforeAutospacing="1" w:after="100" w:afterAutospacing="1"/>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t>d) En aquellos casos de falla total e irrecuperable en la prestación del servicio público domiciliario de energía eléctrica cuya responsabilidad no sea atribuible a los prestadores del servicio, con el fin de solucionar la situación, el Comité de Administración ordenará i) la estructuración de proyectos o ii) la invitación a presentar los mismos a interesados en general. En el segundo caso la entidad territorial afectada, el prestador del servicio correspondiente, o el Instituto de Planificación y Promoción de Soluciones Energéticas para las Zonas No Interconectadas – IPSE o quien haga sus veces, podrán presentar los proyectos;</w:t>
      </w:r>
    </w:p>
    <w:p w14:paraId="123FDB67" w14:textId="2220E6C8" w:rsidR="00D14A6B" w:rsidRPr="00C63186" w:rsidRDefault="5C9EFAC0" w:rsidP="008E39FD">
      <w:pPr>
        <w:shd w:val="clear" w:color="auto" w:fill="FFFFFF" w:themeFill="background1"/>
        <w:spacing w:before="100" w:beforeAutospacing="1" w:after="100" w:afterAutospacing="1"/>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t>e</w:t>
      </w:r>
      <w:r w:rsidR="2464D60A" w:rsidRPr="719E25F3">
        <w:rPr>
          <w:rFonts w:ascii="Arial" w:eastAsia="Times New Roman" w:hAnsi="Arial" w:cs="Arial"/>
          <w:sz w:val="24"/>
          <w:szCs w:val="24"/>
          <w:lang w:eastAsia="es-CO"/>
        </w:rPr>
        <w:t>) Los proyectos de innovación tecnológica para el uso de Fuentes No Convencionales de Energía Renovable</w:t>
      </w:r>
      <w:r w:rsidR="4945D9BA" w:rsidRPr="719E25F3">
        <w:rPr>
          <w:rFonts w:ascii="Arial" w:eastAsia="Times New Roman" w:hAnsi="Arial" w:cs="Arial"/>
          <w:sz w:val="24"/>
          <w:szCs w:val="24"/>
          <w:lang w:eastAsia="es-CO"/>
        </w:rPr>
        <w:t xml:space="preserve"> – </w:t>
      </w:r>
      <w:r w:rsidR="2464D60A" w:rsidRPr="719E25F3">
        <w:rPr>
          <w:rFonts w:ascii="Arial" w:eastAsia="Times New Roman" w:hAnsi="Arial" w:cs="Arial"/>
          <w:sz w:val="24"/>
          <w:szCs w:val="24"/>
          <w:lang w:eastAsia="es-CO"/>
        </w:rPr>
        <w:t>FNCER</w:t>
      </w:r>
      <w:r w:rsidR="4945D9BA" w:rsidRPr="719E25F3">
        <w:rPr>
          <w:rFonts w:ascii="Arial" w:eastAsia="Times New Roman" w:hAnsi="Arial" w:cs="Arial"/>
          <w:sz w:val="24"/>
          <w:szCs w:val="24"/>
          <w:lang w:eastAsia="es-CO"/>
        </w:rPr>
        <w:t xml:space="preserve"> </w:t>
      </w:r>
      <w:r w:rsidR="2464D60A" w:rsidRPr="719E25F3">
        <w:rPr>
          <w:rFonts w:ascii="Arial" w:eastAsia="Times New Roman" w:hAnsi="Arial" w:cs="Arial"/>
          <w:sz w:val="24"/>
          <w:szCs w:val="24"/>
          <w:lang w:eastAsia="es-CO"/>
        </w:rPr>
        <w:t>que se presenten, deberán beneficiar directamente la prestación del servicio en la localidad donde se implemente el proyecto o a la comunidad energética interesada</w:t>
      </w:r>
      <w:r w:rsidR="1B1A1B94" w:rsidRPr="719E25F3">
        <w:rPr>
          <w:rFonts w:ascii="Arial" w:eastAsia="Times New Roman" w:hAnsi="Arial" w:cs="Arial"/>
          <w:sz w:val="24"/>
          <w:szCs w:val="24"/>
          <w:lang w:eastAsia="es-CO"/>
        </w:rPr>
        <w:t>.</w:t>
      </w:r>
      <w:r w:rsidR="2464D60A" w:rsidRPr="719E25F3">
        <w:rPr>
          <w:rFonts w:ascii="Arial" w:eastAsia="Times New Roman" w:hAnsi="Arial" w:cs="Arial"/>
          <w:sz w:val="24"/>
          <w:szCs w:val="24"/>
          <w:lang w:eastAsia="es-CO"/>
        </w:rPr>
        <w:t xml:space="preserve"> </w:t>
      </w:r>
      <w:r w:rsidR="1B1A1B94" w:rsidRPr="719E25F3">
        <w:rPr>
          <w:rFonts w:ascii="Arial" w:eastAsia="Times New Roman" w:hAnsi="Arial" w:cs="Arial"/>
          <w:sz w:val="24"/>
          <w:szCs w:val="24"/>
          <w:lang w:eastAsia="es-CO"/>
        </w:rPr>
        <w:t>Aunado a lo anterior,</w:t>
      </w:r>
      <w:r w:rsidR="2464D60A" w:rsidRPr="719E25F3">
        <w:rPr>
          <w:rFonts w:ascii="Arial" w:eastAsia="Times New Roman" w:hAnsi="Arial" w:cs="Arial"/>
          <w:sz w:val="24"/>
          <w:szCs w:val="24"/>
          <w:lang w:eastAsia="es-CO"/>
        </w:rPr>
        <w:t xml:space="preserve"> podrán beneficiar indirectamente aquellas localidades o comunidades energéticas cercanas que no se encuentran interconectadas al SIN</w:t>
      </w:r>
      <w:r w:rsidR="1B1A1B94" w:rsidRPr="719E25F3">
        <w:rPr>
          <w:rFonts w:ascii="Arial" w:eastAsia="Times New Roman" w:hAnsi="Arial" w:cs="Arial"/>
          <w:sz w:val="24"/>
          <w:szCs w:val="24"/>
          <w:lang w:eastAsia="es-CO"/>
        </w:rPr>
        <w:t>.</w:t>
      </w:r>
    </w:p>
    <w:p w14:paraId="69DD6A1F" w14:textId="77777777" w:rsidR="00805D5E" w:rsidRDefault="5F25BBAE" w:rsidP="00805D5E">
      <w:pPr>
        <w:shd w:val="clear" w:color="auto" w:fill="FFFFFF" w:themeFill="background1"/>
        <w:spacing w:before="100" w:beforeAutospacing="1" w:after="100" w:afterAutospacing="1"/>
        <w:jc w:val="both"/>
        <w:rPr>
          <w:rFonts w:ascii="Arial" w:eastAsia="Times New Roman" w:hAnsi="Arial" w:cs="Arial"/>
          <w:sz w:val="24"/>
          <w:szCs w:val="24"/>
          <w:lang w:eastAsia="es-CO"/>
        </w:rPr>
      </w:pPr>
      <w:r w:rsidRPr="719E25F3">
        <w:rPr>
          <w:rFonts w:ascii="Arial" w:eastAsia="Times New Roman" w:hAnsi="Arial" w:cs="Arial"/>
          <w:sz w:val="24"/>
          <w:szCs w:val="24"/>
          <w:lang w:eastAsia="es-CO"/>
        </w:rPr>
        <w:lastRenderedPageBreak/>
        <w:t>f</w:t>
      </w:r>
      <w:r w:rsidR="2464D60A" w:rsidRPr="719E25F3">
        <w:rPr>
          <w:rFonts w:ascii="Arial" w:eastAsia="Times New Roman" w:hAnsi="Arial" w:cs="Arial"/>
          <w:sz w:val="24"/>
          <w:szCs w:val="24"/>
          <w:lang w:eastAsia="es-CO"/>
        </w:rPr>
        <w:t>) Aquellos proyectos correspondientes a una misma zona geográfica y que hayan sido presentados por separado para solicitud de recursos del FONENERGÍA, deberán ser integrados en un solo programa de implementación durante la fase de estudio de viabilidad técnica y financiera desarrollada por el Fondo, cuando las condiciones de planeación lo permitan</w:t>
      </w:r>
      <w:r w:rsidR="0D36D371" w:rsidRPr="719E25F3">
        <w:rPr>
          <w:rFonts w:ascii="Arial" w:eastAsia="Times New Roman" w:hAnsi="Arial" w:cs="Arial"/>
          <w:sz w:val="24"/>
          <w:szCs w:val="24"/>
          <w:lang w:eastAsia="es-CO"/>
        </w:rPr>
        <w:t>.</w:t>
      </w:r>
    </w:p>
    <w:p w14:paraId="7F67EE4F" w14:textId="10728522" w:rsidR="00D14A6B" w:rsidRPr="00805D5E" w:rsidRDefault="00805D5E" w:rsidP="00805D5E">
      <w:pPr>
        <w:shd w:val="clear" w:color="auto" w:fill="FFFFFF" w:themeFill="background1"/>
        <w:spacing w:before="100" w:beforeAutospacing="1" w:after="100" w:afterAutospacing="1"/>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g) </w:t>
      </w:r>
      <w:r w:rsidR="2464D60A" w:rsidRPr="00805D5E">
        <w:rPr>
          <w:rFonts w:ascii="Arial" w:hAnsi="Arial" w:cs="Arial"/>
          <w:kern w:val="2"/>
          <w:sz w:val="24"/>
          <w:szCs w:val="24"/>
          <w14:ligatures w14:val="standardContextual"/>
        </w:rPr>
        <w:t>Las Entidades Territoriales podrán presentar proyectos de ampliación de cobertura de energía eléctrica en el Sistema Interconectado Nacional, siempre y cuando cuenten con el Aval técnico y financiero para su ejecución y operación en la etapa de Administración, Operación y Mantenimiento (AOM) por parte del Operador de Red de la zona de influencia del proyecto. Lo mismo aplicará con respecto al prestador del servicio para aquellos proyectos a ejecutar en las Zonas No Interconectadas.</w:t>
      </w:r>
    </w:p>
    <w:p w14:paraId="07B45E40" w14:textId="77777777" w:rsidR="002F68B9" w:rsidRDefault="002F68B9" w:rsidP="00D0716D">
      <w:pPr>
        <w:jc w:val="center"/>
        <w:rPr>
          <w:rFonts w:ascii="Arial" w:hAnsi="Arial" w:cs="Arial"/>
          <w:b/>
          <w:bCs/>
          <w:kern w:val="2"/>
          <w:sz w:val="24"/>
          <w:szCs w:val="24"/>
          <w14:ligatures w14:val="standardContextual"/>
        </w:rPr>
      </w:pPr>
    </w:p>
    <w:p w14:paraId="096EA792" w14:textId="775E85AA" w:rsidR="00D0716D" w:rsidRDefault="00D0716D" w:rsidP="00517B59">
      <w:pPr>
        <w:pStyle w:val="Ttulo3"/>
        <w:ind w:left="720" w:hanging="720"/>
        <w:jc w:val="center"/>
      </w:pPr>
      <w:bookmarkStart w:id="124" w:name="_Toc224844356"/>
      <w:r>
        <w:t xml:space="preserve">CAPÍTULO </w:t>
      </w:r>
      <w:r w:rsidR="00967718">
        <w:t>II</w:t>
      </w:r>
      <w:bookmarkEnd w:id="124"/>
    </w:p>
    <w:p w14:paraId="12A59D14" w14:textId="24741CAE" w:rsidR="00D0716D" w:rsidRDefault="00D0716D" w:rsidP="00517B59">
      <w:pPr>
        <w:pStyle w:val="Ttulo4"/>
        <w:ind w:left="864" w:hanging="864"/>
        <w:jc w:val="center"/>
      </w:pPr>
      <w:bookmarkStart w:id="125" w:name="_Toc224844357"/>
      <w:r>
        <w:t>ESTRUCTURACIÓN</w:t>
      </w:r>
      <w:bookmarkEnd w:id="125"/>
    </w:p>
    <w:p w14:paraId="169D1E2A" w14:textId="77777777" w:rsidR="009E3BC7" w:rsidRPr="009E3BC7" w:rsidRDefault="009E3BC7" w:rsidP="009E3BC7"/>
    <w:p w14:paraId="3AA10F08" w14:textId="7939BF58" w:rsidR="00EC5774" w:rsidRDefault="00745AC3" w:rsidP="00EA249E">
      <w:pPr>
        <w:pStyle w:val="Ttulo5"/>
        <w:spacing w:before="0"/>
        <w:ind w:left="1008" w:hanging="1008"/>
      </w:pPr>
      <w:bookmarkStart w:id="126" w:name="_Ref219378963"/>
      <w:bookmarkStart w:id="127" w:name="_Toc219397266"/>
      <w:bookmarkStart w:id="128" w:name="_Toc224844358"/>
      <w:r w:rsidRPr="00764D04">
        <w:t>III-</w:t>
      </w:r>
      <w:r w:rsidRPr="00764D04">
        <w:rPr>
          <w:bCs/>
        </w:rPr>
        <w:t>2</w:t>
      </w:r>
      <w:r w:rsidR="00764D04" w:rsidRPr="00764D04">
        <w:rPr>
          <w:bCs/>
        </w:rPr>
        <w:t xml:space="preserve">.1 </w:t>
      </w:r>
      <w:r w:rsidR="00EC5774" w:rsidRPr="00764D04">
        <w:rPr>
          <w:bCs/>
        </w:rPr>
        <w:t>Mecanismos</w:t>
      </w:r>
      <w:r w:rsidR="00EC5774" w:rsidRPr="00764D04">
        <w:t xml:space="preserve"> para presentación </w:t>
      </w:r>
      <w:r w:rsidR="17EEB321" w:rsidRPr="00764D04">
        <w:t xml:space="preserve">de </w:t>
      </w:r>
      <w:r w:rsidR="00EC5774" w:rsidRPr="00764D04">
        <w:t>proyectos.</w:t>
      </w:r>
      <w:bookmarkEnd w:id="126"/>
      <w:bookmarkEnd w:id="127"/>
      <w:bookmarkEnd w:id="128"/>
    </w:p>
    <w:p w14:paraId="691725FF" w14:textId="77777777" w:rsidR="009E3BC7" w:rsidRPr="009E3BC7" w:rsidRDefault="009E3BC7" w:rsidP="00EA249E">
      <w:pPr>
        <w:spacing w:after="0"/>
      </w:pPr>
    </w:p>
    <w:p w14:paraId="4FCA7D92" w14:textId="46BC65D8" w:rsidR="00EC5774" w:rsidRPr="00C63186" w:rsidRDefault="00EC5774" w:rsidP="008E39FD">
      <w:pPr>
        <w:tabs>
          <w:tab w:val="left" w:pos="4474"/>
        </w:tabs>
        <w:spacing w:after="0"/>
        <w:jc w:val="both"/>
        <w:rPr>
          <w:rFonts w:ascii="Arial" w:hAnsi="Arial" w:cs="Arial"/>
          <w:sz w:val="24"/>
          <w:szCs w:val="24"/>
        </w:rPr>
      </w:pPr>
      <w:r w:rsidRPr="3B8C8C19">
        <w:rPr>
          <w:rFonts w:ascii="Arial" w:hAnsi="Arial" w:cs="Arial"/>
          <w:sz w:val="24"/>
          <w:szCs w:val="24"/>
        </w:rPr>
        <w:t>Sin perjuicio de la estructuración que realice FONENERGÍA de planes, programas y</w:t>
      </w:r>
      <w:r w:rsidR="20CF582A" w:rsidRPr="3B8C8C19">
        <w:rPr>
          <w:rFonts w:ascii="Arial" w:hAnsi="Arial" w:cs="Arial"/>
          <w:sz w:val="24"/>
          <w:szCs w:val="24"/>
        </w:rPr>
        <w:t>/o</w:t>
      </w:r>
      <w:r w:rsidRPr="3B8C8C19">
        <w:rPr>
          <w:rFonts w:ascii="Arial" w:hAnsi="Arial" w:cs="Arial"/>
          <w:sz w:val="24"/>
          <w:szCs w:val="24"/>
        </w:rPr>
        <w:t xml:space="preserve"> proyectos para la asignación de recursos del Fondo, aquellos para los que se pretendan obtener tales recursos, se podrán presentar por medio de los siguientes mecanismos:</w:t>
      </w:r>
    </w:p>
    <w:p w14:paraId="264037D0" w14:textId="77777777" w:rsidR="00EC5774" w:rsidRPr="00C63186" w:rsidRDefault="00EC5774" w:rsidP="008E39FD">
      <w:pPr>
        <w:tabs>
          <w:tab w:val="left" w:pos="4474"/>
        </w:tabs>
        <w:spacing w:after="0"/>
        <w:jc w:val="both"/>
        <w:rPr>
          <w:rFonts w:ascii="Arial" w:hAnsi="Arial" w:cs="Arial"/>
          <w:sz w:val="24"/>
          <w:szCs w:val="24"/>
        </w:rPr>
      </w:pPr>
    </w:p>
    <w:p w14:paraId="77B6DC73" w14:textId="649A85B7" w:rsidR="00EC5774" w:rsidRPr="00D845F1" w:rsidRDefault="00F1111C" w:rsidP="00517B59">
      <w:pPr>
        <w:pStyle w:val="Ttulo6"/>
        <w:ind w:left="1152" w:hanging="1152"/>
        <w:rPr>
          <w:bCs/>
        </w:rPr>
      </w:pPr>
      <w:bookmarkStart w:id="129" w:name="_Ref220064482"/>
      <w:r w:rsidRPr="00F1111C">
        <w:rPr>
          <w:bCs/>
        </w:rPr>
        <w:t xml:space="preserve">III-2.1.1 </w:t>
      </w:r>
      <w:r w:rsidR="00EC5774" w:rsidRPr="00F1111C">
        <w:t>Convocatorias públicas.</w:t>
      </w:r>
      <w:bookmarkEnd w:id="129"/>
    </w:p>
    <w:p w14:paraId="637D0F79" w14:textId="77777777" w:rsidR="00AF2330" w:rsidRDefault="00AF2330" w:rsidP="008E39FD">
      <w:pPr>
        <w:shd w:val="clear" w:color="auto" w:fill="FFFFFF" w:themeFill="background1"/>
        <w:spacing w:before="100" w:beforeAutospacing="1" w:after="100" w:afterAutospacing="1"/>
        <w:jc w:val="both"/>
        <w:rPr>
          <w:rFonts w:ascii="Arial" w:hAnsi="Arial" w:cs="Arial"/>
          <w:sz w:val="24"/>
          <w:szCs w:val="24"/>
        </w:rPr>
      </w:pPr>
      <w:r w:rsidRPr="00AF2330">
        <w:rPr>
          <w:rFonts w:ascii="Arial" w:hAnsi="Arial" w:cs="Arial"/>
          <w:sz w:val="24"/>
          <w:szCs w:val="24"/>
        </w:rPr>
        <w:t xml:space="preserve">Como resultado de las invitaciones públicas diseñadas por FONENERGÍA para la implementación parcial o total de infraestructura eléctrica en las Zonas No Interconectadas o en el Sistema Interconectado Nacional, o que se atienda por medio de esquemas sostenibles de gestión para la prestación del servicio de energía eléctrica en tales Zonas y de que trata el artículo 65 de la Ley 1151 de 2007, subrogado por el artículo 114 de la Ley 1450 de 2011. </w:t>
      </w:r>
    </w:p>
    <w:p w14:paraId="10E0E8B2" w14:textId="58161DAB" w:rsidR="00EC5774" w:rsidRPr="00C63186" w:rsidRDefault="00EC5774" w:rsidP="008E39FD">
      <w:pPr>
        <w:shd w:val="clear" w:color="auto" w:fill="FFFFFF" w:themeFill="background1"/>
        <w:spacing w:before="100" w:beforeAutospacing="1" w:after="100" w:afterAutospacing="1"/>
        <w:jc w:val="both"/>
        <w:rPr>
          <w:rFonts w:ascii="Arial" w:eastAsia="Times New Roman" w:hAnsi="Arial" w:cs="Arial"/>
          <w:sz w:val="24"/>
          <w:szCs w:val="24"/>
          <w:lang w:eastAsia="es-CO"/>
        </w:rPr>
      </w:pPr>
      <w:r w:rsidRPr="54B2E939">
        <w:rPr>
          <w:rFonts w:ascii="Arial" w:eastAsia="Times New Roman" w:hAnsi="Arial" w:cs="Arial"/>
          <w:sz w:val="24"/>
          <w:szCs w:val="24"/>
          <w:lang w:eastAsia="es-CO"/>
        </w:rPr>
        <w:t>Para ello establecerá, en caso de no encontrarse establecido en este Manual, las calidades de los participantes, el esquema de garantías, los requisitos técnicos de los proyectos, las condiciones de los contratos a celebrar con adjudicatarios y el esquema de interventoría, entre otros.</w:t>
      </w:r>
    </w:p>
    <w:p w14:paraId="1F4BAD2A" w14:textId="77777777" w:rsidR="00EC5774" w:rsidRPr="00D66849" w:rsidRDefault="00EC5774" w:rsidP="008E39FD">
      <w:pPr>
        <w:shd w:val="clear" w:color="auto" w:fill="FFFFFF" w:themeFill="background1"/>
        <w:spacing w:before="100" w:beforeAutospacing="1" w:after="100" w:afterAutospacing="1"/>
        <w:jc w:val="both"/>
        <w:rPr>
          <w:rFonts w:ascii="Arial" w:eastAsia="Times New Roman" w:hAnsi="Arial" w:cs="Arial"/>
          <w:sz w:val="24"/>
          <w:szCs w:val="24"/>
        </w:rPr>
      </w:pPr>
      <w:r w:rsidRPr="00C63186">
        <w:rPr>
          <w:rFonts w:ascii="Arial" w:eastAsia="Times New Roman" w:hAnsi="Arial" w:cs="Arial"/>
          <w:sz w:val="24"/>
          <w:szCs w:val="24"/>
          <w:lang w:eastAsia="es-CO"/>
        </w:rPr>
        <w:t xml:space="preserve">Este mecanismo también puede ser aplicado </w:t>
      </w:r>
      <w:r w:rsidRPr="00C63186">
        <w:rPr>
          <w:rFonts w:ascii="Arial" w:eastAsia="Times New Roman" w:hAnsi="Arial" w:cs="Arial"/>
          <w:sz w:val="24"/>
          <w:szCs w:val="24"/>
        </w:rPr>
        <w:t>para la construcción y/o re</w:t>
      </w:r>
      <w:r>
        <w:rPr>
          <w:rFonts w:ascii="Arial" w:eastAsia="Times New Roman" w:hAnsi="Arial" w:cs="Arial"/>
          <w:sz w:val="24"/>
          <w:szCs w:val="24"/>
        </w:rPr>
        <w:t>habilitación</w:t>
      </w:r>
      <w:r w:rsidRPr="00C63186">
        <w:rPr>
          <w:rFonts w:ascii="Arial" w:eastAsia="Times New Roman" w:hAnsi="Arial" w:cs="Arial"/>
          <w:sz w:val="24"/>
          <w:szCs w:val="24"/>
        </w:rPr>
        <w:t xml:space="preserve"> de infraestructura de </w:t>
      </w:r>
      <w:r>
        <w:rPr>
          <w:rFonts w:ascii="Arial" w:eastAsia="Times New Roman" w:hAnsi="Arial" w:cs="Arial"/>
          <w:sz w:val="24"/>
          <w:szCs w:val="24"/>
        </w:rPr>
        <w:t>energía eléctrica</w:t>
      </w:r>
      <w:r w:rsidRPr="00C63186">
        <w:rPr>
          <w:rFonts w:ascii="Arial" w:eastAsia="Times New Roman" w:hAnsi="Arial" w:cs="Arial"/>
          <w:sz w:val="24"/>
          <w:szCs w:val="24"/>
        </w:rPr>
        <w:t xml:space="preserve">, para lo cual en la respectiva convocatoria se incluirá </w:t>
      </w:r>
      <w:r w:rsidRPr="00D66849">
        <w:rPr>
          <w:rFonts w:ascii="Arial" w:eastAsia="Times New Roman" w:hAnsi="Arial" w:cs="Arial"/>
          <w:sz w:val="24"/>
          <w:szCs w:val="24"/>
        </w:rPr>
        <w:t>como mínimo:</w:t>
      </w:r>
    </w:p>
    <w:p w14:paraId="353ED616" w14:textId="77777777" w:rsidR="00EC5774" w:rsidRPr="00D66849" w:rsidRDefault="00EC5774" w:rsidP="00B320D0">
      <w:pPr>
        <w:pStyle w:val="Prrafodelista"/>
        <w:numPr>
          <w:ilvl w:val="0"/>
          <w:numId w:val="22"/>
        </w:numPr>
        <w:suppressAutoHyphens w:val="0"/>
        <w:spacing w:after="0"/>
        <w:contextualSpacing w:val="0"/>
        <w:jc w:val="both"/>
        <w:rPr>
          <w:rFonts w:ascii="Arial" w:eastAsia="Arial" w:hAnsi="Arial" w:cs="Arial"/>
          <w:sz w:val="24"/>
          <w:szCs w:val="24"/>
          <w:lang w:val="es"/>
        </w:rPr>
      </w:pPr>
      <w:bookmarkStart w:id="130" w:name="_Ref220064496"/>
      <w:r w:rsidRPr="00D66849">
        <w:rPr>
          <w:rFonts w:ascii="Arial" w:eastAsia="Arial" w:hAnsi="Arial" w:cs="Arial"/>
          <w:sz w:val="24"/>
          <w:szCs w:val="24"/>
          <w:lang w:val="es"/>
        </w:rPr>
        <w:t>Objeto de la convocatoria especial.</w:t>
      </w:r>
      <w:bookmarkEnd w:id="130"/>
    </w:p>
    <w:p w14:paraId="46A7DBD0" w14:textId="77777777" w:rsidR="00EC5774" w:rsidRPr="00D66849" w:rsidRDefault="00EC5774" w:rsidP="00B320D0">
      <w:pPr>
        <w:pStyle w:val="Prrafodelista"/>
        <w:numPr>
          <w:ilvl w:val="0"/>
          <w:numId w:val="22"/>
        </w:numPr>
        <w:suppressAutoHyphens w:val="0"/>
        <w:spacing w:after="0"/>
        <w:contextualSpacing w:val="0"/>
        <w:jc w:val="both"/>
        <w:rPr>
          <w:rFonts w:ascii="Arial" w:eastAsia="Arial" w:hAnsi="Arial" w:cs="Arial"/>
          <w:sz w:val="24"/>
          <w:szCs w:val="24"/>
          <w:lang w:val="es"/>
        </w:rPr>
      </w:pPr>
      <w:r w:rsidRPr="00D66849">
        <w:rPr>
          <w:rFonts w:ascii="Arial" w:eastAsia="Arial" w:hAnsi="Arial" w:cs="Arial"/>
          <w:sz w:val="24"/>
          <w:szCs w:val="24"/>
          <w:lang w:val="es"/>
        </w:rPr>
        <w:t>Municipios, centros poblados urbanos y rurales donde se ejecutará el proyecto.</w:t>
      </w:r>
    </w:p>
    <w:p w14:paraId="30A8A1E4" w14:textId="77777777" w:rsidR="00EC5774" w:rsidRPr="00D66849" w:rsidRDefault="00EC5774" w:rsidP="00B320D0">
      <w:pPr>
        <w:pStyle w:val="Prrafodelista"/>
        <w:numPr>
          <w:ilvl w:val="0"/>
          <w:numId w:val="22"/>
        </w:numPr>
        <w:suppressAutoHyphens w:val="0"/>
        <w:spacing w:after="0"/>
        <w:contextualSpacing w:val="0"/>
        <w:jc w:val="both"/>
        <w:rPr>
          <w:rFonts w:ascii="Arial" w:eastAsia="Arial" w:hAnsi="Arial" w:cs="Arial"/>
          <w:sz w:val="24"/>
          <w:szCs w:val="24"/>
          <w:lang w:val="es"/>
        </w:rPr>
      </w:pPr>
      <w:r w:rsidRPr="00D66849">
        <w:rPr>
          <w:rFonts w:ascii="Arial" w:eastAsia="Arial" w:hAnsi="Arial" w:cs="Arial"/>
          <w:sz w:val="24"/>
          <w:szCs w:val="24"/>
          <w:lang w:val="es"/>
        </w:rPr>
        <w:t>Condiciones de cobertura del proyecto.</w:t>
      </w:r>
    </w:p>
    <w:p w14:paraId="50576DCF" w14:textId="77777777" w:rsidR="00EC5774" w:rsidRPr="00D66849" w:rsidRDefault="00EC5774" w:rsidP="00B320D0">
      <w:pPr>
        <w:pStyle w:val="Prrafodelista"/>
        <w:numPr>
          <w:ilvl w:val="0"/>
          <w:numId w:val="22"/>
        </w:numPr>
        <w:suppressAutoHyphens w:val="0"/>
        <w:spacing w:after="0"/>
        <w:contextualSpacing w:val="0"/>
        <w:jc w:val="both"/>
        <w:rPr>
          <w:rFonts w:ascii="Arial" w:eastAsia="Arial" w:hAnsi="Arial" w:cs="Arial"/>
          <w:sz w:val="24"/>
          <w:szCs w:val="24"/>
          <w:lang w:val="es"/>
        </w:rPr>
      </w:pPr>
      <w:r w:rsidRPr="00D66849">
        <w:rPr>
          <w:rFonts w:ascii="Arial" w:eastAsia="Arial" w:hAnsi="Arial" w:cs="Arial"/>
          <w:sz w:val="24"/>
          <w:szCs w:val="24"/>
          <w:lang w:val="es"/>
        </w:rPr>
        <w:t>Características técnicas del proyecto.</w:t>
      </w:r>
    </w:p>
    <w:p w14:paraId="451C9110" w14:textId="77777777" w:rsidR="00EC5774" w:rsidRPr="00D66849" w:rsidRDefault="00EC5774" w:rsidP="00B320D0">
      <w:pPr>
        <w:pStyle w:val="Prrafodelista"/>
        <w:numPr>
          <w:ilvl w:val="0"/>
          <w:numId w:val="22"/>
        </w:numPr>
        <w:suppressAutoHyphens w:val="0"/>
        <w:spacing w:after="0"/>
        <w:contextualSpacing w:val="0"/>
        <w:jc w:val="both"/>
        <w:rPr>
          <w:rFonts w:ascii="Arial" w:eastAsia="Arial" w:hAnsi="Arial" w:cs="Arial"/>
          <w:sz w:val="24"/>
          <w:szCs w:val="24"/>
          <w:lang w:val="es"/>
        </w:rPr>
      </w:pPr>
      <w:r w:rsidRPr="00D66849">
        <w:rPr>
          <w:rFonts w:ascii="Arial" w:eastAsia="Arial" w:hAnsi="Arial" w:cs="Arial"/>
          <w:sz w:val="24"/>
          <w:szCs w:val="24"/>
          <w:lang w:val="es"/>
        </w:rPr>
        <w:t>Plazos de presentación de proyectos ante el FONENERGÍA.</w:t>
      </w:r>
    </w:p>
    <w:p w14:paraId="73F5FE1B" w14:textId="77777777" w:rsidR="00EC5774" w:rsidRPr="00C63186" w:rsidRDefault="00EC5774" w:rsidP="008E39FD">
      <w:pPr>
        <w:tabs>
          <w:tab w:val="left" w:pos="4474"/>
        </w:tabs>
        <w:spacing w:after="0"/>
        <w:jc w:val="both"/>
        <w:rPr>
          <w:rFonts w:ascii="Arial" w:hAnsi="Arial" w:cs="Arial"/>
          <w:b/>
          <w:bCs/>
          <w:sz w:val="24"/>
          <w:szCs w:val="24"/>
        </w:rPr>
      </w:pPr>
    </w:p>
    <w:p w14:paraId="3F225635" w14:textId="5C3F4FE5" w:rsidR="00EC5774" w:rsidRDefault="008E67D4" w:rsidP="00EA249E">
      <w:pPr>
        <w:pStyle w:val="Ttulo6"/>
        <w:spacing w:before="0"/>
        <w:ind w:left="1152" w:hanging="1152"/>
      </w:pPr>
      <w:r w:rsidRPr="00A0752A">
        <w:lastRenderedPageBreak/>
        <w:t>III-</w:t>
      </w:r>
      <w:r w:rsidR="00A0752A" w:rsidRPr="00A0752A">
        <w:rPr>
          <w:bCs/>
        </w:rPr>
        <w:t xml:space="preserve">2.1.2 </w:t>
      </w:r>
      <w:r w:rsidR="00EC5774" w:rsidRPr="00A0752A">
        <w:t>Iniciativa propia.</w:t>
      </w:r>
    </w:p>
    <w:p w14:paraId="48351836" w14:textId="77777777" w:rsidR="009E3BC7" w:rsidRPr="009E3BC7" w:rsidRDefault="009E3BC7" w:rsidP="00EA249E">
      <w:pPr>
        <w:spacing w:after="0"/>
      </w:pPr>
    </w:p>
    <w:p w14:paraId="1CFA31FB" w14:textId="1AB7DA80" w:rsidR="00EC5774" w:rsidRPr="00C63186" w:rsidRDefault="38597732" w:rsidP="008E39FD">
      <w:pPr>
        <w:tabs>
          <w:tab w:val="left" w:pos="4474"/>
        </w:tabs>
        <w:spacing w:after="0"/>
        <w:jc w:val="both"/>
        <w:rPr>
          <w:rFonts w:ascii="Arial" w:hAnsi="Arial" w:cs="Arial"/>
          <w:sz w:val="24"/>
          <w:szCs w:val="24"/>
        </w:rPr>
      </w:pPr>
      <w:r w:rsidRPr="719E25F3">
        <w:rPr>
          <w:rFonts w:ascii="Arial" w:hAnsi="Arial" w:cs="Arial"/>
          <w:sz w:val="24"/>
          <w:szCs w:val="24"/>
        </w:rPr>
        <w:t>Por iniciativa de FONENERGÍA, de las Entidades Territoriales, del IPSE, o quien haga sus veces, en desarrollo, entre otras, de la función asignada por el artículo 45 de la Ley 2099 de 2021, o de las empresas prestadoras del servicio de energía eléctrica ya sean estas pertenecientes al Sistema Interconectado Nacional - SIN, o a las Zonas No Interconectadas- ZNI</w:t>
      </w:r>
      <w:r w:rsidR="5C34BD97" w:rsidRPr="719E25F3">
        <w:rPr>
          <w:rFonts w:ascii="Arial" w:hAnsi="Arial" w:cs="Arial"/>
          <w:sz w:val="24"/>
          <w:szCs w:val="24"/>
        </w:rPr>
        <w:t>.</w:t>
      </w:r>
    </w:p>
    <w:p w14:paraId="455C22E8" w14:textId="77777777" w:rsidR="00EC5774" w:rsidRPr="00C63186" w:rsidRDefault="00EC5774" w:rsidP="008E39FD">
      <w:pPr>
        <w:tabs>
          <w:tab w:val="left" w:pos="4474"/>
        </w:tabs>
        <w:spacing w:after="0"/>
        <w:jc w:val="both"/>
        <w:rPr>
          <w:rFonts w:ascii="Arial" w:hAnsi="Arial" w:cs="Arial"/>
          <w:sz w:val="24"/>
          <w:szCs w:val="24"/>
        </w:rPr>
      </w:pPr>
    </w:p>
    <w:p w14:paraId="7AB3E503" w14:textId="2BE836E9" w:rsidR="00EC5774" w:rsidRPr="00C63186" w:rsidRDefault="00A0752A" w:rsidP="00517B59">
      <w:pPr>
        <w:pStyle w:val="Ttulo6"/>
        <w:ind w:left="1152" w:hanging="1152"/>
        <w:rPr>
          <w:lang w:eastAsia="es-CO"/>
        </w:rPr>
      </w:pPr>
      <w:r w:rsidRPr="00A0752A">
        <w:rPr>
          <w:bCs/>
        </w:rPr>
        <w:t xml:space="preserve">III-2.1.3 </w:t>
      </w:r>
      <w:r w:rsidR="00EC5774" w:rsidRPr="00A0752A">
        <w:t>Impacto</w:t>
      </w:r>
      <w:r w:rsidR="00EC5774" w:rsidRPr="4BA04FB0">
        <w:rPr>
          <w:lang w:eastAsia="es-CO"/>
        </w:rPr>
        <w:t xml:space="preserve"> </w:t>
      </w:r>
      <w:r w:rsidR="00EC5774" w:rsidRPr="00A0752A">
        <w:t>económico o social.</w:t>
      </w:r>
    </w:p>
    <w:p w14:paraId="02154860" w14:textId="4856465D" w:rsidR="00EC5774" w:rsidRDefault="00EC5774" w:rsidP="006C612C">
      <w:pPr>
        <w:shd w:val="clear" w:color="auto" w:fill="FFFFFF" w:themeFill="background1"/>
        <w:spacing w:before="100" w:beforeAutospacing="1" w:after="100" w:afterAutospacing="1"/>
        <w:jc w:val="both"/>
        <w:rPr>
          <w:rFonts w:ascii="Arial" w:hAnsi="Arial" w:cs="Arial"/>
          <w:sz w:val="24"/>
          <w:szCs w:val="24"/>
        </w:rPr>
      </w:pPr>
      <w:r w:rsidRPr="5AB7284D">
        <w:rPr>
          <w:rFonts w:ascii="Arial" w:eastAsia="Times New Roman" w:hAnsi="Arial" w:cs="Arial"/>
          <w:sz w:val="24"/>
          <w:szCs w:val="24"/>
          <w:lang w:eastAsia="es-CO"/>
        </w:rPr>
        <w:t>Proyectos</w:t>
      </w:r>
      <w:r w:rsidRPr="5AB7284D">
        <w:rPr>
          <w:rFonts w:ascii="Arial" w:eastAsia="Times New Roman" w:hAnsi="Arial" w:cs="Arial"/>
          <w:b/>
          <w:bCs/>
          <w:sz w:val="24"/>
          <w:szCs w:val="24"/>
          <w:lang w:eastAsia="es-CO"/>
        </w:rPr>
        <w:t xml:space="preserve"> </w:t>
      </w:r>
      <w:r w:rsidRPr="5AB7284D">
        <w:rPr>
          <w:rFonts w:ascii="Arial" w:eastAsia="Times New Roman" w:hAnsi="Arial" w:cs="Arial"/>
          <w:sz w:val="24"/>
          <w:szCs w:val="24"/>
          <w:lang w:eastAsia="es-CO"/>
        </w:rPr>
        <w:t>necesarios para el cumplimiento de metas o programas nacionales, o que se consideren estratégicos por su afectación económica o social,</w:t>
      </w:r>
      <w:r w:rsidRPr="5AB7284D">
        <w:rPr>
          <w:rFonts w:ascii="Arial" w:eastAsia="Times New Roman" w:hAnsi="Arial" w:cs="Arial"/>
          <w:b/>
          <w:bCs/>
          <w:i/>
          <w:iCs/>
          <w:sz w:val="24"/>
          <w:szCs w:val="24"/>
          <w:lang w:eastAsia="es-CO"/>
        </w:rPr>
        <w:t xml:space="preserve"> </w:t>
      </w:r>
      <w:r w:rsidRPr="5AB7284D">
        <w:rPr>
          <w:rFonts w:ascii="Arial" w:eastAsia="Times New Roman" w:hAnsi="Arial" w:cs="Arial"/>
          <w:sz w:val="24"/>
          <w:szCs w:val="24"/>
          <w:lang w:eastAsia="es-CO"/>
        </w:rPr>
        <w:t>los cuales podrán ser estructurados por FONENERGÍA,</w:t>
      </w:r>
      <w:r w:rsidRPr="5AB7284D">
        <w:rPr>
          <w:rFonts w:ascii="Arial" w:hAnsi="Arial" w:cs="Arial"/>
          <w:sz w:val="24"/>
          <w:szCs w:val="24"/>
        </w:rPr>
        <w:t xml:space="preserve"> Entidades Territoriales, el IPSE o quien haga sus veces, en desarrollo, entre otras, de la función asignada por el artículo 45 de la Ley 2099 de 2021, o de las empresas prestadoras del servicio de energía eléctrica ya sean estas pertenecientes al Sistema Interconectado Nacional </w:t>
      </w:r>
      <w:r w:rsidR="006C7E45">
        <w:rPr>
          <w:rFonts w:ascii="Arial" w:hAnsi="Arial" w:cs="Arial"/>
          <w:sz w:val="24"/>
          <w:szCs w:val="24"/>
        </w:rPr>
        <w:t>–</w:t>
      </w:r>
      <w:r w:rsidRPr="5AB7284D">
        <w:rPr>
          <w:rFonts w:ascii="Arial" w:hAnsi="Arial" w:cs="Arial"/>
          <w:sz w:val="24"/>
          <w:szCs w:val="24"/>
        </w:rPr>
        <w:t xml:space="preserve"> SIN, o a las Zonas No Interconectadas</w:t>
      </w:r>
      <w:r w:rsidR="006C7E45">
        <w:rPr>
          <w:rFonts w:ascii="Arial" w:hAnsi="Arial" w:cs="Arial"/>
          <w:sz w:val="24"/>
          <w:szCs w:val="24"/>
        </w:rPr>
        <w:t xml:space="preserve"> –</w:t>
      </w:r>
      <w:r w:rsidRPr="5AB7284D">
        <w:rPr>
          <w:rFonts w:ascii="Arial" w:hAnsi="Arial" w:cs="Arial"/>
          <w:sz w:val="24"/>
          <w:szCs w:val="24"/>
        </w:rPr>
        <w:t xml:space="preserve"> ZNI</w:t>
      </w:r>
      <w:r w:rsidRPr="5AB7284D">
        <w:rPr>
          <w:rFonts w:ascii="Arial" w:eastAsia="Times New Roman" w:hAnsi="Arial" w:cs="Arial"/>
          <w:sz w:val="24"/>
          <w:szCs w:val="24"/>
          <w:lang w:eastAsia="es-CO"/>
        </w:rPr>
        <w:t>.</w:t>
      </w:r>
    </w:p>
    <w:p w14:paraId="09B6D883" w14:textId="2C0B4B47" w:rsidR="00EC5774" w:rsidRDefault="00E63176" w:rsidP="00517B59">
      <w:pPr>
        <w:pStyle w:val="Ttulo5"/>
        <w:ind w:left="1008" w:hanging="1008"/>
      </w:pPr>
      <w:bookmarkStart w:id="131" w:name="_Toc219397267"/>
      <w:bookmarkStart w:id="132" w:name="_Toc224844359"/>
      <w:r w:rsidRPr="009E65D5">
        <w:t xml:space="preserve">III-2.2 </w:t>
      </w:r>
      <w:r w:rsidR="00EC5774" w:rsidRPr="009E65D5">
        <w:t>Tipos de Proyectos de Energía Eléctrica</w:t>
      </w:r>
      <w:bookmarkEnd w:id="131"/>
      <w:bookmarkEnd w:id="132"/>
    </w:p>
    <w:p w14:paraId="3252E6A7" w14:textId="77777777" w:rsidR="00AD1194" w:rsidRDefault="00AD1194" w:rsidP="008E39FD">
      <w:pPr>
        <w:tabs>
          <w:tab w:val="left" w:pos="4474"/>
        </w:tabs>
        <w:spacing w:after="0"/>
        <w:jc w:val="both"/>
        <w:rPr>
          <w:rFonts w:ascii="Arial" w:hAnsi="Arial" w:cs="Arial"/>
          <w:sz w:val="24"/>
          <w:szCs w:val="24"/>
        </w:rPr>
      </w:pPr>
    </w:p>
    <w:p w14:paraId="469CCE08" w14:textId="0D6A9EB1" w:rsidR="00EC5774" w:rsidRDefault="00EC5774" w:rsidP="00EA249E">
      <w:pPr>
        <w:tabs>
          <w:tab w:val="left" w:pos="4474"/>
        </w:tabs>
        <w:spacing w:after="0"/>
        <w:jc w:val="both"/>
        <w:rPr>
          <w:rFonts w:ascii="Arial" w:hAnsi="Arial" w:cs="Arial"/>
          <w:sz w:val="24"/>
          <w:szCs w:val="24"/>
        </w:rPr>
      </w:pPr>
      <w:r>
        <w:rPr>
          <w:rFonts w:ascii="Arial" w:hAnsi="Arial" w:cs="Arial"/>
          <w:sz w:val="24"/>
          <w:szCs w:val="24"/>
        </w:rPr>
        <w:t>Con el fin de acceder a recursos del Fondo, los interesados señalados en el numeral</w:t>
      </w:r>
      <w:r w:rsidR="00C13B72">
        <w:rPr>
          <w:rFonts w:ascii="Arial" w:hAnsi="Arial" w:cs="Arial"/>
          <w:sz w:val="24"/>
          <w:szCs w:val="24"/>
        </w:rPr>
        <w:t xml:space="preserve"> </w:t>
      </w:r>
      <w:r w:rsidR="00C13B72" w:rsidRPr="00C13B72">
        <w:rPr>
          <w:rFonts w:ascii="Arial" w:hAnsi="Arial" w:cs="Arial"/>
          <w:sz w:val="24"/>
          <w:szCs w:val="24"/>
        </w:rPr>
        <w:t>III-2.1</w:t>
      </w:r>
      <w:r w:rsidR="009779B0">
        <w:rPr>
          <w:rFonts w:ascii="Arial" w:hAnsi="Arial" w:cs="Arial"/>
          <w:sz w:val="24"/>
          <w:szCs w:val="24"/>
        </w:rPr>
        <w:t>.2</w:t>
      </w:r>
      <w:r w:rsidR="0A093AD4" w:rsidRPr="00AA2487">
        <w:rPr>
          <w:rFonts w:ascii="Arial" w:hAnsi="Arial" w:cs="Arial"/>
          <w:sz w:val="24"/>
          <w:szCs w:val="24"/>
        </w:rPr>
        <w:t xml:space="preserve"> </w:t>
      </w:r>
      <w:r w:rsidRPr="00AA2487">
        <w:rPr>
          <w:rFonts w:ascii="Arial" w:hAnsi="Arial" w:cs="Arial"/>
          <w:sz w:val="24"/>
          <w:szCs w:val="24"/>
        </w:rPr>
        <w:t>podrá</w:t>
      </w:r>
      <w:r>
        <w:rPr>
          <w:rFonts w:ascii="Arial" w:hAnsi="Arial" w:cs="Arial"/>
          <w:sz w:val="24"/>
          <w:szCs w:val="24"/>
        </w:rPr>
        <w:t>n</w:t>
      </w:r>
      <w:r w:rsidRPr="00AA2487">
        <w:rPr>
          <w:rFonts w:ascii="Arial" w:hAnsi="Arial" w:cs="Arial"/>
          <w:sz w:val="24"/>
          <w:szCs w:val="24"/>
        </w:rPr>
        <w:t xml:space="preserve"> </w:t>
      </w:r>
      <w:r w:rsidR="089CC652" w:rsidRPr="00AA2487">
        <w:rPr>
          <w:rFonts w:ascii="Arial" w:hAnsi="Arial" w:cs="Arial"/>
          <w:sz w:val="24"/>
          <w:szCs w:val="24"/>
        </w:rPr>
        <w:t xml:space="preserve">estructurar o </w:t>
      </w:r>
      <w:r>
        <w:rPr>
          <w:rFonts w:ascii="Arial" w:hAnsi="Arial" w:cs="Arial"/>
          <w:sz w:val="24"/>
          <w:szCs w:val="24"/>
        </w:rPr>
        <w:t>prestar asistencia técnica para la estructuración de</w:t>
      </w:r>
      <w:r w:rsidRPr="00AA2487">
        <w:rPr>
          <w:rFonts w:ascii="Arial" w:hAnsi="Arial" w:cs="Arial"/>
          <w:sz w:val="24"/>
          <w:szCs w:val="24"/>
        </w:rPr>
        <w:t xml:space="preserve"> proyectos de</w:t>
      </w:r>
      <w:r>
        <w:rPr>
          <w:rFonts w:ascii="Arial" w:hAnsi="Arial" w:cs="Arial"/>
          <w:sz w:val="24"/>
          <w:szCs w:val="24"/>
        </w:rPr>
        <w:t>:</w:t>
      </w:r>
    </w:p>
    <w:p w14:paraId="0898D930" w14:textId="77777777" w:rsidR="00EC5774" w:rsidRDefault="00EC5774" w:rsidP="00EA249E">
      <w:pPr>
        <w:tabs>
          <w:tab w:val="left" w:pos="4474"/>
        </w:tabs>
        <w:spacing w:after="0"/>
        <w:jc w:val="both"/>
        <w:rPr>
          <w:rFonts w:ascii="Arial" w:hAnsi="Arial" w:cs="Arial"/>
          <w:sz w:val="24"/>
          <w:szCs w:val="24"/>
        </w:rPr>
      </w:pPr>
    </w:p>
    <w:p w14:paraId="5B68DA68" w14:textId="6329431D" w:rsidR="00E3427A" w:rsidRDefault="6C6C7EDD" w:rsidP="00B320D0">
      <w:pPr>
        <w:pStyle w:val="Prrafodelista"/>
        <w:numPr>
          <w:ilvl w:val="1"/>
          <w:numId w:val="22"/>
        </w:numPr>
        <w:tabs>
          <w:tab w:val="left" w:pos="4474"/>
        </w:tabs>
        <w:spacing w:after="0"/>
        <w:ind w:left="993"/>
        <w:jc w:val="both"/>
        <w:rPr>
          <w:rFonts w:ascii="Arial" w:hAnsi="Arial" w:cs="Arial"/>
          <w:sz w:val="24"/>
          <w:szCs w:val="24"/>
        </w:rPr>
      </w:pPr>
      <w:r w:rsidRPr="719E25F3">
        <w:rPr>
          <w:rFonts w:ascii="Arial" w:hAnsi="Arial" w:cs="Arial"/>
          <w:b/>
          <w:bCs/>
          <w:sz w:val="24"/>
          <w:szCs w:val="24"/>
        </w:rPr>
        <w:t>Ampliación de cobertura</w:t>
      </w:r>
      <w:r w:rsidR="59534EF9" w:rsidRPr="719E25F3">
        <w:rPr>
          <w:rFonts w:ascii="Arial" w:hAnsi="Arial" w:cs="Arial"/>
          <w:b/>
          <w:bCs/>
          <w:sz w:val="24"/>
          <w:szCs w:val="24"/>
        </w:rPr>
        <w:t xml:space="preserve"> por extensión de redes eléctricas del SIN</w:t>
      </w:r>
      <w:r w:rsidR="009B6FCD">
        <w:rPr>
          <w:rFonts w:ascii="Arial" w:hAnsi="Arial" w:cs="Arial"/>
          <w:b/>
          <w:bCs/>
          <w:sz w:val="24"/>
          <w:szCs w:val="24"/>
        </w:rPr>
        <w:t>/ZNI</w:t>
      </w:r>
      <w:r w:rsidRPr="719E25F3">
        <w:rPr>
          <w:rFonts w:ascii="Arial" w:hAnsi="Arial" w:cs="Arial"/>
          <w:b/>
          <w:bCs/>
          <w:sz w:val="24"/>
          <w:szCs w:val="24"/>
        </w:rPr>
        <w:t>:</w:t>
      </w:r>
      <w:r w:rsidRPr="719E25F3">
        <w:rPr>
          <w:rFonts w:ascii="Arial" w:hAnsi="Arial" w:cs="Arial"/>
          <w:sz w:val="24"/>
          <w:szCs w:val="24"/>
        </w:rPr>
        <w:t xml:space="preserve"> </w:t>
      </w:r>
      <w:r w:rsidR="45285EE6" w:rsidRPr="719E25F3">
        <w:rPr>
          <w:rFonts w:ascii="Arial" w:hAnsi="Arial" w:cs="Arial"/>
          <w:sz w:val="24"/>
          <w:szCs w:val="24"/>
        </w:rPr>
        <w:t xml:space="preserve">Planes, programas o proyectos orientados a la ampliación de la cobertura del servicio de energía eléctrica, mediante la extensión </w:t>
      </w:r>
      <w:r w:rsidR="28A41FF4" w:rsidRPr="719E25F3">
        <w:rPr>
          <w:rFonts w:ascii="Arial" w:hAnsi="Arial" w:cs="Arial"/>
          <w:sz w:val="24"/>
          <w:szCs w:val="24"/>
        </w:rPr>
        <w:t>y fortalecimiento de redes eléctricas</w:t>
      </w:r>
      <w:r w:rsidR="0A27E732" w:rsidRPr="719E25F3">
        <w:rPr>
          <w:rFonts w:ascii="Arial" w:hAnsi="Arial" w:cs="Arial"/>
          <w:sz w:val="24"/>
          <w:szCs w:val="24"/>
        </w:rPr>
        <w:t xml:space="preserve"> del Sistema Interconectado Nacional (SIN)</w:t>
      </w:r>
      <w:r w:rsidR="009B6FCD">
        <w:rPr>
          <w:rFonts w:ascii="Arial" w:hAnsi="Arial" w:cs="Arial"/>
          <w:sz w:val="24"/>
          <w:szCs w:val="24"/>
        </w:rPr>
        <w:t xml:space="preserve"> o Zonas No Interconectadas (ZNI)</w:t>
      </w:r>
      <w:r w:rsidR="28A41FF4" w:rsidRPr="719E25F3">
        <w:rPr>
          <w:rFonts w:ascii="Arial" w:hAnsi="Arial" w:cs="Arial"/>
          <w:sz w:val="24"/>
          <w:szCs w:val="24"/>
        </w:rPr>
        <w:t xml:space="preserve"> y sus componentes asociados</w:t>
      </w:r>
      <w:r w:rsidR="45285EE6" w:rsidRPr="719E25F3">
        <w:rPr>
          <w:rFonts w:ascii="Arial" w:hAnsi="Arial" w:cs="Arial"/>
          <w:sz w:val="24"/>
          <w:szCs w:val="24"/>
        </w:rPr>
        <w:t>.</w:t>
      </w:r>
    </w:p>
    <w:p w14:paraId="7F90E6C6" w14:textId="77777777" w:rsidR="005F1D1F" w:rsidRDefault="005F1D1F" w:rsidP="005F1D1F">
      <w:pPr>
        <w:pStyle w:val="Prrafodelista"/>
        <w:tabs>
          <w:tab w:val="left" w:pos="4474"/>
        </w:tabs>
        <w:spacing w:after="0"/>
        <w:ind w:left="993"/>
        <w:jc w:val="both"/>
        <w:rPr>
          <w:rFonts w:ascii="Arial" w:hAnsi="Arial" w:cs="Arial"/>
          <w:sz w:val="24"/>
          <w:szCs w:val="24"/>
        </w:rPr>
      </w:pPr>
    </w:p>
    <w:p w14:paraId="011750A1" w14:textId="2F26B5D3" w:rsidR="00F2717A" w:rsidRDefault="009B6FCD" w:rsidP="00F2717A">
      <w:pPr>
        <w:pStyle w:val="Prrafodelista"/>
        <w:tabs>
          <w:tab w:val="left" w:pos="4474"/>
        </w:tabs>
        <w:spacing w:after="0"/>
        <w:ind w:left="993"/>
        <w:jc w:val="both"/>
        <w:rPr>
          <w:rFonts w:ascii="Arial" w:hAnsi="Arial" w:cs="Arial"/>
          <w:sz w:val="24"/>
          <w:szCs w:val="24"/>
          <w:highlight w:val="yellow"/>
        </w:rPr>
      </w:pPr>
      <w:r>
        <w:rPr>
          <w:rFonts w:ascii="Arial" w:hAnsi="Arial" w:cs="Arial"/>
          <w:sz w:val="24"/>
          <w:szCs w:val="24"/>
          <w:highlight w:val="yellow"/>
        </w:rPr>
        <w:t xml:space="preserve">Para el caso de </w:t>
      </w:r>
      <w:r w:rsidR="0099098E" w:rsidRPr="0099098E">
        <w:rPr>
          <w:rFonts w:ascii="Arial" w:hAnsi="Arial" w:cs="Arial"/>
          <w:sz w:val="24"/>
          <w:szCs w:val="24"/>
          <w:highlight w:val="yellow"/>
        </w:rPr>
        <w:t>proyectos orientados a la ampliación de la cobertura del servicio de energía eléctrica en las Zonas No Interconectadas (ZNI)</w:t>
      </w:r>
      <w:r>
        <w:rPr>
          <w:rFonts w:ascii="Arial" w:hAnsi="Arial" w:cs="Arial"/>
          <w:sz w:val="24"/>
          <w:szCs w:val="24"/>
          <w:highlight w:val="yellow"/>
        </w:rPr>
        <w:t xml:space="preserve"> se tendrá en cuenta la </w:t>
      </w:r>
      <w:r w:rsidR="00E53029">
        <w:rPr>
          <w:rFonts w:ascii="Arial" w:hAnsi="Arial" w:cs="Arial"/>
          <w:sz w:val="24"/>
          <w:szCs w:val="24"/>
          <w:highlight w:val="yellow"/>
        </w:rPr>
        <w:t>implementación</w:t>
      </w:r>
      <w:r>
        <w:rPr>
          <w:rFonts w:ascii="Arial" w:hAnsi="Arial" w:cs="Arial"/>
          <w:sz w:val="24"/>
          <w:szCs w:val="24"/>
          <w:highlight w:val="yellow"/>
        </w:rPr>
        <w:t xml:space="preserve"> </w:t>
      </w:r>
      <w:r w:rsidR="00F2717A" w:rsidRPr="00AD1194">
        <w:rPr>
          <w:rFonts w:ascii="Arial" w:hAnsi="Arial" w:cs="Arial"/>
          <w:sz w:val="24"/>
          <w:szCs w:val="24"/>
          <w:highlight w:val="yellow"/>
        </w:rPr>
        <w:t>de proyectos de infraestructura eléctrica para la atención de Usuarios Aislados mediante Redes Logísticas y de Servicio, cuya administración, operación y mantenimiento se encuentre a cargo de los Operadores de Red del Sistema Interconectado Nacional - SIN.</w:t>
      </w:r>
    </w:p>
    <w:p w14:paraId="27CA0826" w14:textId="77777777" w:rsidR="00805D5E" w:rsidRPr="00F2717A" w:rsidRDefault="00805D5E" w:rsidP="00F2717A">
      <w:pPr>
        <w:tabs>
          <w:tab w:val="left" w:pos="4474"/>
        </w:tabs>
        <w:spacing w:after="0"/>
        <w:jc w:val="both"/>
        <w:rPr>
          <w:rFonts w:ascii="Arial" w:hAnsi="Arial" w:cs="Arial"/>
          <w:sz w:val="24"/>
          <w:szCs w:val="24"/>
        </w:rPr>
      </w:pPr>
    </w:p>
    <w:p w14:paraId="62EC6986" w14:textId="5334A9DC" w:rsidR="00EC5774" w:rsidRDefault="38597732" w:rsidP="00B320D0">
      <w:pPr>
        <w:pStyle w:val="Prrafodelista"/>
        <w:numPr>
          <w:ilvl w:val="1"/>
          <w:numId w:val="22"/>
        </w:numPr>
        <w:tabs>
          <w:tab w:val="left" w:pos="4474"/>
        </w:tabs>
        <w:spacing w:after="0"/>
        <w:ind w:left="993"/>
        <w:jc w:val="both"/>
        <w:rPr>
          <w:rFonts w:ascii="Arial" w:hAnsi="Arial" w:cs="Arial"/>
          <w:sz w:val="24"/>
          <w:szCs w:val="24"/>
        </w:rPr>
      </w:pPr>
      <w:r w:rsidRPr="719E25F3">
        <w:rPr>
          <w:rFonts w:ascii="Arial" w:hAnsi="Arial" w:cs="Arial"/>
          <w:b/>
          <w:bCs/>
          <w:sz w:val="24"/>
          <w:szCs w:val="24"/>
        </w:rPr>
        <w:t>Mejoramiento/Rehabilitación de la infraestructura</w:t>
      </w:r>
      <w:r w:rsidR="001B264F">
        <w:rPr>
          <w:rFonts w:ascii="Arial" w:hAnsi="Arial" w:cs="Arial"/>
          <w:b/>
          <w:bCs/>
          <w:sz w:val="24"/>
          <w:szCs w:val="24"/>
        </w:rPr>
        <w:t xml:space="preserve"> existente</w:t>
      </w:r>
      <w:r w:rsidR="169F597E" w:rsidRPr="719E25F3">
        <w:rPr>
          <w:rFonts w:ascii="Arial" w:hAnsi="Arial" w:cs="Arial"/>
          <w:b/>
          <w:bCs/>
          <w:sz w:val="24"/>
          <w:szCs w:val="24"/>
        </w:rPr>
        <w:t xml:space="preserve">: </w:t>
      </w:r>
      <w:r w:rsidR="169F597E" w:rsidRPr="719E25F3">
        <w:rPr>
          <w:rFonts w:ascii="Arial" w:hAnsi="Arial" w:cs="Arial"/>
          <w:sz w:val="24"/>
          <w:szCs w:val="24"/>
        </w:rPr>
        <w:t>Intervenciones destinadas a adecuar, mejorar o rehabilitar redes e infraestructura eléctrica existente que, por obsolescencia, deterioro o limitaciones de capacidad, no garantizan condiciones adecuadas de seguridad, calidad y confiabilidad en la prestación del servicio.</w:t>
      </w:r>
    </w:p>
    <w:p w14:paraId="0C5791C9" w14:textId="77777777" w:rsidR="00805D5E" w:rsidRPr="00805D5E" w:rsidRDefault="00805D5E" w:rsidP="00805D5E">
      <w:pPr>
        <w:tabs>
          <w:tab w:val="left" w:pos="4474"/>
        </w:tabs>
        <w:spacing w:after="0"/>
        <w:jc w:val="both"/>
        <w:rPr>
          <w:rFonts w:ascii="Arial" w:hAnsi="Arial" w:cs="Arial"/>
          <w:sz w:val="24"/>
          <w:szCs w:val="24"/>
        </w:rPr>
      </w:pPr>
    </w:p>
    <w:p w14:paraId="229932B1" w14:textId="4493EF30" w:rsidR="00EC5774" w:rsidRDefault="38597732" w:rsidP="00B320D0">
      <w:pPr>
        <w:pStyle w:val="Prrafodelista"/>
        <w:numPr>
          <w:ilvl w:val="1"/>
          <w:numId w:val="22"/>
        </w:numPr>
        <w:tabs>
          <w:tab w:val="left" w:pos="4474"/>
        </w:tabs>
        <w:spacing w:after="0"/>
        <w:ind w:left="993"/>
        <w:jc w:val="both"/>
        <w:rPr>
          <w:rFonts w:ascii="Arial" w:hAnsi="Arial" w:cs="Arial"/>
          <w:sz w:val="24"/>
          <w:szCs w:val="24"/>
        </w:rPr>
      </w:pPr>
      <w:r w:rsidRPr="719E25F3">
        <w:rPr>
          <w:rFonts w:ascii="Arial" w:hAnsi="Arial" w:cs="Arial"/>
          <w:b/>
          <w:bCs/>
          <w:sz w:val="24"/>
          <w:szCs w:val="24"/>
        </w:rPr>
        <w:t>Normalización de redes</w:t>
      </w:r>
      <w:r w:rsidR="3584FB63" w:rsidRPr="719E25F3">
        <w:rPr>
          <w:rFonts w:ascii="Arial" w:hAnsi="Arial" w:cs="Arial"/>
          <w:b/>
          <w:bCs/>
          <w:sz w:val="24"/>
          <w:szCs w:val="24"/>
        </w:rPr>
        <w:t>:</w:t>
      </w:r>
      <w:r w:rsidR="3584FB63" w:rsidRPr="719E25F3">
        <w:rPr>
          <w:rFonts w:ascii="Arial" w:hAnsi="Arial" w:cs="Arial"/>
          <w:sz w:val="24"/>
          <w:szCs w:val="24"/>
        </w:rPr>
        <w:t xml:space="preserve"> Planes, programas o proyectos dirigidos a la adecuación técnica de redes eléctricas en barrios subnormales ubicados en el Sistema Interconectado Nacional, con el fin de normalizar y legalizar usuarios, asegurando condiciones óptimas para la prestación del servicio.</w:t>
      </w:r>
    </w:p>
    <w:p w14:paraId="6A931E50" w14:textId="77777777" w:rsidR="00805D5E" w:rsidRPr="00805D5E" w:rsidRDefault="00805D5E" w:rsidP="00805D5E">
      <w:pPr>
        <w:tabs>
          <w:tab w:val="left" w:pos="4474"/>
        </w:tabs>
        <w:spacing w:after="0"/>
        <w:jc w:val="both"/>
        <w:rPr>
          <w:rFonts w:ascii="Arial" w:hAnsi="Arial" w:cs="Arial"/>
          <w:sz w:val="24"/>
          <w:szCs w:val="24"/>
        </w:rPr>
      </w:pPr>
    </w:p>
    <w:p w14:paraId="662F415D" w14:textId="6A147FCB" w:rsidR="00C13756" w:rsidRDefault="38597732" w:rsidP="00C13756">
      <w:pPr>
        <w:pStyle w:val="Prrafodelista"/>
        <w:numPr>
          <w:ilvl w:val="1"/>
          <w:numId w:val="22"/>
        </w:numPr>
        <w:tabs>
          <w:tab w:val="left" w:pos="4474"/>
        </w:tabs>
        <w:spacing w:after="0"/>
        <w:ind w:left="993"/>
        <w:jc w:val="both"/>
        <w:rPr>
          <w:rFonts w:ascii="Arial" w:hAnsi="Arial" w:cs="Arial"/>
          <w:sz w:val="24"/>
          <w:szCs w:val="24"/>
        </w:rPr>
      </w:pPr>
      <w:r w:rsidRPr="00C13756">
        <w:rPr>
          <w:rFonts w:ascii="Arial" w:hAnsi="Arial" w:cs="Arial"/>
          <w:b/>
          <w:bCs/>
          <w:sz w:val="24"/>
          <w:szCs w:val="24"/>
        </w:rPr>
        <w:lastRenderedPageBreak/>
        <w:t>Generación de energía hasta 5 MW</w:t>
      </w:r>
      <w:r w:rsidR="2B8F4F49" w:rsidRPr="00C13756">
        <w:rPr>
          <w:rFonts w:ascii="Arial" w:hAnsi="Arial" w:cs="Arial"/>
          <w:b/>
          <w:bCs/>
          <w:sz w:val="24"/>
          <w:szCs w:val="24"/>
        </w:rPr>
        <w:t>:</w:t>
      </w:r>
      <w:r w:rsidR="2B8F4F49" w:rsidRPr="00C13756">
        <w:rPr>
          <w:rFonts w:ascii="Arial" w:hAnsi="Arial" w:cs="Arial"/>
          <w:sz w:val="24"/>
          <w:szCs w:val="24"/>
        </w:rPr>
        <w:t xml:space="preserve"> </w:t>
      </w:r>
      <w:r w:rsidR="23F5836A" w:rsidRPr="00C13756">
        <w:rPr>
          <w:rFonts w:ascii="Arial" w:hAnsi="Arial" w:cs="Arial"/>
          <w:sz w:val="24"/>
          <w:szCs w:val="24"/>
        </w:rPr>
        <w:t>Proyectos de instalación o implementación de sistemas de generación de energía eléctrica con capacidad instalada igual o inferior a 5 MW, que podrán desarrollarse bajo esquemas centralizados o descentralizados y emplear distintas tecnologías de generación</w:t>
      </w:r>
      <w:r w:rsidR="00C13756" w:rsidRPr="00C13756">
        <w:rPr>
          <w:rFonts w:ascii="Arial" w:hAnsi="Arial" w:cs="Arial"/>
          <w:sz w:val="24"/>
          <w:szCs w:val="24"/>
        </w:rPr>
        <w:t xml:space="preserve">, entre otras, </w:t>
      </w:r>
      <w:r w:rsidR="00C13756" w:rsidRPr="00C63186">
        <w:rPr>
          <w:rFonts w:ascii="Arial" w:hAnsi="Arial" w:cs="Arial"/>
          <w:sz w:val="24"/>
          <w:szCs w:val="24"/>
        </w:rPr>
        <w:t>Fuentes No Convencionales de Energía y combustibles limpios</w:t>
      </w:r>
      <w:r w:rsidR="009779B0">
        <w:rPr>
          <w:rFonts w:ascii="Arial" w:hAnsi="Arial" w:cs="Arial"/>
          <w:sz w:val="24"/>
          <w:szCs w:val="24"/>
        </w:rPr>
        <w:t>.</w:t>
      </w:r>
    </w:p>
    <w:p w14:paraId="337C2A2E" w14:textId="77777777" w:rsidR="00805D5E" w:rsidRPr="00805D5E" w:rsidRDefault="00805D5E" w:rsidP="00805D5E">
      <w:pPr>
        <w:tabs>
          <w:tab w:val="left" w:pos="4474"/>
        </w:tabs>
        <w:spacing w:after="0"/>
        <w:jc w:val="both"/>
        <w:rPr>
          <w:rFonts w:ascii="Arial" w:hAnsi="Arial" w:cs="Arial"/>
          <w:sz w:val="24"/>
          <w:szCs w:val="24"/>
          <w:highlight w:val="yellow"/>
        </w:rPr>
      </w:pPr>
    </w:p>
    <w:p w14:paraId="2631CD4B" w14:textId="4CC9BA87" w:rsidR="00EA249E" w:rsidRPr="001B264F" w:rsidRDefault="005A21F8" w:rsidP="001B264F">
      <w:pPr>
        <w:pStyle w:val="Prrafodelista"/>
        <w:numPr>
          <w:ilvl w:val="1"/>
          <w:numId w:val="22"/>
        </w:numPr>
        <w:tabs>
          <w:tab w:val="left" w:pos="4474"/>
        </w:tabs>
        <w:spacing w:after="0"/>
        <w:ind w:left="993"/>
        <w:jc w:val="both"/>
        <w:rPr>
          <w:rFonts w:ascii="Arial" w:hAnsi="Arial" w:cs="Arial"/>
          <w:sz w:val="24"/>
          <w:szCs w:val="24"/>
        </w:rPr>
      </w:pPr>
      <w:r w:rsidRPr="001B264F">
        <w:rPr>
          <w:rFonts w:ascii="Arial" w:hAnsi="Arial" w:cs="Arial"/>
          <w:b/>
          <w:bCs/>
          <w:sz w:val="24"/>
          <w:szCs w:val="24"/>
        </w:rPr>
        <w:t>A</w:t>
      </w:r>
      <w:r w:rsidR="00AD1194" w:rsidRPr="001B264F">
        <w:rPr>
          <w:rFonts w:ascii="Arial" w:hAnsi="Arial" w:cs="Arial"/>
          <w:b/>
          <w:bCs/>
          <w:sz w:val="24"/>
          <w:szCs w:val="24"/>
        </w:rPr>
        <w:t>tención de emergencias en las Zonas No Interconectadas</w:t>
      </w:r>
      <w:r w:rsidR="00EA249E" w:rsidRPr="001B264F">
        <w:rPr>
          <w:rFonts w:ascii="Arial" w:hAnsi="Arial" w:cs="Arial"/>
          <w:b/>
          <w:bCs/>
          <w:sz w:val="24"/>
          <w:szCs w:val="24"/>
        </w:rPr>
        <w:t>:</w:t>
      </w:r>
      <w:r w:rsidR="00EA249E" w:rsidRPr="001B264F">
        <w:rPr>
          <w:rFonts w:ascii="Arial" w:hAnsi="Arial" w:cs="Arial"/>
          <w:sz w:val="24"/>
          <w:szCs w:val="24"/>
        </w:rPr>
        <w:t xml:space="preserve"> </w:t>
      </w:r>
      <w:r w:rsidRPr="001B264F">
        <w:rPr>
          <w:rFonts w:ascii="Arial" w:hAnsi="Arial" w:cs="Arial"/>
          <w:sz w:val="24"/>
          <w:szCs w:val="24"/>
        </w:rPr>
        <w:t xml:space="preserve">Proyectos para la atención de situaciones que afectan la continuidad en la prestación del servicio de energía eléctrica, por razones de </w:t>
      </w:r>
      <w:r w:rsidR="001B264F">
        <w:rPr>
          <w:rFonts w:ascii="Arial" w:hAnsi="Arial" w:cs="Arial"/>
          <w:sz w:val="24"/>
          <w:szCs w:val="24"/>
        </w:rPr>
        <w:t xml:space="preserve">alteración del </w:t>
      </w:r>
      <w:r w:rsidRPr="001B264F">
        <w:rPr>
          <w:rFonts w:ascii="Arial" w:hAnsi="Arial" w:cs="Arial"/>
          <w:sz w:val="24"/>
          <w:szCs w:val="24"/>
        </w:rPr>
        <w:t>orden público o fenómenos naturales</w:t>
      </w:r>
      <w:r w:rsidR="001B264F" w:rsidRPr="001B264F">
        <w:rPr>
          <w:rFonts w:ascii="Arial" w:hAnsi="Arial" w:cs="Arial"/>
          <w:sz w:val="24"/>
          <w:szCs w:val="24"/>
        </w:rPr>
        <w:t>.</w:t>
      </w:r>
      <w:r w:rsidRPr="001B264F">
        <w:rPr>
          <w:rFonts w:ascii="Arial" w:hAnsi="Arial" w:cs="Arial"/>
          <w:sz w:val="24"/>
          <w:szCs w:val="24"/>
        </w:rPr>
        <w:t xml:space="preserve"> </w:t>
      </w:r>
    </w:p>
    <w:p w14:paraId="518CD73E" w14:textId="77777777" w:rsidR="00EA249E" w:rsidRPr="00EA249E" w:rsidRDefault="00EA249E" w:rsidP="00EA249E">
      <w:pPr>
        <w:tabs>
          <w:tab w:val="left" w:pos="4474"/>
        </w:tabs>
        <w:spacing w:after="0"/>
        <w:ind w:left="633"/>
        <w:jc w:val="both"/>
        <w:rPr>
          <w:rFonts w:ascii="Arial" w:hAnsi="Arial" w:cs="Arial"/>
          <w:sz w:val="24"/>
          <w:szCs w:val="24"/>
          <w:highlight w:val="yellow"/>
        </w:rPr>
      </w:pPr>
    </w:p>
    <w:p w14:paraId="7DE39F9D" w14:textId="1E92E7D1" w:rsidR="00F8344A" w:rsidRDefault="00F8344A" w:rsidP="008E39FD">
      <w:pPr>
        <w:tabs>
          <w:tab w:val="left" w:pos="4474"/>
        </w:tabs>
        <w:spacing w:after="0"/>
        <w:jc w:val="both"/>
        <w:rPr>
          <w:rFonts w:ascii="Arial" w:hAnsi="Arial" w:cs="Arial"/>
          <w:sz w:val="24"/>
          <w:szCs w:val="24"/>
        </w:rPr>
      </w:pPr>
      <w:r w:rsidRPr="3B8C8C19">
        <w:rPr>
          <w:rFonts w:ascii="Arial" w:hAnsi="Arial" w:cs="Arial"/>
          <w:sz w:val="24"/>
          <w:szCs w:val="24"/>
        </w:rPr>
        <w:t xml:space="preserve">Sin perjuicio de lo anterior, un plan, programa </w:t>
      </w:r>
      <w:r w:rsidR="5DFB04E7" w:rsidRPr="3B8C8C19">
        <w:rPr>
          <w:rFonts w:ascii="Arial" w:hAnsi="Arial" w:cs="Arial"/>
          <w:sz w:val="24"/>
          <w:szCs w:val="24"/>
        </w:rPr>
        <w:t>y/</w:t>
      </w:r>
      <w:r w:rsidRPr="3B8C8C19">
        <w:rPr>
          <w:rFonts w:ascii="Arial" w:hAnsi="Arial" w:cs="Arial"/>
          <w:sz w:val="24"/>
          <w:szCs w:val="24"/>
        </w:rPr>
        <w:t>o proyecto podrá estar conformado por una o varias tipologías, en la medida en que su objetivo así lo requiera. No obstante, dado que cada tipología exige la presentación de documentación específica, esta deberá organizarse y presentarse de manera desagregada cuando corresponda y complementarse con la información adicional requerida para cada una de ellas.</w:t>
      </w:r>
    </w:p>
    <w:p w14:paraId="4A6CCC96" w14:textId="77777777" w:rsidR="00CE2EEA" w:rsidRPr="00F8344A" w:rsidRDefault="00CE2EEA" w:rsidP="008E39FD">
      <w:pPr>
        <w:tabs>
          <w:tab w:val="left" w:pos="4474"/>
        </w:tabs>
        <w:spacing w:after="0"/>
        <w:jc w:val="both"/>
        <w:rPr>
          <w:rFonts w:ascii="Arial" w:hAnsi="Arial" w:cs="Arial"/>
          <w:sz w:val="24"/>
          <w:szCs w:val="24"/>
        </w:rPr>
      </w:pPr>
    </w:p>
    <w:p w14:paraId="206F4C0A" w14:textId="77777777" w:rsidR="00F8344A" w:rsidRDefault="00F8344A" w:rsidP="008E39FD">
      <w:pPr>
        <w:tabs>
          <w:tab w:val="left" w:pos="4474"/>
        </w:tabs>
        <w:spacing w:after="0"/>
        <w:jc w:val="both"/>
        <w:rPr>
          <w:rFonts w:ascii="Arial" w:hAnsi="Arial" w:cs="Arial"/>
          <w:sz w:val="24"/>
          <w:szCs w:val="24"/>
        </w:rPr>
      </w:pPr>
      <w:r w:rsidRPr="00F8344A">
        <w:rPr>
          <w:rFonts w:ascii="Arial" w:hAnsi="Arial" w:cs="Arial"/>
          <w:sz w:val="24"/>
          <w:szCs w:val="24"/>
        </w:rPr>
        <w:t>En los casos en que un mismo documento aplique a varias tipologías y no requiera información diferenciada o adicional, podrá presentarse una única vez. </w:t>
      </w:r>
    </w:p>
    <w:p w14:paraId="196B4A6B" w14:textId="77777777" w:rsidR="007129E8" w:rsidRPr="00F8344A" w:rsidRDefault="007129E8" w:rsidP="008E39FD">
      <w:pPr>
        <w:tabs>
          <w:tab w:val="left" w:pos="4474"/>
        </w:tabs>
        <w:spacing w:after="0"/>
        <w:jc w:val="both"/>
        <w:rPr>
          <w:rFonts w:ascii="Arial" w:hAnsi="Arial" w:cs="Arial"/>
          <w:sz w:val="24"/>
          <w:szCs w:val="24"/>
        </w:rPr>
      </w:pPr>
    </w:p>
    <w:p w14:paraId="490BD98C" w14:textId="416C2BB0" w:rsidR="00EC5774" w:rsidRDefault="00EC5774" w:rsidP="008E39FD">
      <w:pPr>
        <w:tabs>
          <w:tab w:val="left" w:pos="4474"/>
        </w:tabs>
        <w:spacing w:after="0"/>
        <w:jc w:val="both"/>
        <w:rPr>
          <w:rFonts w:ascii="Arial" w:hAnsi="Arial" w:cs="Arial"/>
          <w:sz w:val="24"/>
          <w:szCs w:val="24"/>
        </w:rPr>
      </w:pPr>
      <w:r w:rsidRPr="00BA51F2">
        <w:rPr>
          <w:rFonts w:ascii="Arial" w:hAnsi="Arial" w:cs="Arial"/>
          <w:b/>
          <w:sz w:val="24"/>
          <w:szCs w:val="24"/>
        </w:rPr>
        <w:t>Nota Especial 1</w:t>
      </w:r>
      <w:r w:rsidRPr="00A255F1">
        <w:rPr>
          <w:rFonts w:ascii="Arial" w:hAnsi="Arial" w:cs="Arial"/>
          <w:b/>
          <w:bCs/>
          <w:sz w:val="24"/>
          <w:szCs w:val="24"/>
        </w:rPr>
        <w:t>:</w:t>
      </w:r>
      <w:r>
        <w:rPr>
          <w:rFonts w:ascii="Arial" w:hAnsi="Arial" w:cs="Arial"/>
          <w:sz w:val="24"/>
          <w:szCs w:val="24"/>
        </w:rPr>
        <w:t xml:space="preserve"> L</w:t>
      </w:r>
      <w:r w:rsidRPr="00A255F1">
        <w:rPr>
          <w:rFonts w:ascii="Arial" w:hAnsi="Arial" w:cs="Arial"/>
          <w:sz w:val="24"/>
          <w:szCs w:val="24"/>
        </w:rPr>
        <w:t>os proyectos pertenecientes al Sistema de Transmisión Regional (STR) cuyo nivel de tensión sea menor o igual a 57,5 kV</w:t>
      </w:r>
      <w:r>
        <w:rPr>
          <w:rFonts w:ascii="Arial" w:hAnsi="Arial" w:cs="Arial"/>
          <w:sz w:val="24"/>
          <w:szCs w:val="24"/>
        </w:rPr>
        <w:t xml:space="preserve"> podrán ser financiados por FONENERGIA</w:t>
      </w:r>
      <w:r w:rsidRPr="00A255F1">
        <w:rPr>
          <w:rFonts w:ascii="Arial" w:hAnsi="Arial" w:cs="Arial"/>
          <w:sz w:val="24"/>
          <w:szCs w:val="24"/>
        </w:rPr>
        <w:t>, siempre que estos tengan como finalidad la ampliación de la cobertura del servicio de energía eléctrica o la mejora, modernización y/o rehabilitación de la infraestructura eléctrica existente, contribuyendo así a la continuidad, calidad y confiabilidad del servicio.</w:t>
      </w:r>
    </w:p>
    <w:p w14:paraId="66A5BAC8" w14:textId="77777777" w:rsidR="00EC5774" w:rsidRDefault="00EC5774" w:rsidP="008E39FD">
      <w:pPr>
        <w:tabs>
          <w:tab w:val="left" w:pos="4474"/>
        </w:tabs>
        <w:spacing w:after="0"/>
        <w:jc w:val="both"/>
        <w:rPr>
          <w:rFonts w:ascii="Arial" w:hAnsi="Arial" w:cs="Arial"/>
          <w:sz w:val="24"/>
          <w:szCs w:val="24"/>
        </w:rPr>
      </w:pPr>
    </w:p>
    <w:p w14:paraId="7EFB6C36" w14:textId="3FB094FD" w:rsidR="00EC5774" w:rsidRDefault="38597732" w:rsidP="008E39FD">
      <w:pPr>
        <w:tabs>
          <w:tab w:val="left" w:pos="4474"/>
        </w:tabs>
        <w:spacing w:after="0"/>
        <w:jc w:val="both"/>
        <w:rPr>
          <w:rFonts w:ascii="Arial" w:hAnsi="Arial" w:cs="Arial"/>
          <w:sz w:val="24"/>
          <w:szCs w:val="24"/>
        </w:rPr>
      </w:pPr>
      <w:r w:rsidRPr="00BA51F2">
        <w:rPr>
          <w:rFonts w:ascii="Arial" w:hAnsi="Arial" w:cs="Arial"/>
          <w:b/>
          <w:sz w:val="24"/>
          <w:szCs w:val="24"/>
        </w:rPr>
        <w:t>Nota Especial 2:</w:t>
      </w:r>
      <w:r w:rsidRPr="00BA51F2">
        <w:rPr>
          <w:rFonts w:ascii="Arial" w:hAnsi="Arial" w:cs="Arial"/>
          <w:sz w:val="24"/>
          <w:szCs w:val="24"/>
        </w:rPr>
        <w:t xml:space="preserve"> </w:t>
      </w:r>
      <w:r w:rsidRPr="719E25F3">
        <w:rPr>
          <w:rFonts w:ascii="Arial" w:hAnsi="Arial" w:cs="Arial"/>
          <w:sz w:val="24"/>
          <w:szCs w:val="24"/>
        </w:rPr>
        <w:t xml:space="preserve">Para los proyectos que, por su carácter de interés nacional y/o estratégico, no se encuentren comprendidos dentro de la tipología previamente definida en el presente Manual Operativo, </w:t>
      </w:r>
      <w:r w:rsidR="2B127910" w:rsidRPr="719E25F3">
        <w:rPr>
          <w:rFonts w:ascii="Arial" w:hAnsi="Arial" w:cs="Arial"/>
          <w:sz w:val="24"/>
          <w:szCs w:val="24"/>
        </w:rPr>
        <w:t>se requerirá aprobación previa del</w:t>
      </w:r>
      <w:r w:rsidRPr="719E25F3">
        <w:rPr>
          <w:rFonts w:ascii="Arial" w:hAnsi="Arial" w:cs="Arial"/>
          <w:sz w:val="24"/>
          <w:szCs w:val="24"/>
        </w:rPr>
        <w:t xml:space="preserve"> Comité de Administración del FONENERGÍA</w:t>
      </w:r>
      <w:r w:rsidR="71022538" w:rsidRPr="719E25F3">
        <w:rPr>
          <w:rFonts w:ascii="Arial" w:hAnsi="Arial" w:cs="Arial"/>
          <w:sz w:val="24"/>
          <w:szCs w:val="24"/>
        </w:rPr>
        <w:t xml:space="preserve"> y se determinarán los requisitos adicionales que fueren el caso, </w:t>
      </w:r>
      <w:r w:rsidRPr="719E25F3">
        <w:rPr>
          <w:rFonts w:ascii="Arial" w:hAnsi="Arial" w:cs="Arial"/>
          <w:sz w:val="24"/>
          <w:szCs w:val="24"/>
        </w:rPr>
        <w:t>atendiendo a su impacto en la cobertura, confiabilidad y sostenibilidad del servicio de energía eléctrica.</w:t>
      </w:r>
    </w:p>
    <w:p w14:paraId="624E8B22" w14:textId="77777777" w:rsidR="007129E8" w:rsidRDefault="007129E8" w:rsidP="008E39FD">
      <w:pPr>
        <w:tabs>
          <w:tab w:val="left" w:pos="4474"/>
        </w:tabs>
        <w:spacing w:after="0"/>
        <w:jc w:val="both"/>
        <w:rPr>
          <w:rFonts w:ascii="Arial" w:hAnsi="Arial" w:cs="Arial"/>
          <w:sz w:val="24"/>
          <w:szCs w:val="24"/>
        </w:rPr>
      </w:pPr>
    </w:p>
    <w:p w14:paraId="767DD266" w14:textId="77777777" w:rsidR="00EC5774" w:rsidRDefault="38597732" w:rsidP="008E39FD">
      <w:pPr>
        <w:tabs>
          <w:tab w:val="left" w:pos="4474"/>
        </w:tabs>
        <w:spacing w:after="0"/>
        <w:jc w:val="both"/>
        <w:rPr>
          <w:rFonts w:ascii="Arial" w:hAnsi="Arial" w:cs="Arial"/>
          <w:sz w:val="24"/>
          <w:szCs w:val="24"/>
        </w:rPr>
      </w:pPr>
      <w:r w:rsidRPr="719E25F3">
        <w:rPr>
          <w:rFonts w:ascii="Arial" w:hAnsi="Arial" w:cs="Arial"/>
          <w:b/>
          <w:bCs/>
          <w:sz w:val="24"/>
          <w:szCs w:val="24"/>
        </w:rPr>
        <w:t>Nota Especial 3:</w:t>
      </w:r>
      <w:r w:rsidRPr="719E25F3">
        <w:rPr>
          <w:rFonts w:ascii="Arial" w:hAnsi="Arial" w:cs="Arial"/>
          <w:sz w:val="24"/>
          <w:szCs w:val="24"/>
        </w:rPr>
        <w:t xml:space="preserve"> Los costos de preinversión que se incurran en la etapa de estructuración de los proyectos estarán a cargo del formulador o estructurador del proyecto.</w:t>
      </w:r>
    </w:p>
    <w:p w14:paraId="53FD8ED6" w14:textId="77777777" w:rsidR="00EC5774" w:rsidRDefault="00EC5774" w:rsidP="00B03685">
      <w:pPr>
        <w:spacing w:after="0"/>
        <w:jc w:val="both"/>
        <w:rPr>
          <w:rFonts w:ascii="Arial" w:hAnsi="Arial" w:cs="Arial"/>
          <w:sz w:val="24"/>
          <w:szCs w:val="24"/>
          <w:highlight w:val="blue"/>
        </w:rPr>
      </w:pPr>
    </w:p>
    <w:p w14:paraId="4CD329E9" w14:textId="535DDA85" w:rsidR="00AD1194" w:rsidRPr="001E2179" w:rsidRDefault="00AD1194" w:rsidP="00AD1194">
      <w:pPr>
        <w:tabs>
          <w:tab w:val="left" w:pos="4474"/>
        </w:tabs>
        <w:spacing w:after="0"/>
        <w:jc w:val="both"/>
        <w:rPr>
          <w:rFonts w:ascii="Arial" w:hAnsi="Arial" w:cs="Arial"/>
          <w:sz w:val="24"/>
          <w:szCs w:val="24"/>
        </w:rPr>
      </w:pPr>
      <w:r w:rsidRPr="00AD1194">
        <w:rPr>
          <w:rFonts w:ascii="Arial" w:hAnsi="Arial" w:cs="Arial"/>
          <w:b/>
          <w:bCs/>
          <w:sz w:val="24"/>
          <w:szCs w:val="24"/>
        </w:rPr>
        <w:t xml:space="preserve">Nota Especial </w:t>
      </w:r>
      <w:r w:rsidR="005F050F">
        <w:rPr>
          <w:rFonts w:ascii="Arial" w:hAnsi="Arial" w:cs="Arial"/>
          <w:b/>
          <w:bCs/>
          <w:sz w:val="24"/>
          <w:szCs w:val="24"/>
        </w:rPr>
        <w:t>4</w:t>
      </w:r>
      <w:r w:rsidRPr="00AD1194">
        <w:rPr>
          <w:rFonts w:ascii="Arial" w:hAnsi="Arial" w:cs="Arial"/>
          <w:b/>
          <w:bCs/>
          <w:sz w:val="24"/>
          <w:szCs w:val="24"/>
        </w:rPr>
        <w:t>:</w:t>
      </w:r>
      <w:r>
        <w:rPr>
          <w:rFonts w:ascii="Arial" w:hAnsi="Arial" w:cs="Arial"/>
          <w:sz w:val="24"/>
          <w:szCs w:val="24"/>
        </w:rPr>
        <w:t xml:space="preserve"> Los proyectos mencionados en los literales a, b, c, d, e y f podrán cubrir los siguientes objetos: </w:t>
      </w:r>
      <w:r w:rsidRPr="001E2179">
        <w:rPr>
          <w:rFonts w:ascii="Arial" w:hAnsi="Arial" w:cs="Arial"/>
          <w:sz w:val="24"/>
          <w:szCs w:val="24"/>
        </w:rPr>
        <w:t xml:space="preserve">i) costos de las acometidas, medidores e instalaciones internas, ii) construcción, iii) instalación, iv) interventorías cuando se requiera, v) costos de administración por la ejecución de los proyectos, vi) requerimientos de servidumbres, </w:t>
      </w:r>
      <w:r w:rsidR="0099098E">
        <w:rPr>
          <w:rFonts w:ascii="Arial" w:hAnsi="Arial" w:cs="Arial"/>
          <w:sz w:val="24"/>
          <w:szCs w:val="24"/>
        </w:rPr>
        <w:t>vii</w:t>
      </w:r>
      <w:r w:rsidRPr="001E2179">
        <w:rPr>
          <w:rFonts w:ascii="Arial" w:hAnsi="Arial" w:cs="Arial"/>
          <w:sz w:val="24"/>
          <w:szCs w:val="24"/>
        </w:rPr>
        <w:t xml:space="preserve">) ejecución de planes de manejo ambiental necesarios para el desarrollo de los planes, programas o proyectos a ser financiados y </w:t>
      </w:r>
      <w:r w:rsidR="0099098E">
        <w:rPr>
          <w:rFonts w:ascii="Arial" w:hAnsi="Arial" w:cs="Arial"/>
          <w:sz w:val="24"/>
          <w:szCs w:val="24"/>
        </w:rPr>
        <w:t>viii</w:t>
      </w:r>
      <w:r w:rsidRPr="001E2179">
        <w:rPr>
          <w:rFonts w:ascii="Arial" w:hAnsi="Arial" w:cs="Arial"/>
          <w:sz w:val="24"/>
          <w:szCs w:val="24"/>
        </w:rPr>
        <w:t>) capacitaciones.</w:t>
      </w:r>
    </w:p>
    <w:p w14:paraId="23883A01" w14:textId="77777777" w:rsidR="007129E8" w:rsidRDefault="007129E8" w:rsidP="00B03685">
      <w:pPr>
        <w:spacing w:after="0"/>
        <w:jc w:val="both"/>
        <w:rPr>
          <w:rFonts w:ascii="Arial" w:hAnsi="Arial" w:cs="Arial"/>
          <w:sz w:val="24"/>
          <w:szCs w:val="24"/>
          <w:highlight w:val="blue"/>
        </w:rPr>
      </w:pPr>
    </w:p>
    <w:p w14:paraId="415D8447" w14:textId="0860B7FA" w:rsidR="00EC5774" w:rsidRDefault="00D2277F" w:rsidP="005F050F">
      <w:pPr>
        <w:pStyle w:val="Ttulo5"/>
        <w:ind w:left="1008" w:hanging="1008"/>
      </w:pPr>
      <w:bookmarkStart w:id="133" w:name="_Toc219397268"/>
      <w:bookmarkStart w:id="134" w:name="_Toc224844360"/>
      <w:r w:rsidRPr="00D2277F">
        <w:rPr>
          <w:bCs/>
        </w:rPr>
        <w:t xml:space="preserve">III-2.3 </w:t>
      </w:r>
      <w:bookmarkEnd w:id="133"/>
      <w:bookmarkEnd w:id="134"/>
      <w:r w:rsidR="005F050F">
        <w:t xml:space="preserve">Requisitos </w:t>
      </w:r>
      <w:r w:rsidR="000A3BC4">
        <w:t>p</w:t>
      </w:r>
      <w:r w:rsidR="005F050F">
        <w:t xml:space="preserve">ara </w:t>
      </w:r>
      <w:r w:rsidR="000A3BC4">
        <w:t>a</w:t>
      </w:r>
      <w:r w:rsidR="005F050F">
        <w:t xml:space="preserve">cceder a </w:t>
      </w:r>
      <w:r w:rsidR="000A3BC4">
        <w:t>r</w:t>
      </w:r>
      <w:r w:rsidR="005F050F">
        <w:t>ecursos</w:t>
      </w:r>
    </w:p>
    <w:p w14:paraId="1DD9DCB0" w14:textId="5D4FDA4F" w:rsidR="00EF701A" w:rsidRPr="00EF701A" w:rsidRDefault="00EF701A" w:rsidP="005F050F">
      <w:pPr>
        <w:spacing w:after="0"/>
      </w:pPr>
    </w:p>
    <w:p w14:paraId="75B73762" w14:textId="649B8B4A" w:rsidR="00CE0407" w:rsidRDefault="18A00C52" w:rsidP="008E39FD">
      <w:pPr>
        <w:suppressAutoHyphens w:val="0"/>
        <w:spacing w:after="160"/>
        <w:jc w:val="both"/>
        <w:rPr>
          <w:rFonts w:ascii="Arial" w:hAnsi="Arial" w:cs="Arial"/>
          <w:kern w:val="2"/>
          <w:sz w:val="24"/>
          <w:szCs w:val="24"/>
          <w14:ligatures w14:val="standardContextual"/>
        </w:rPr>
      </w:pPr>
      <w:r w:rsidRPr="00C63186">
        <w:rPr>
          <w:rFonts w:ascii="Arial" w:hAnsi="Arial" w:cs="Arial"/>
          <w:kern w:val="2"/>
          <w:sz w:val="24"/>
          <w:szCs w:val="24"/>
          <w14:ligatures w14:val="standardContextual"/>
        </w:rPr>
        <w:lastRenderedPageBreak/>
        <w:t>Quienes present</w:t>
      </w:r>
      <w:r w:rsidR="49BB1A4B">
        <w:rPr>
          <w:rFonts w:ascii="Arial" w:hAnsi="Arial" w:cs="Arial"/>
          <w:kern w:val="2"/>
          <w:sz w:val="24"/>
          <w:szCs w:val="24"/>
          <w14:ligatures w14:val="standardContextual"/>
        </w:rPr>
        <w:t>en</w:t>
      </w:r>
      <w:r w:rsidRPr="00C63186">
        <w:rPr>
          <w:rFonts w:ascii="Arial" w:hAnsi="Arial" w:cs="Arial"/>
          <w:kern w:val="2"/>
          <w:sz w:val="24"/>
          <w:szCs w:val="24"/>
          <w14:ligatures w14:val="standardContextual"/>
        </w:rPr>
        <w:t xml:space="preserve"> los planes, programas o proyectos que busquen financiarse con cargo a FONENERGIA deberán entregar a este Fondo o a quien haga sus veces, en medio físico y/o magnético, la siguiente documentación</w:t>
      </w:r>
      <w:r w:rsidR="112FE305" w:rsidRPr="00C63186">
        <w:rPr>
          <w:rFonts w:ascii="Arial" w:hAnsi="Arial" w:cs="Arial"/>
          <w:kern w:val="2"/>
          <w:sz w:val="24"/>
          <w:szCs w:val="24"/>
          <w14:ligatures w14:val="standardContextual"/>
        </w:rPr>
        <w:t xml:space="preserve"> atendiendo los </w:t>
      </w:r>
      <w:r w:rsidR="112FE305" w:rsidRPr="008B342F">
        <w:rPr>
          <w:rFonts w:ascii="Arial" w:hAnsi="Arial" w:cs="Arial"/>
          <w:kern w:val="2"/>
          <w:sz w:val="24"/>
          <w:szCs w:val="24"/>
          <w:highlight w:val="yellow"/>
          <w14:ligatures w14:val="standardContextual"/>
        </w:rPr>
        <w:t xml:space="preserve">formatos </w:t>
      </w:r>
      <w:r w:rsidR="112FE305" w:rsidRPr="00F66706">
        <w:rPr>
          <w:rFonts w:ascii="Arial" w:hAnsi="Arial" w:cs="Arial"/>
          <w:kern w:val="2"/>
          <w:sz w:val="24"/>
          <w:szCs w:val="24"/>
          <w14:ligatures w14:val="standardContextual"/>
        </w:rPr>
        <w:t>establecidos para cada caso por el MME</w:t>
      </w:r>
      <w:r w:rsidRPr="00F66706">
        <w:rPr>
          <w:rFonts w:ascii="Arial" w:hAnsi="Arial" w:cs="Arial"/>
          <w:kern w:val="2"/>
          <w:sz w:val="24"/>
          <w:szCs w:val="24"/>
          <w14:ligatures w14:val="standardContextual"/>
        </w:rPr>
        <w:t>:</w:t>
      </w:r>
    </w:p>
    <w:p w14:paraId="01E197D4" w14:textId="18067F0F" w:rsidR="00181E77" w:rsidRDefault="37E463F8" w:rsidP="00B320D0">
      <w:pPr>
        <w:pStyle w:val="Prrafodelista"/>
        <w:numPr>
          <w:ilvl w:val="0"/>
          <w:numId w:val="33"/>
        </w:numPr>
        <w:suppressAutoHyphens w:val="0"/>
        <w:spacing w:after="160"/>
        <w:jc w:val="both"/>
        <w:rPr>
          <w:rFonts w:ascii="Arial" w:hAnsi="Arial" w:cs="Arial"/>
          <w:kern w:val="2"/>
          <w:sz w:val="24"/>
          <w:szCs w:val="24"/>
          <w14:ligatures w14:val="standardContextual"/>
        </w:rPr>
      </w:pPr>
      <w:r w:rsidRPr="00181E77">
        <w:rPr>
          <w:rFonts w:ascii="Arial" w:hAnsi="Arial" w:cs="Arial"/>
          <w:b/>
          <w:bCs/>
          <w:kern w:val="2"/>
          <w:sz w:val="24"/>
          <w:szCs w:val="24"/>
          <w14:ligatures w14:val="standardContextual"/>
        </w:rPr>
        <w:t>Documentación jurídico-administrativ</w:t>
      </w:r>
      <w:r w:rsidR="5FB697DC" w:rsidRPr="00181E77">
        <w:rPr>
          <w:rFonts w:ascii="Arial" w:hAnsi="Arial" w:cs="Arial"/>
          <w:b/>
          <w:bCs/>
          <w:kern w:val="2"/>
          <w:sz w:val="24"/>
          <w:szCs w:val="24"/>
          <w14:ligatures w14:val="standardContextual"/>
        </w:rPr>
        <w:t>a</w:t>
      </w:r>
      <w:r w:rsidRPr="00181E77">
        <w:rPr>
          <w:rFonts w:ascii="Arial" w:hAnsi="Arial" w:cs="Arial"/>
          <w:b/>
          <w:bCs/>
          <w:kern w:val="2"/>
          <w:sz w:val="24"/>
          <w:szCs w:val="24"/>
          <w14:ligatures w14:val="standardContextual"/>
        </w:rPr>
        <w:t>: </w:t>
      </w:r>
      <w:r w:rsidRPr="00181E77">
        <w:rPr>
          <w:rFonts w:ascii="Arial" w:hAnsi="Arial" w:cs="Arial"/>
          <w:kern w:val="2"/>
          <w:sz w:val="24"/>
          <w:szCs w:val="24"/>
          <w14:ligatures w14:val="standardContextual"/>
        </w:rPr>
        <w:t xml:space="preserve">Esta documentación se presentará una única vez por plan, programa </w:t>
      </w:r>
      <w:r w:rsidR="4CD81F2C" w:rsidRPr="00181E77">
        <w:rPr>
          <w:rFonts w:ascii="Arial" w:hAnsi="Arial" w:cs="Arial"/>
          <w:kern w:val="2"/>
          <w:sz w:val="24"/>
          <w:szCs w:val="24"/>
          <w14:ligatures w14:val="standardContextual"/>
        </w:rPr>
        <w:t>y/</w:t>
      </w:r>
      <w:r w:rsidRPr="00181E77">
        <w:rPr>
          <w:rFonts w:ascii="Arial" w:hAnsi="Arial" w:cs="Arial"/>
          <w:kern w:val="2"/>
          <w:sz w:val="24"/>
          <w:szCs w:val="24"/>
          <w14:ligatures w14:val="standardContextual"/>
        </w:rPr>
        <w:t xml:space="preserve">o proyecto, aun cuando este contemple más de una tipología definida en el numeral </w:t>
      </w:r>
      <w:r w:rsidR="00644A26" w:rsidRPr="00644A26">
        <w:rPr>
          <w:rFonts w:ascii="Arial" w:hAnsi="Arial" w:cs="Arial"/>
          <w:kern w:val="2"/>
          <w:sz w:val="24"/>
          <w:szCs w:val="24"/>
          <w14:ligatures w14:val="standardContextual"/>
        </w:rPr>
        <w:t>III-2.2</w:t>
      </w:r>
      <w:r w:rsidRPr="00181E77">
        <w:rPr>
          <w:rFonts w:ascii="Arial" w:hAnsi="Arial" w:cs="Arial"/>
          <w:kern w:val="2"/>
          <w:sz w:val="24"/>
          <w:szCs w:val="24"/>
          <w14:ligatures w14:val="standardContextual"/>
        </w:rPr>
        <w:t>. </w:t>
      </w:r>
    </w:p>
    <w:p w14:paraId="1E7F1D00" w14:textId="77777777" w:rsidR="005F050F" w:rsidRDefault="005F050F" w:rsidP="005F050F">
      <w:pPr>
        <w:pStyle w:val="Prrafodelista"/>
        <w:suppressAutoHyphens w:val="0"/>
        <w:spacing w:after="160"/>
        <w:jc w:val="both"/>
        <w:rPr>
          <w:rFonts w:ascii="Arial" w:hAnsi="Arial" w:cs="Arial"/>
          <w:kern w:val="2"/>
          <w:sz w:val="24"/>
          <w:szCs w:val="24"/>
          <w14:ligatures w14:val="standardContextual"/>
        </w:rPr>
      </w:pPr>
    </w:p>
    <w:p w14:paraId="405970EA" w14:textId="68ED3F76" w:rsidR="005F050F" w:rsidRDefault="00181E77" w:rsidP="005F050F">
      <w:pPr>
        <w:pStyle w:val="Prrafodelista"/>
        <w:numPr>
          <w:ilvl w:val="0"/>
          <w:numId w:val="33"/>
        </w:numPr>
        <w:suppressAutoHyphens w:val="0"/>
        <w:spacing w:after="0"/>
        <w:jc w:val="both"/>
        <w:rPr>
          <w:rFonts w:ascii="Arial" w:hAnsi="Arial" w:cs="Arial"/>
          <w:kern w:val="2"/>
          <w:sz w:val="24"/>
          <w:szCs w:val="24"/>
          <w14:ligatures w14:val="standardContextual"/>
        </w:rPr>
      </w:pPr>
      <w:r w:rsidRPr="00181E77">
        <w:rPr>
          <w:rFonts w:ascii="Arial" w:hAnsi="Arial" w:cs="Arial"/>
          <w:b/>
          <w:bCs/>
          <w:kern w:val="2"/>
          <w:sz w:val="24"/>
          <w:szCs w:val="24"/>
          <w14:ligatures w14:val="standardContextual"/>
        </w:rPr>
        <w:t>Documentación general: </w:t>
      </w:r>
      <w:r w:rsidRPr="00181E77">
        <w:rPr>
          <w:rFonts w:ascii="Arial" w:hAnsi="Arial" w:cs="Arial"/>
          <w:kern w:val="2"/>
          <w:sz w:val="24"/>
          <w:szCs w:val="24"/>
          <w14:ligatures w14:val="standardContextual"/>
        </w:rPr>
        <w:t>Corresponde a la información técnica, financiera y social de carácter transversal. Cuando el proyecto contemple más de una tipología, deberá presentarse la documentación general de manera diferenciada para cada una de ellas, garantizando la delimitación clara de su alcance, costos y componentes. </w:t>
      </w:r>
    </w:p>
    <w:p w14:paraId="09FC1C20" w14:textId="77777777" w:rsidR="005F050F" w:rsidRPr="005F050F" w:rsidRDefault="005F050F" w:rsidP="005F050F">
      <w:pPr>
        <w:suppressAutoHyphens w:val="0"/>
        <w:spacing w:after="0"/>
        <w:jc w:val="both"/>
        <w:rPr>
          <w:rFonts w:ascii="Arial" w:hAnsi="Arial" w:cs="Arial"/>
          <w:kern w:val="2"/>
          <w:sz w:val="24"/>
          <w:szCs w:val="24"/>
          <w14:ligatures w14:val="standardContextual"/>
        </w:rPr>
      </w:pPr>
    </w:p>
    <w:p w14:paraId="4033D77E" w14:textId="0EA234C9" w:rsidR="00BF67FA" w:rsidRDefault="00BF67FA" w:rsidP="005F050F">
      <w:pPr>
        <w:pStyle w:val="Prrafodelista"/>
        <w:numPr>
          <w:ilvl w:val="0"/>
          <w:numId w:val="33"/>
        </w:numPr>
        <w:suppressAutoHyphens w:val="0"/>
        <w:spacing w:after="0"/>
        <w:jc w:val="both"/>
        <w:rPr>
          <w:rFonts w:ascii="Arial" w:hAnsi="Arial" w:cs="Arial"/>
          <w:kern w:val="2"/>
          <w:sz w:val="24"/>
          <w:szCs w:val="24"/>
          <w14:ligatures w14:val="standardContextual"/>
        </w:rPr>
      </w:pPr>
      <w:r w:rsidRPr="00BF67FA">
        <w:rPr>
          <w:rFonts w:ascii="Arial" w:hAnsi="Arial" w:cs="Arial"/>
          <w:b/>
          <w:bCs/>
          <w:kern w:val="2"/>
          <w:sz w:val="24"/>
          <w:szCs w:val="24"/>
          <w14:ligatures w14:val="standardContextual"/>
        </w:rPr>
        <w:t>Documentación específica por tipología:</w:t>
      </w:r>
      <w:r w:rsidRPr="00BF67FA">
        <w:rPr>
          <w:rFonts w:ascii="Arial" w:hAnsi="Arial" w:cs="Arial"/>
          <w:kern w:val="2"/>
          <w:sz w:val="24"/>
          <w:szCs w:val="24"/>
          <w14:ligatures w14:val="standardContextual"/>
        </w:rPr>
        <w:t xml:space="preserve"> Corresponde a los requisitos particulares definidos para cada tipología de proyecto. En caso de que el plan, programa o proyecto contemple más de una tipología, deberá acreditarse el cumplimiento independiente de los requisitos específicos aplicables a cada una. </w:t>
      </w:r>
    </w:p>
    <w:p w14:paraId="61DD722C" w14:textId="77777777" w:rsidR="005F050F" w:rsidRPr="005F050F" w:rsidRDefault="005F050F" w:rsidP="005F050F">
      <w:pPr>
        <w:suppressAutoHyphens w:val="0"/>
        <w:spacing w:after="0"/>
        <w:jc w:val="both"/>
        <w:rPr>
          <w:rFonts w:ascii="Arial" w:hAnsi="Arial" w:cs="Arial"/>
          <w:kern w:val="2"/>
          <w:sz w:val="24"/>
          <w:szCs w:val="24"/>
          <w14:ligatures w14:val="standardContextual"/>
        </w:rPr>
      </w:pPr>
    </w:p>
    <w:p w14:paraId="42A85909" w14:textId="77777777" w:rsidR="00BF67FA" w:rsidRPr="00BF67FA" w:rsidRDefault="00BF67FA" w:rsidP="008E39FD">
      <w:pPr>
        <w:suppressAutoHyphens w:val="0"/>
        <w:spacing w:after="160"/>
        <w:jc w:val="both"/>
        <w:rPr>
          <w:rFonts w:ascii="Arial" w:hAnsi="Arial" w:cs="Arial"/>
          <w:kern w:val="2"/>
          <w:sz w:val="24"/>
          <w:szCs w:val="24"/>
          <w14:ligatures w14:val="standardContextual"/>
        </w:rPr>
      </w:pPr>
      <w:r w:rsidRPr="00BF67FA">
        <w:rPr>
          <w:rFonts w:ascii="Arial" w:hAnsi="Arial" w:cs="Arial"/>
          <w:kern w:val="2"/>
          <w:sz w:val="24"/>
          <w:szCs w:val="24"/>
          <w14:ligatures w14:val="standardContextual"/>
        </w:rPr>
        <w:t xml:space="preserve">Adicionalmente, toda la información presentada deberá ser consistente, concordante y coherente entre los diferentes documentos que integran el plan, programa o proyecto; particularmente, las cantidades de obra, especificaciones técnicas, alcances, cronogramas y valores presupuestales asociados en estudios, memorias de cálculo, planos, cuadros de cantidades y presupuesto oficial. </w:t>
      </w:r>
    </w:p>
    <w:p w14:paraId="250BD8D6" w14:textId="113B7105" w:rsidR="00BF67FA" w:rsidRDefault="00BF67FA" w:rsidP="005F050F">
      <w:pPr>
        <w:suppressAutoHyphens w:val="0"/>
        <w:spacing w:after="0"/>
        <w:jc w:val="both"/>
        <w:rPr>
          <w:rFonts w:ascii="Arial" w:hAnsi="Arial" w:cs="Arial"/>
          <w:kern w:val="2"/>
          <w:sz w:val="24"/>
          <w:szCs w:val="24"/>
          <w14:ligatures w14:val="standardContextual"/>
        </w:rPr>
      </w:pPr>
      <w:r w:rsidRPr="00BF67FA">
        <w:rPr>
          <w:rFonts w:ascii="Arial" w:hAnsi="Arial" w:cs="Arial"/>
          <w:kern w:val="2"/>
          <w:sz w:val="24"/>
          <w:szCs w:val="24"/>
          <w14:ligatures w14:val="standardContextual"/>
        </w:rPr>
        <w:t>Las inconsistencias o contradicciones entre documentos podrán dar lugar a solicitudes de aclaración, requerimientos de ajuste o, de ser el caso, a la no viabilidad del proyecto.</w:t>
      </w:r>
    </w:p>
    <w:p w14:paraId="0EE30C12" w14:textId="77777777" w:rsidR="005F050F" w:rsidRPr="00BF67FA" w:rsidRDefault="005F050F" w:rsidP="005F050F">
      <w:pPr>
        <w:suppressAutoHyphens w:val="0"/>
        <w:spacing w:after="0"/>
        <w:jc w:val="both"/>
        <w:rPr>
          <w:rFonts w:ascii="Arial" w:hAnsi="Arial" w:cs="Arial"/>
          <w:kern w:val="2"/>
          <w:sz w:val="24"/>
          <w:szCs w:val="24"/>
          <w14:ligatures w14:val="standardContextual"/>
        </w:rPr>
      </w:pPr>
    </w:p>
    <w:p w14:paraId="5C67C163" w14:textId="408C0935" w:rsidR="00E021FF" w:rsidRDefault="003654D1" w:rsidP="00517B59">
      <w:pPr>
        <w:pStyle w:val="Ttulo6"/>
        <w:ind w:left="1152" w:hanging="1152"/>
        <w:rPr>
          <w:bCs/>
        </w:rPr>
      </w:pPr>
      <w:bookmarkStart w:id="135" w:name="_Hlk219791909"/>
      <w:r w:rsidRPr="007B1FEC">
        <w:rPr>
          <w:bCs/>
        </w:rPr>
        <w:t>III-2</w:t>
      </w:r>
      <w:r w:rsidR="00B72D21" w:rsidRPr="007B1FEC">
        <w:rPr>
          <w:bCs/>
        </w:rPr>
        <w:t>.</w:t>
      </w:r>
      <w:r w:rsidR="005F050F">
        <w:rPr>
          <w:bCs/>
        </w:rPr>
        <w:t>3</w:t>
      </w:r>
      <w:r w:rsidR="00B72D21" w:rsidRPr="007B1FEC">
        <w:rPr>
          <w:bCs/>
        </w:rPr>
        <w:t xml:space="preserve">.1 </w:t>
      </w:r>
      <w:r w:rsidR="4D0CF4CF" w:rsidRPr="007B1FEC">
        <w:rPr>
          <w:bCs/>
        </w:rPr>
        <w:t>Documentos</w:t>
      </w:r>
      <w:r w:rsidR="2C03F973" w:rsidRPr="007B1FEC">
        <w:rPr>
          <w:bCs/>
        </w:rPr>
        <w:t xml:space="preserve"> </w:t>
      </w:r>
      <w:r w:rsidR="1B447106" w:rsidRPr="007B1FEC">
        <w:rPr>
          <w:bCs/>
        </w:rPr>
        <w:t>J</w:t>
      </w:r>
      <w:r w:rsidR="4D0CF4CF" w:rsidRPr="007B1FEC">
        <w:rPr>
          <w:bCs/>
        </w:rPr>
        <w:t>urídico</w:t>
      </w:r>
      <w:r w:rsidR="1B447106" w:rsidRPr="007B1FEC">
        <w:rPr>
          <w:bCs/>
        </w:rPr>
        <w:t xml:space="preserve"> – A</w:t>
      </w:r>
      <w:r w:rsidR="2C03F973" w:rsidRPr="007B1FEC">
        <w:rPr>
          <w:bCs/>
        </w:rPr>
        <w:t>dministrativ</w:t>
      </w:r>
      <w:r w:rsidR="11B76774" w:rsidRPr="007B1FEC">
        <w:rPr>
          <w:bCs/>
        </w:rPr>
        <w:t>os</w:t>
      </w:r>
      <w:r w:rsidR="4D0CF4CF" w:rsidRPr="007B1FEC">
        <w:rPr>
          <w:bCs/>
        </w:rPr>
        <w:t xml:space="preserve"> </w:t>
      </w:r>
    </w:p>
    <w:p w14:paraId="3181587E" w14:textId="77777777" w:rsidR="005F050F" w:rsidRPr="005F050F" w:rsidRDefault="005F050F" w:rsidP="005F050F">
      <w:pPr>
        <w:spacing w:after="0"/>
      </w:pPr>
    </w:p>
    <w:p w14:paraId="172FD894" w14:textId="70EBD98C" w:rsidR="001B131A" w:rsidRDefault="4D0CF4CF" w:rsidP="009A0C79">
      <w:pPr>
        <w:pStyle w:val="Prrafodelista"/>
        <w:widowControl w:val="0"/>
        <w:numPr>
          <w:ilvl w:val="1"/>
          <w:numId w:val="32"/>
        </w:numPr>
        <w:tabs>
          <w:tab w:val="left" w:pos="567"/>
        </w:tabs>
        <w:suppressAutoHyphens w:val="0"/>
        <w:autoSpaceDE w:val="0"/>
        <w:autoSpaceDN w:val="0"/>
        <w:spacing w:after="0"/>
        <w:ind w:left="425" w:hanging="357"/>
        <w:contextualSpacing w:val="0"/>
        <w:jc w:val="both"/>
        <w:rPr>
          <w:rFonts w:ascii="Arial" w:hAnsi="Arial" w:cs="Arial"/>
          <w:sz w:val="24"/>
          <w:szCs w:val="24"/>
        </w:rPr>
      </w:pPr>
      <w:r w:rsidRPr="719E25F3">
        <w:rPr>
          <w:rFonts w:ascii="Arial" w:hAnsi="Arial" w:cs="Arial"/>
          <w:sz w:val="24"/>
          <w:szCs w:val="24"/>
        </w:rPr>
        <w:t>Carta de presentación con la solicitud de recursos, debidamente suscrita por el representante legal</w:t>
      </w:r>
      <w:r w:rsidR="0120949F" w:rsidRPr="719E25F3">
        <w:rPr>
          <w:rFonts w:ascii="Arial" w:hAnsi="Arial" w:cs="Arial"/>
          <w:sz w:val="24"/>
          <w:szCs w:val="24"/>
        </w:rPr>
        <w:t xml:space="preserve"> o</w:t>
      </w:r>
      <w:r w:rsidR="34E3EB40" w:rsidRPr="719E25F3">
        <w:rPr>
          <w:rFonts w:ascii="Arial" w:hAnsi="Arial" w:cs="Arial"/>
          <w:sz w:val="24"/>
          <w:szCs w:val="24"/>
        </w:rPr>
        <w:t xml:space="preserve"> por quien haga sus veces</w:t>
      </w:r>
      <w:r w:rsidRPr="719E25F3">
        <w:rPr>
          <w:rFonts w:ascii="Arial" w:hAnsi="Arial" w:cs="Arial"/>
          <w:sz w:val="24"/>
          <w:szCs w:val="24"/>
        </w:rPr>
        <w:t xml:space="preserve"> </w:t>
      </w:r>
      <w:r w:rsidR="5244E897" w:rsidRPr="719E25F3">
        <w:rPr>
          <w:rFonts w:ascii="Arial" w:hAnsi="Arial" w:cs="Arial"/>
          <w:sz w:val="24"/>
          <w:szCs w:val="24"/>
          <w:lang w:val="es-ES"/>
        </w:rPr>
        <w:t>dentro del mismo año en el que se presente el proyecto a viabilizar</w:t>
      </w:r>
      <w:r w:rsidR="1FD41373" w:rsidRPr="719E25F3">
        <w:rPr>
          <w:rFonts w:ascii="Arial" w:hAnsi="Arial" w:cs="Arial"/>
          <w:sz w:val="24"/>
          <w:szCs w:val="24"/>
          <w:lang w:val="es-ES"/>
        </w:rPr>
        <w:t xml:space="preserve"> </w:t>
      </w:r>
      <w:r w:rsidRPr="719E25F3">
        <w:rPr>
          <w:rFonts w:ascii="Arial" w:hAnsi="Arial" w:cs="Arial"/>
          <w:sz w:val="24"/>
          <w:szCs w:val="24"/>
        </w:rPr>
        <w:t>y en</w:t>
      </w:r>
      <w:r w:rsidR="41D5DED3" w:rsidRPr="719E25F3">
        <w:rPr>
          <w:rFonts w:ascii="Arial" w:hAnsi="Arial" w:cs="Arial"/>
          <w:sz w:val="24"/>
          <w:szCs w:val="24"/>
        </w:rPr>
        <w:t xml:space="preserve"> la plantilla </w:t>
      </w:r>
      <w:r w:rsidRPr="719E25F3">
        <w:rPr>
          <w:rFonts w:ascii="Arial" w:hAnsi="Arial" w:cs="Arial"/>
          <w:sz w:val="24"/>
          <w:szCs w:val="24"/>
        </w:rPr>
        <w:t>dispuest</w:t>
      </w:r>
      <w:r w:rsidR="000A3BC4">
        <w:rPr>
          <w:rFonts w:ascii="Arial" w:hAnsi="Arial" w:cs="Arial"/>
          <w:sz w:val="24"/>
          <w:szCs w:val="24"/>
        </w:rPr>
        <w:t>a</w:t>
      </w:r>
      <w:r w:rsidRPr="719E25F3">
        <w:rPr>
          <w:rFonts w:ascii="Arial" w:hAnsi="Arial" w:cs="Arial"/>
          <w:sz w:val="24"/>
          <w:szCs w:val="24"/>
        </w:rPr>
        <w:t xml:space="preserve"> por FONENERGÍA,</w:t>
      </w:r>
      <w:r w:rsidRPr="719E25F3">
        <w:rPr>
          <w:rFonts w:ascii="Arial" w:hAnsi="Arial" w:cs="Arial"/>
          <w:i/>
          <w:iCs/>
          <w:sz w:val="24"/>
          <w:szCs w:val="24"/>
        </w:rPr>
        <w:t xml:space="preserve"> </w:t>
      </w:r>
      <w:r w:rsidRPr="719E25F3">
        <w:rPr>
          <w:rFonts w:ascii="Arial" w:hAnsi="Arial" w:cs="Arial"/>
          <w:sz w:val="24"/>
          <w:szCs w:val="24"/>
        </w:rPr>
        <w:t xml:space="preserve">en </w:t>
      </w:r>
      <w:r w:rsidR="6CEBC309" w:rsidRPr="719E25F3">
        <w:rPr>
          <w:rFonts w:ascii="Arial" w:hAnsi="Arial" w:cs="Arial"/>
          <w:sz w:val="24"/>
          <w:szCs w:val="24"/>
        </w:rPr>
        <w:t>la que se especifique</w:t>
      </w:r>
      <w:r w:rsidRPr="719E25F3">
        <w:rPr>
          <w:rFonts w:ascii="Arial" w:hAnsi="Arial" w:cs="Arial"/>
          <w:sz w:val="24"/>
          <w:szCs w:val="24"/>
        </w:rPr>
        <w:t>:</w:t>
      </w:r>
    </w:p>
    <w:p w14:paraId="53E700AB" w14:textId="50433D8B" w:rsidR="719E25F3" w:rsidRDefault="719E25F3" w:rsidP="009A0C79">
      <w:pPr>
        <w:pStyle w:val="Prrafodelista"/>
        <w:widowControl w:val="0"/>
        <w:tabs>
          <w:tab w:val="left" w:pos="567"/>
        </w:tabs>
        <w:spacing w:after="0" w:line="240" w:lineRule="auto"/>
        <w:ind w:left="425" w:hanging="357"/>
        <w:contextualSpacing w:val="0"/>
        <w:jc w:val="both"/>
        <w:rPr>
          <w:rFonts w:ascii="Arial" w:hAnsi="Arial" w:cs="Arial"/>
          <w:sz w:val="24"/>
          <w:szCs w:val="24"/>
        </w:rPr>
      </w:pPr>
    </w:p>
    <w:p w14:paraId="7CF4E576" w14:textId="0448AF35" w:rsidR="009A0C79" w:rsidRPr="009A0C79" w:rsidRDefault="00A220CB" w:rsidP="009A0C79">
      <w:pPr>
        <w:pStyle w:val="Prrafodelista"/>
        <w:widowControl w:val="0"/>
        <w:numPr>
          <w:ilvl w:val="0"/>
          <w:numId w:val="56"/>
        </w:numPr>
        <w:tabs>
          <w:tab w:val="left" w:pos="828"/>
        </w:tabs>
        <w:suppressAutoHyphens w:val="0"/>
        <w:autoSpaceDE w:val="0"/>
        <w:autoSpaceDN w:val="0"/>
        <w:spacing w:after="0" w:line="240" w:lineRule="auto"/>
        <w:jc w:val="both"/>
        <w:rPr>
          <w:rFonts w:ascii="Arial" w:hAnsi="Arial" w:cs="Arial"/>
          <w:sz w:val="24"/>
          <w:szCs w:val="24"/>
        </w:rPr>
      </w:pPr>
      <w:r w:rsidRPr="001B131A">
        <w:rPr>
          <w:rFonts w:ascii="Arial" w:hAnsi="Arial" w:cs="Arial"/>
          <w:sz w:val="24"/>
          <w:szCs w:val="24"/>
          <w:lang w:val="es-ES"/>
        </w:rPr>
        <w:t xml:space="preserve">Los datos generales del proyecto, </w:t>
      </w:r>
      <w:r w:rsidR="009A0C79">
        <w:rPr>
          <w:rFonts w:ascii="Arial" w:hAnsi="Arial" w:cs="Arial"/>
          <w:sz w:val="24"/>
          <w:szCs w:val="24"/>
          <w:lang w:val="es-ES"/>
        </w:rPr>
        <w:t>detallando</w:t>
      </w:r>
      <w:r w:rsidRPr="001B131A">
        <w:rPr>
          <w:rFonts w:ascii="Arial" w:hAnsi="Arial" w:cs="Arial"/>
          <w:sz w:val="24"/>
          <w:szCs w:val="24"/>
          <w:lang w:val="es-ES"/>
        </w:rPr>
        <w:t>:</w:t>
      </w:r>
    </w:p>
    <w:p w14:paraId="7EA4385B" w14:textId="77777777" w:rsidR="009A0C79" w:rsidRPr="009A0C79" w:rsidRDefault="009A0C79" w:rsidP="009A0C79">
      <w:pPr>
        <w:widowControl w:val="0"/>
        <w:tabs>
          <w:tab w:val="left" w:pos="828"/>
        </w:tabs>
        <w:suppressAutoHyphens w:val="0"/>
        <w:autoSpaceDE w:val="0"/>
        <w:autoSpaceDN w:val="0"/>
        <w:spacing w:after="0" w:line="240" w:lineRule="auto"/>
        <w:ind w:left="360"/>
        <w:jc w:val="both"/>
        <w:rPr>
          <w:rFonts w:ascii="Arial" w:hAnsi="Arial" w:cs="Arial"/>
          <w:sz w:val="24"/>
          <w:szCs w:val="24"/>
        </w:rPr>
      </w:pPr>
    </w:p>
    <w:p w14:paraId="7A7C9782" w14:textId="77777777" w:rsidR="00A220CB" w:rsidRPr="00A220CB" w:rsidRDefault="00A220CB" w:rsidP="009A0C79">
      <w:pPr>
        <w:widowControl w:val="0"/>
        <w:numPr>
          <w:ilvl w:val="0"/>
          <w:numId w:val="57"/>
        </w:numPr>
        <w:tabs>
          <w:tab w:val="left" w:pos="828"/>
        </w:tabs>
        <w:suppressAutoHyphens w:val="0"/>
        <w:autoSpaceDE w:val="0"/>
        <w:autoSpaceDN w:val="0"/>
        <w:spacing w:after="0"/>
        <w:jc w:val="both"/>
        <w:rPr>
          <w:rFonts w:ascii="Arial" w:hAnsi="Arial" w:cs="Arial"/>
          <w:sz w:val="24"/>
          <w:szCs w:val="24"/>
        </w:rPr>
      </w:pPr>
      <w:r w:rsidRPr="00A220CB">
        <w:rPr>
          <w:rFonts w:ascii="Arial" w:hAnsi="Arial" w:cs="Arial"/>
          <w:sz w:val="24"/>
          <w:szCs w:val="24"/>
        </w:rPr>
        <w:t>Departamento(s) con su respectivo código divipola. </w:t>
      </w:r>
    </w:p>
    <w:p w14:paraId="18CD603F" w14:textId="77777777" w:rsidR="00A220CB" w:rsidRPr="00A220CB" w:rsidRDefault="00A220CB" w:rsidP="009A0C79">
      <w:pPr>
        <w:widowControl w:val="0"/>
        <w:numPr>
          <w:ilvl w:val="0"/>
          <w:numId w:val="57"/>
        </w:numPr>
        <w:tabs>
          <w:tab w:val="left" w:pos="828"/>
        </w:tabs>
        <w:suppressAutoHyphens w:val="0"/>
        <w:autoSpaceDE w:val="0"/>
        <w:autoSpaceDN w:val="0"/>
        <w:spacing w:after="0"/>
        <w:jc w:val="both"/>
        <w:rPr>
          <w:rFonts w:ascii="Arial" w:hAnsi="Arial" w:cs="Arial"/>
          <w:sz w:val="24"/>
          <w:szCs w:val="24"/>
        </w:rPr>
      </w:pPr>
      <w:r w:rsidRPr="00A220CB">
        <w:rPr>
          <w:rFonts w:ascii="Arial" w:hAnsi="Arial" w:cs="Arial"/>
          <w:sz w:val="24"/>
          <w:szCs w:val="24"/>
          <w:lang w:val="es-ES"/>
        </w:rPr>
        <w:t>Municipio(s) </w:t>
      </w:r>
      <w:r w:rsidRPr="00A220CB">
        <w:rPr>
          <w:rFonts w:ascii="Arial" w:hAnsi="Arial" w:cs="Arial"/>
          <w:sz w:val="24"/>
          <w:szCs w:val="24"/>
        </w:rPr>
        <w:t>con su respectivo código divipola. </w:t>
      </w:r>
    </w:p>
    <w:p w14:paraId="19F21AD8" w14:textId="77777777" w:rsidR="00A220CB" w:rsidRPr="00A220CB" w:rsidRDefault="00A220CB" w:rsidP="009A0C79">
      <w:pPr>
        <w:widowControl w:val="0"/>
        <w:numPr>
          <w:ilvl w:val="0"/>
          <w:numId w:val="57"/>
        </w:numPr>
        <w:tabs>
          <w:tab w:val="left" w:pos="828"/>
        </w:tabs>
        <w:suppressAutoHyphens w:val="0"/>
        <w:autoSpaceDE w:val="0"/>
        <w:autoSpaceDN w:val="0"/>
        <w:spacing w:after="0"/>
        <w:jc w:val="both"/>
        <w:rPr>
          <w:rFonts w:ascii="Arial" w:hAnsi="Arial" w:cs="Arial"/>
          <w:sz w:val="24"/>
          <w:szCs w:val="24"/>
        </w:rPr>
      </w:pPr>
      <w:r w:rsidRPr="00A220CB">
        <w:rPr>
          <w:rFonts w:ascii="Arial" w:hAnsi="Arial" w:cs="Arial"/>
          <w:sz w:val="24"/>
          <w:szCs w:val="24"/>
          <w:lang w:val="es-ES"/>
        </w:rPr>
        <w:t>Vereda(s) (si aplica).</w:t>
      </w:r>
      <w:r w:rsidRPr="00A220CB">
        <w:rPr>
          <w:rFonts w:ascii="Arial" w:hAnsi="Arial" w:cs="Arial"/>
          <w:sz w:val="24"/>
          <w:szCs w:val="24"/>
        </w:rPr>
        <w:t> </w:t>
      </w:r>
    </w:p>
    <w:p w14:paraId="77FC8EA8" w14:textId="77777777" w:rsidR="00A220CB" w:rsidRPr="00A220CB" w:rsidRDefault="00A220CB" w:rsidP="009A0C79">
      <w:pPr>
        <w:widowControl w:val="0"/>
        <w:numPr>
          <w:ilvl w:val="0"/>
          <w:numId w:val="57"/>
        </w:numPr>
        <w:tabs>
          <w:tab w:val="left" w:pos="828"/>
        </w:tabs>
        <w:suppressAutoHyphens w:val="0"/>
        <w:autoSpaceDE w:val="0"/>
        <w:autoSpaceDN w:val="0"/>
        <w:spacing w:after="0"/>
        <w:jc w:val="both"/>
        <w:rPr>
          <w:rFonts w:ascii="Arial" w:hAnsi="Arial" w:cs="Arial"/>
          <w:sz w:val="24"/>
          <w:szCs w:val="24"/>
        </w:rPr>
      </w:pPr>
      <w:r w:rsidRPr="00A220CB">
        <w:rPr>
          <w:rFonts w:ascii="Arial" w:hAnsi="Arial" w:cs="Arial"/>
          <w:sz w:val="24"/>
          <w:szCs w:val="24"/>
          <w:lang w:val="es-ES"/>
        </w:rPr>
        <w:t>Barrio(s) subnormales con su respectivo código SUI (si aplica).</w:t>
      </w:r>
      <w:r w:rsidRPr="00A220CB">
        <w:rPr>
          <w:rFonts w:ascii="Arial" w:hAnsi="Arial" w:cs="Arial"/>
          <w:sz w:val="24"/>
          <w:szCs w:val="24"/>
        </w:rPr>
        <w:t> </w:t>
      </w:r>
    </w:p>
    <w:p w14:paraId="2EF9BA18" w14:textId="12E19ECE" w:rsidR="00A220CB" w:rsidRPr="00A220CB" w:rsidRDefault="00A220CB" w:rsidP="009A0C79">
      <w:pPr>
        <w:widowControl w:val="0"/>
        <w:numPr>
          <w:ilvl w:val="0"/>
          <w:numId w:val="57"/>
        </w:numPr>
        <w:tabs>
          <w:tab w:val="left" w:pos="828"/>
        </w:tabs>
        <w:suppressAutoHyphens w:val="0"/>
        <w:autoSpaceDE w:val="0"/>
        <w:autoSpaceDN w:val="0"/>
        <w:spacing w:after="0"/>
        <w:jc w:val="both"/>
        <w:rPr>
          <w:rFonts w:ascii="Arial" w:hAnsi="Arial" w:cs="Arial"/>
          <w:sz w:val="24"/>
          <w:szCs w:val="24"/>
        </w:rPr>
      </w:pPr>
      <w:r w:rsidRPr="00A220CB">
        <w:rPr>
          <w:rFonts w:ascii="Arial" w:hAnsi="Arial" w:cs="Arial"/>
          <w:sz w:val="24"/>
          <w:szCs w:val="24"/>
          <w:lang w:val="es-ES"/>
        </w:rPr>
        <w:t xml:space="preserve">Tipología(s) a implementar (de las que trata el numeral </w:t>
      </w:r>
      <w:r w:rsidR="00644A26" w:rsidRPr="00644A26">
        <w:rPr>
          <w:rFonts w:ascii="Arial" w:hAnsi="Arial" w:cs="Arial"/>
          <w:sz w:val="24"/>
          <w:szCs w:val="24"/>
          <w:lang w:val="es-ES"/>
        </w:rPr>
        <w:t>III-2.2</w:t>
      </w:r>
      <w:r w:rsidRPr="00A220CB">
        <w:rPr>
          <w:rFonts w:ascii="Arial" w:hAnsi="Arial" w:cs="Arial"/>
          <w:sz w:val="24"/>
          <w:szCs w:val="24"/>
          <w:lang w:val="es-ES"/>
        </w:rPr>
        <w:t>).</w:t>
      </w:r>
      <w:r w:rsidRPr="00A220CB">
        <w:rPr>
          <w:rFonts w:ascii="Arial" w:hAnsi="Arial" w:cs="Arial"/>
          <w:sz w:val="24"/>
          <w:szCs w:val="24"/>
        </w:rPr>
        <w:t> </w:t>
      </w:r>
    </w:p>
    <w:p w14:paraId="1040095A" w14:textId="77777777" w:rsidR="009A0C79" w:rsidRPr="009A0C79" w:rsidRDefault="00A220CB" w:rsidP="009A0C79">
      <w:pPr>
        <w:widowControl w:val="0"/>
        <w:numPr>
          <w:ilvl w:val="0"/>
          <w:numId w:val="57"/>
        </w:numPr>
        <w:tabs>
          <w:tab w:val="left" w:pos="828"/>
        </w:tabs>
        <w:suppressAutoHyphens w:val="0"/>
        <w:autoSpaceDE w:val="0"/>
        <w:autoSpaceDN w:val="0"/>
        <w:spacing w:after="0"/>
        <w:jc w:val="both"/>
        <w:rPr>
          <w:rFonts w:ascii="Arial" w:hAnsi="Arial" w:cs="Arial"/>
          <w:sz w:val="24"/>
          <w:szCs w:val="24"/>
        </w:rPr>
      </w:pPr>
      <w:r w:rsidRPr="00A220CB">
        <w:rPr>
          <w:rFonts w:ascii="Arial" w:hAnsi="Arial" w:cs="Arial"/>
          <w:sz w:val="24"/>
          <w:szCs w:val="24"/>
          <w:lang w:val="es-ES"/>
        </w:rPr>
        <w:t>Número de usuarios a beneficiar, especificando:</w:t>
      </w:r>
    </w:p>
    <w:p w14:paraId="3D64F652" w14:textId="50596337" w:rsidR="00A220CB" w:rsidRPr="00A220CB" w:rsidRDefault="00A220CB" w:rsidP="009A0C79">
      <w:pPr>
        <w:widowControl w:val="0"/>
        <w:tabs>
          <w:tab w:val="left" w:pos="828"/>
        </w:tabs>
        <w:suppressAutoHyphens w:val="0"/>
        <w:autoSpaceDE w:val="0"/>
        <w:autoSpaceDN w:val="0"/>
        <w:spacing w:after="0" w:line="240" w:lineRule="auto"/>
        <w:ind w:left="720"/>
        <w:jc w:val="both"/>
        <w:rPr>
          <w:rFonts w:ascii="Arial" w:hAnsi="Arial" w:cs="Arial"/>
          <w:sz w:val="24"/>
          <w:szCs w:val="24"/>
        </w:rPr>
      </w:pPr>
      <w:r w:rsidRPr="00A220CB">
        <w:rPr>
          <w:rFonts w:ascii="Arial" w:hAnsi="Arial" w:cs="Arial"/>
          <w:sz w:val="24"/>
          <w:szCs w:val="24"/>
        </w:rPr>
        <w:t> </w:t>
      </w:r>
    </w:p>
    <w:p w14:paraId="654A8C31" w14:textId="77777777" w:rsidR="00A220CB" w:rsidRPr="00A220CB" w:rsidRDefault="00A220CB" w:rsidP="009A0C79">
      <w:pPr>
        <w:widowControl w:val="0"/>
        <w:numPr>
          <w:ilvl w:val="0"/>
          <w:numId w:val="59"/>
        </w:numPr>
        <w:tabs>
          <w:tab w:val="left" w:pos="828"/>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La cantidad de beneficiarios nuevos y existentes por el proyecto.</w:t>
      </w:r>
      <w:r w:rsidRPr="00A220CB">
        <w:rPr>
          <w:rFonts w:ascii="Arial" w:hAnsi="Arial" w:cs="Arial"/>
          <w:sz w:val="24"/>
          <w:szCs w:val="24"/>
        </w:rPr>
        <w:t> </w:t>
      </w:r>
    </w:p>
    <w:p w14:paraId="77F11CEC" w14:textId="77777777" w:rsidR="00A220CB" w:rsidRPr="00A220CB" w:rsidRDefault="00A220CB" w:rsidP="009A0C79">
      <w:pPr>
        <w:widowControl w:val="0"/>
        <w:numPr>
          <w:ilvl w:val="0"/>
          <w:numId w:val="59"/>
        </w:numPr>
        <w:tabs>
          <w:tab w:val="left" w:pos="828"/>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Desagregado a nivel de ubicación (departamento, municipio, vereda, barrio subnormal).</w:t>
      </w:r>
      <w:r w:rsidRPr="00A220CB">
        <w:rPr>
          <w:rFonts w:ascii="Arial" w:hAnsi="Arial" w:cs="Arial"/>
          <w:sz w:val="24"/>
          <w:szCs w:val="24"/>
        </w:rPr>
        <w:t> </w:t>
      </w:r>
    </w:p>
    <w:p w14:paraId="3F6FEA76" w14:textId="77777777" w:rsidR="008F1737" w:rsidRPr="008F1737" w:rsidRDefault="00A220CB" w:rsidP="009A0C79">
      <w:pPr>
        <w:widowControl w:val="0"/>
        <w:numPr>
          <w:ilvl w:val="0"/>
          <w:numId w:val="59"/>
        </w:numPr>
        <w:tabs>
          <w:tab w:val="left" w:pos="828"/>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 xml:space="preserve">Beneficiarios por tipología a implementar (Ampliación de cobertura, </w:t>
      </w:r>
      <w:r w:rsidRPr="00A220CB">
        <w:rPr>
          <w:rFonts w:ascii="Arial" w:hAnsi="Arial" w:cs="Arial"/>
          <w:sz w:val="24"/>
          <w:szCs w:val="24"/>
          <w:lang w:val="es-ES"/>
        </w:rPr>
        <w:lastRenderedPageBreak/>
        <w:t>Mejoramiento/Rehabilitación de la infraestructura, Normalización de redes, Generación de energía hasta 5 MW)</w:t>
      </w:r>
    </w:p>
    <w:p w14:paraId="6E75BCB2" w14:textId="568174EF" w:rsidR="00E24A6B" w:rsidRDefault="00A220CB" w:rsidP="00B03685">
      <w:pPr>
        <w:widowControl w:val="0"/>
        <w:tabs>
          <w:tab w:val="left" w:pos="828"/>
        </w:tabs>
        <w:suppressAutoHyphens w:val="0"/>
        <w:autoSpaceDE w:val="0"/>
        <w:autoSpaceDN w:val="0"/>
        <w:spacing w:after="0" w:line="240" w:lineRule="auto"/>
        <w:ind w:left="1701"/>
        <w:jc w:val="both"/>
        <w:rPr>
          <w:rFonts w:ascii="Arial" w:hAnsi="Arial" w:cs="Arial"/>
          <w:sz w:val="24"/>
          <w:szCs w:val="24"/>
        </w:rPr>
      </w:pPr>
      <w:r w:rsidRPr="00A220CB">
        <w:rPr>
          <w:rFonts w:ascii="Arial" w:hAnsi="Arial" w:cs="Arial"/>
          <w:sz w:val="24"/>
          <w:szCs w:val="24"/>
        </w:rPr>
        <w:t> </w:t>
      </w:r>
    </w:p>
    <w:p w14:paraId="736E06A9" w14:textId="77777777" w:rsidR="009A0C79" w:rsidRDefault="00A220CB" w:rsidP="009A0C79">
      <w:pPr>
        <w:widowControl w:val="0"/>
        <w:tabs>
          <w:tab w:val="left" w:pos="828"/>
        </w:tabs>
        <w:suppressAutoHyphens w:val="0"/>
        <w:autoSpaceDE w:val="0"/>
        <w:autoSpaceDN w:val="0"/>
        <w:spacing w:after="0"/>
        <w:ind w:left="1701"/>
        <w:jc w:val="both"/>
        <w:rPr>
          <w:rFonts w:ascii="Arial" w:hAnsi="Arial" w:cs="Arial"/>
          <w:sz w:val="24"/>
          <w:szCs w:val="24"/>
          <w:lang w:val="es-ES"/>
        </w:rPr>
      </w:pPr>
      <w:r w:rsidRPr="00A220CB">
        <w:rPr>
          <w:rFonts w:ascii="Arial" w:hAnsi="Arial" w:cs="Arial"/>
          <w:sz w:val="24"/>
          <w:szCs w:val="24"/>
          <w:lang w:val="es-ES"/>
        </w:rPr>
        <w:t>Para los planes, programas o proyectos de generación, se deberá identificar y detallar, cuando aplique, los beneficiarios directos e indirectos, así como sustentar técnicamente que los usuarios señalados efectivamente recibirán los beneficios derivados del proyecto.</w:t>
      </w:r>
    </w:p>
    <w:p w14:paraId="3AA2B87C" w14:textId="6E7757BE" w:rsidR="00A220CB" w:rsidRPr="00A220CB" w:rsidRDefault="00A220CB" w:rsidP="009A0C79">
      <w:pPr>
        <w:widowControl w:val="0"/>
        <w:tabs>
          <w:tab w:val="left" w:pos="828"/>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rPr>
        <w:t> </w:t>
      </w:r>
    </w:p>
    <w:p w14:paraId="56890C29" w14:textId="77777777" w:rsidR="009A0C79" w:rsidRPr="009A0C79" w:rsidRDefault="00A220CB" w:rsidP="009A0C79">
      <w:pPr>
        <w:pStyle w:val="Prrafodelista"/>
        <w:widowControl w:val="0"/>
        <w:numPr>
          <w:ilvl w:val="0"/>
          <w:numId w:val="58"/>
        </w:numPr>
        <w:tabs>
          <w:tab w:val="left" w:pos="828"/>
        </w:tabs>
        <w:suppressAutoHyphens w:val="0"/>
        <w:autoSpaceDE w:val="0"/>
        <w:autoSpaceDN w:val="0"/>
        <w:spacing w:after="0" w:line="240" w:lineRule="auto"/>
        <w:jc w:val="both"/>
        <w:rPr>
          <w:rFonts w:ascii="Arial" w:hAnsi="Arial" w:cs="Arial"/>
          <w:sz w:val="24"/>
          <w:szCs w:val="24"/>
        </w:rPr>
      </w:pPr>
      <w:r w:rsidRPr="003C751F">
        <w:rPr>
          <w:rFonts w:ascii="Arial" w:hAnsi="Arial" w:cs="Arial"/>
          <w:sz w:val="24"/>
          <w:szCs w:val="24"/>
          <w:lang w:val="es-ES"/>
        </w:rPr>
        <w:t>Detalles del sistema de generación (si aplica), especificando:</w:t>
      </w:r>
    </w:p>
    <w:p w14:paraId="0F8C48FD" w14:textId="73D53CC3" w:rsidR="00A220CB" w:rsidRPr="009A0C79" w:rsidRDefault="00A220CB" w:rsidP="009A0C79">
      <w:pPr>
        <w:widowControl w:val="0"/>
        <w:tabs>
          <w:tab w:val="left" w:pos="828"/>
        </w:tabs>
        <w:suppressAutoHyphens w:val="0"/>
        <w:autoSpaceDE w:val="0"/>
        <w:autoSpaceDN w:val="0"/>
        <w:spacing w:after="0" w:line="240" w:lineRule="auto"/>
        <w:ind w:left="720"/>
        <w:jc w:val="both"/>
        <w:rPr>
          <w:rFonts w:ascii="Arial" w:hAnsi="Arial" w:cs="Arial"/>
          <w:sz w:val="24"/>
          <w:szCs w:val="24"/>
        </w:rPr>
      </w:pPr>
      <w:r w:rsidRPr="009A0C79">
        <w:rPr>
          <w:rFonts w:ascii="Arial" w:hAnsi="Arial" w:cs="Arial"/>
          <w:sz w:val="24"/>
          <w:szCs w:val="24"/>
        </w:rPr>
        <w:t> </w:t>
      </w:r>
    </w:p>
    <w:p w14:paraId="13D8C085" w14:textId="77777777" w:rsidR="00A220CB" w:rsidRPr="00A220CB" w:rsidRDefault="00A220CB" w:rsidP="009A0C79">
      <w:pPr>
        <w:widowControl w:val="0"/>
        <w:numPr>
          <w:ilvl w:val="0"/>
          <w:numId w:val="34"/>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Tipo de tecnología de generación (solar, eólica, hídrica, entre otros).</w:t>
      </w:r>
      <w:r w:rsidRPr="00A220CB">
        <w:rPr>
          <w:rFonts w:ascii="Arial" w:hAnsi="Arial" w:cs="Arial"/>
          <w:sz w:val="24"/>
          <w:szCs w:val="24"/>
        </w:rPr>
        <w:t> </w:t>
      </w:r>
    </w:p>
    <w:p w14:paraId="7D5E610A" w14:textId="77777777" w:rsidR="00A220CB" w:rsidRPr="00A220CB" w:rsidRDefault="00A220CB" w:rsidP="009A0C79">
      <w:pPr>
        <w:widowControl w:val="0"/>
        <w:numPr>
          <w:ilvl w:val="0"/>
          <w:numId w:val="35"/>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Tipo de generación (centralizada, descentralizada).</w:t>
      </w:r>
      <w:r w:rsidRPr="00A220CB">
        <w:rPr>
          <w:rFonts w:ascii="Arial" w:hAnsi="Arial" w:cs="Arial"/>
          <w:sz w:val="24"/>
          <w:szCs w:val="24"/>
        </w:rPr>
        <w:t> </w:t>
      </w:r>
    </w:p>
    <w:p w14:paraId="28BDBBB7" w14:textId="77777777" w:rsidR="00A220CB" w:rsidRPr="00A220CB" w:rsidRDefault="00A220CB" w:rsidP="009A0C79">
      <w:pPr>
        <w:widowControl w:val="0"/>
        <w:numPr>
          <w:ilvl w:val="0"/>
          <w:numId w:val="36"/>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rPr>
        <w:t>Está o no está conectada al SIN. </w:t>
      </w:r>
    </w:p>
    <w:p w14:paraId="11D7115B" w14:textId="77777777" w:rsidR="00A220CB" w:rsidRPr="00A220CB" w:rsidRDefault="00A220CB" w:rsidP="009A0C79">
      <w:pPr>
        <w:widowControl w:val="0"/>
        <w:numPr>
          <w:ilvl w:val="0"/>
          <w:numId w:val="37"/>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Numero de sistemas de generación (granjas solares, parques eólicos, entre otros).</w:t>
      </w:r>
      <w:r w:rsidRPr="00A220CB">
        <w:rPr>
          <w:rFonts w:ascii="Arial" w:hAnsi="Arial" w:cs="Arial"/>
          <w:sz w:val="24"/>
          <w:szCs w:val="24"/>
        </w:rPr>
        <w:t> </w:t>
      </w:r>
    </w:p>
    <w:p w14:paraId="02C19A8B" w14:textId="77777777" w:rsidR="00A220CB" w:rsidRPr="00A220CB" w:rsidRDefault="00A220CB" w:rsidP="009A0C79">
      <w:pPr>
        <w:widowControl w:val="0"/>
        <w:numPr>
          <w:ilvl w:val="0"/>
          <w:numId w:val="38"/>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Capacidad instalada total en MW de los sistemas de generación.</w:t>
      </w:r>
      <w:r w:rsidRPr="00A220CB">
        <w:rPr>
          <w:rFonts w:ascii="Arial" w:hAnsi="Arial" w:cs="Arial"/>
          <w:sz w:val="24"/>
          <w:szCs w:val="24"/>
        </w:rPr>
        <w:t> </w:t>
      </w:r>
    </w:p>
    <w:p w14:paraId="585268BD" w14:textId="77777777" w:rsidR="00A220CB" w:rsidRPr="00A220CB" w:rsidRDefault="00A220CB" w:rsidP="009A0C79">
      <w:pPr>
        <w:widowControl w:val="0"/>
        <w:numPr>
          <w:ilvl w:val="0"/>
          <w:numId w:val="39"/>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Numero de inversores (si aplica).</w:t>
      </w:r>
      <w:r w:rsidRPr="00A220CB">
        <w:rPr>
          <w:rFonts w:ascii="Arial" w:hAnsi="Arial" w:cs="Arial"/>
          <w:sz w:val="24"/>
          <w:szCs w:val="24"/>
        </w:rPr>
        <w:t> </w:t>
      </w:r>
    </w:p>
    <w:p w14:paraId="6C88F4E0" w14:textId="77777777" w:rsidR="00A220CB" w:rsidRDefault="00A220CB" w:rsidP="009A0C79">
      <w:pPr>
        <w:widowControl w:val="0"/>
        <w:numPr>
          <w:ilvl w:val="0"/>
          <w:numId w:val="40"/>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Capacidad instalada total en MW de los inversores (si aplica).</w:t>
      </w:r>
      <w:r w:rsidRPr="00A220CB">
        <w:rPr>
          <w:rFonts w:ascii="Arial" w:hAnsi="Arial" w:cs="Arial"/>
          <w:sz w:val="24"/>
          <w:szCs w:val="24"/>
        </w:rPr>
        <w:t> </w:t>
      </w:r>
    </w:p>
    <w:p w14:paraId="0AEB4F8F" w14:textId="77777777" w:rsidR="009A0C79" w:rsidRPr="00A220CB" w:rsidRDefault="009A0C79" w:rsidP="009A0C79">
      <w:pPr>
        <w:widowControl w:val="0"/>
        <w:tabs>
          <w:tab w:val="num" w:pos="851"/>
        </w:tabs>
        <w:suppressAutoHyphens w:val="0"/>
        <w:autoSpaceDE w:val="0"/>
        <w:autoSpaceDN w:val="0"/>
        <w:spacing w:after="0" w:line="240" w:lineRule="auto"/>
        <w:ind w:left="1341"/>
        <w:jc w:val="both"/>
        <w:rPr>
          <w:rFonts w:ascii="Arial" w:hAnsi="Arial" w:cs="Arial"/>
          <w:sz w:val="24"/>
          <w:szCs w:val="24"/>
        </w:rPr>
      </w:pPr>
    </w:p>
    <w:p w14:paraId="7DB42204" w14:textId="77777777" w:rsidR="009A0C79" w:rsidRPr="009A0C79" w:rsidRDefault="00A220CB" w:rsidP="009A0C79">
      <w:pPr>
        <w:pStyle w:val="Prrafodelista"/>
        <w:widowControl w:val="0"/>
        <w:numPr>
          <w:ilvl w:val="0"/>
          <w:numId w:val="60"/>
        </w:numPr>
        <w:suppressAutoHyphens w:val="0"/>
        <w:autoSpaceDE w:val="0"/>
        <w:autoSpaceDN w:val="0"/>
        <w:spacing w:after="0" w:line="240" w:lineRule="auto"/>
        <w:ind w:left="1134"/>
        <w:jc w:val="both"/>
        <w:rPr>
          <w:rFonts w:ascii="Arial" w:hAnsi="Arial" w:cs="Arial"/>
          <w:sz w:val="24"/>
          <w:szCs w:val="24"/>
        </w:rPr>
      </w:pPr>
      <w:r w:rsidRPr="000F38B6">
        <w:rPr>
          <w:rFonts w:ascii="Arial" w:hAnsi="Arial" w:cs="Arial"/>
          <w:sz w:val="24"/>
          <w:szCs w:val="24"/>
          <w:lang w:val="es-ES"/>
        </w:rPr>
        <w:t>Detalles del sistema de redes (si aplica), especificando:</w:t>
      </w:r>
    </w:p>
    <w:p w14:paraId="5D271A87" w14:textId="5F027E4C" w:rsidR="00A220CB" w:rsidRPr="009A0C79" w:rsidRDefault="00A220CB" w:rsidP="009A0C79">
      <w:pPr>
        <w:widowControl w:val="0"/>
        <w:suppressAutoHyphens w:val="0"/>
        <w:autoSpaceDE w:val="0"/>
        <w:autoSpaceDN w:val="0"/>
        <w:spacing w:after="0" w:line="240" w:lineRule="auto"/>
        <w:ind w:left="774"/>
        <w:jc w:val="both"/>
        <w:rPr>
          <w:rFonts w:ascii="Arial" w:hAnsi="Arial" w:cs="Arial"/>
          <w:sz w:val="24"/>
          <w:szCs w:val="24"/>
        </w:rPr>
      </w:pPr>
      <w:r w:rsidRPr="009A0C79">
        <w:rPr>
          <w:rFonts w:ascii="Arial" w:hAnsi="Arial" w:cs="Arial"/>
          <w:sz w:val="24"/>
          <w:szCs w:val="24"/>
        </w:rPr>
        <w:t> </w:t>
      </w:r>
    </w:p>
    <w:p w14:paraId="40318F46" w14:textId="77777777" w:rsidR="00A220CB" w:rsidRPr="00A220CB" w:rsidRDefault="00A220CB" w:rsidP="009A0C79">
      <w:pPr>
        <w:widowControl w:val="0"/>
        <w:numPr>
          <w:ilvl w:val="0"/>
          <w:numId w:val="41"/>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Longitud de las redes a instalar en km (diferenciado entre Media Tensión – MT y Baja Tensión – BT).</w:t>
      </w:r>
      <w:r w:rsidRPr="00A220CB">
        <w:rPr>
          <w:rFonts w:ascii="Arial" w:hAnsi="Arial" w:cs="Arial"/>
          <w:sz w:val="24"/>
          <w:szCs w:val="24"/>
        </w:rPr>
        <w:t> </w:t>
      </w:r>
    </w:p>
    <w:p w14:paraId="48524F4A" w14:textId="77777777" w:rsidR="00A220CB" w:rsidRPr="00A220CB" w:rsidRDefault="00A220CB" w:rsidP="009A0C79">
      <w:pPr>
        <w:widowControl w:val="0"/>
        <w:numPr>
          <w:ilvl w:val="0"/>
          <w:numId w:val="42"/>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Longitud de las redes a rehabilitar en km (diferenciado entre Media Tensión – MT y Baja Tensión – BT).</w:t>
      </w:r>
      <w:r w:rsidRPr="00A220CB">
        <w:rPr>
          <w:rFonts w:ascii="Arial" w:hAnsi="Arial" w:cs="Arial"/>
          <w:sz w:val="24"/>
          <w:szCs w:val="24"/>
        </w:rPr>
        <w:t> </w:t>
      </w:r>
    </w:p>
    <w:p w14:paraId="18B8A213" w14:textId="77777777" w:rsidR="00A220CB" w:rsidRPr="00A220CB" w:rsidRDefault="00A220CB" w:rsidP="009A0C79">
      <w:pPr>
        <w:widowControl w:val="0"/>
        <w:numPr>
          <w:ilvl w:val="0"/>
          <w:numId w:val="43"/>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Longitud de las redes a mejorar en km (diferenciado entre Media Tensión – MT y Baja Tensión – BT).</w:t>
      </w:r>
      <w:r w:rsidRPr="00A220CB">
        <w:rPr>
          <w:rFonts w:ascii="Arial" w:hAnsi="Arial" w:cs="Arial"/>
          <w:sz w:val="24"/>
          <w:szCs w:val="24"/>
        </w:rPr>
        <w:t> </w:t>
      </w:r>
    </w:p>
    <w:p w14:paraId="7E2E84B8" w14:textId="77777777" w:rsidR="00A220CB" w:rsidRPr="00A220CB" w:rsidRDefault="00A220CB" w:rsidP="009A0C79">
      <w:pPr>
        <w:widowControl w:val="0"/>
        <w:numPr>
          <w:ilvl w:val="0"/>
          <w:numId w:val="44"/>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pt-BR"/>
        </w:rPr>
        <w:t>Número de transformadores a instalar</w:t>
      </w:r>
      <w:r w:rsidRPr="00A220CB">
        <w:rPr>
          <w:rFonts w:ascii="Arial" w:hAnsi="Arial" w:cs="Arial"/>
          <w:sz w:val="24"/>
          <w:szCs w:val="24"/>
        </w:rPr>
        <w:t> </w:t>
      </w:r>
    </w:p>
    <w:p w14:paraId="59A69488" w14:textId="77777777" w:rsidR="00A220CB" w:rsidRPr="00A220CB" w:rsidRDefault="00A220CB" w:rsidP="009A0C79">
      <w:pPr>
        <w:widowControl w:val="0"/>
        <w:numPr>
          <w:ilvl w:val="0"/>
          <w:numId w:val="45"/>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pt-BR"/>
        </w:rPr>
        <w:t>Número de transformadores a rehabilitar</w:t>
      </w:r>
      <w:r w:rsidRPr="00A220CB">
        <w:rPr>
          <w:rFonts w:ascii="Arial" w:hAnsi="Arial" w:cs="Arial"/>
          <w:sz w:val="24"/>
          <w:szCs w:val="24"/>
        </w:rPr>
        <w:t> </w:t>
      </w:r>
    </w:p>
    <w:p w14:paraId="669D11D3" w14:textId="77777777" w:rsidR="00A220CB" w:rsidRPr="00A220CB" w:rsidRDefault="00A220CB" w:rsidP="009A0C79">
      <w:pPr>
        <w:widowControl w:val="0"/>
        <w:numPr>
          <w:ilvl w:val="0"/>
          <w:numId w:val="46"/>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pt-BR"/>
        </w:rPr>
        <w:t>Número de transformadores a mejorar</w:t>
      </w:r>
      <w:r w:rsidRPr="00A220CB">
        <w:rPr>
          <w:rFonts w:ascii="Arial" w:hAnsi="Arial" w:cs="Arial"/>
          <w:sz w:val="24"/>
          <w:szCs w:val="24"/>
        </w:rPr>
        <w:t> </w:t>
      </w:r>
    </w:p>
    <w:p w14:paraId="32C1C57D" w14:textId="77777777" w:rsidR="00A220CB" w:rsidRPr="00A220CB" w:rsidRDefault="00A220CB" w:rsidP="009A0C79">
      <w:pPr>
        <w:widowControl w:val="0"/>
        <w:numPr>
          <w:ilvl w:val="0"/>
          <w:numId w:val="47"/>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rPr>
        <w:t>Capacidad de transformación total a instalar en MW. </w:t>
      </w:r>
    </w:p>
    <w:p w14:paraId="4EC20D39" w14:textId="77777777" w:rsidR="00A220CB" w:rsidRPr="00A220CB" w:rsidRDefault="00A220CB" w:rsidP="009A0C79">
      <w:pPr>
        <w:widowControl w:val="0"/>
        <w:numPr>
          <w:ilvl w:val="0"/>
          <w:numId w:val="48"/>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rPr>
        <w:t>Capacidad de transformación total a rehabilitar en MW. </w:t>
      </w:r>
    </w:p>
    <w:p w14:paraId="7DD45B01" w14:textId="77777777" w:rsidR="009A0C79" w:rsidRDefault="00A220CB" w:rsidP="009A0C79">
      <w:pPr>
        <w:widowControl w:val="0"/>
        <w:numPr>
          <w:ilvl w:val="0"/>
          <w:numId w:val="49"/>
        </w:numPr>
        <w:tabs>
          <w:tab w:val="clear" w:pos="720"/>
          <w:tab w:val="num" w:pos="851"/>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rPr>
        <w:t>Capacidad de transformación total a mejorar en MW.</w:t>
      </w:r>
    </w:p>
    <w:p w14:paraId="0582221F" w14:textId="796DA15D" w:rsidR="00A220CB" w:rsidRPr="00A220CB" w:rsidRDefault="00A220CB" w:rsidP="009A0C79">
      <w:pPr>
        <w:widowControl w:val="0"/>
        <w:tabs>
          <w:tab w:val="num" w:pos="851"/>
        </w:tabs>
        <w:suppressAutoHyphens w:val="0"/>
        <w:autoSpaceDE w:val="0"/>
        <w:autoSpaceDN w:val="0"/>
        <w:spacing w:after="0"/>
        <w:ind w:left="1341"/>
        <w:jc w:val="both"/>
        <w:rPr>
          <w:rFonts w:ascii="Arial" w:hAnsi="Arial" w:cs="Arial"/>
          <w:sz w:val="24"/>
          <w:szCs w:val="24"/>
        </w:rPr>
      </w:pPr>
      <w:r w:rsidRPr="00A220CB">
        <w:rPr>
          <w:rFonts w:ascii="Arial" w:hAnsi="Arial" w:cs="Arial"/>
          <w:sz w:val="24"/>
          <w:szCs w:val="24"/>
        </w:rPr>
        <w:t> </w:t>
      </w:r>
    </w:p>
    <w:p w14:paraId="4B53584E" w14:textId="77777777" w:rsidR="009A0C79" w:rsidRPr="009A0C79" w:rsidRDefault="00A220CB" w:rsidP="009A0C79">
      <w:pPr>
        <w:pStyle w:val="Prrafodelista"/>
        <w:widowControl w:val="0"/>
        <w:numPr>
          <w:ilvl w:val="0"/>
          <w:numId w:val="60"/>
        </w:numPr>
        <w:suppressAutoHyphens w:val="0"/>
        <w:autoSpaceDE w:val="0"/>
        <w:autoSpaceDN w:val="0"/>
        <w:spacing w:after="0" w:line="240" w:lineRule="auto"/>
        <w:ind w:left="1134"/>
        <w:jc w:val="both"/>
        <w:rPr>
          <w:rFonts w:ascii="Arial" w:hAnsi="Arial" w:cs="Arial"/>
          <w:sz w:val="24"/>
          <w:szCs w:val="24"/>
        </w:rPr>
      </w:pPr>
      <w:r w:rsidRPr="003E3F13">
        <w:rPr>
          <w:rFonts w:ascii="Arial" w:hAnsi="Arial" w:cs="Arial"/>
          <w:sz w:val="24"/>
          <w:szCs w:val="24"/>
          <w:lang w:val="es-ES"/>
        </w:rPr>
        <w:t>Valor total del proyecto, especificando:</w:t>
      </w:r>
    </w:p>
    <w:p w14:paraId="6C63ADA4" w14:textId="79F51C80" w:rsidR="00A220CB" w:rsidRPr="009A0C79" w:rsidRDefault="00A220CB" w:rsidP="009A0C79">
      <w:pPr>
        <w:widowControl w:val="0"/>
        <w:suppressAutoHyphens w:val="0"/>
        <w:autoSpaceDE w:val="0"/>
        <w:autoSpaceDN w:val="0"/>
        <w:spacing w:after="0" w:line="240" w:lineRule="auto"/>
        <w:ind w:left="774"/>
        <w:jc w:val="both"/>
        <w:rPr>
          <w:rFonts w:ascii="Arial" w:hAnsi="Arial" w:cs="Arial"/>
          <w:sz w:val="24"/>
          <w:szCs w:val="24"/>
        </w:rPr>
      </w:pPr>
      <w:r w:rsidRPr="009A0C79">
        <w:rPr>
          <w:rFonts w:ascii="Arial" w:hAnsi="Arial" w:cs="Arial"/>
          <w:sz w:val="24"/>
          <w:szCs w:val="24"/>
        </w:rPr>
        <w:t> </w:t>
      </w:r>
    </w:p>
    <w:p w14:paraId="47095720" w14:textId="77777777" w:rsidR="00A220CB" w:rsidRPr="00A220CB" w:rsidRDefault="00A220CB" w:rsidP="009A0C79">
      <w:pPr>
        <w:widowControl w:val="0"/>
        <w:numPr>
          <w:ilvl w:val="0"/>
          <w:numId w:val="50"/>
        </w:numPr>
        <w:tabs>
          <w:tab w:val="clear" w:pos="720"/>
          <w:tab w:val="left" w:pos="993"/>
          <w:tab w:val="num" w:pos="1134"/>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Costo para nuevos usuarios y el costo para usuarios existentes (si aplica).</w:t>
      </w:r>
      <w:r w:rsidRPr="00A220CB">
        <w:rPr>
          <w:rFonts w:ascii="Arial" w:hAnsi="Arial" w:cs="Arial"/>
          <w:sz w:val="24"/>
          <w:szCs w:val="24"/>
        </w:rPr>
        <w:t> </w:t>
      </w:r>
    </w:p>
    <w:p w14:paraId="4C604BDA" w14:textId="77777777" w:rsidR="00A220CB" w:rsidRPr="00A220CB" w:rsidRDefault="00A220CB" w:rsidP="009A0C79">
      <w:pPr>
        <w:widowControl w:val="0"/>
        <w:numPr>
          <w:ilvl w:val="0"/>
          <w:numId w:val="51"/>
        </w:numPr>
        <w:tabs>
          <w:tab w:val="clear" w:pos="720"/>
          <w:tab w:val="left" w:pos="993"/>
          <w:tab w:val="num" w:pos="1134"/>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Valor por tipología</w:t>
      </w:r>
      <w:r w:rsidRPr="00A220CB">
        <w:rPr>
          <w:rFonts w:ascii="Arial" w:hAnsi="Arial" w:cs="Arial"/>
          <w:sz w:val="24"/>
          <w:szCs w:val="24"/>
        </w:rPr>
        <w:t> </w:t>
      </w:r>
    </w:p>
    <w:p w14:paraId="254AD33F" w14:textId="77777777" w:rsidR="00A220CB" w:rsidRPr="00A220CB" w:rsidRDefault="00A220CB" w:rsidP="009A0C79">
      <w:pPr>
        <w:widowControl w:val="0"/>
        <w:numPr>
          <w:ilvl w:val="0"/>
          <w:numId w:val="52"/>
        </w:numPr>
        <w:tabs>
          <w:tab w:val="clear" w:pos="720"/>
          <w:tab w:val="left" w:pos="993"/>
          <w:tab w:val="num" w:pos="1134"/>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Valor total a cofinanciar (si aplica).</w:t>
      </w:r>
      <w:r w:rsidRPr="00A220CB">
        <w:rPr>
          <w:rFonts w:ascii="Arial" w:hAnsi="Arial" w:cs="Arial"/>
          <w:sz w:val="24"/>
          <w:szCs w:val="24"/>
        </w:rPr>
        <w:t> </w:t>
      </w:r>
    </w:p>
    <w:p w14:paraId="4296E4B0" w14:textId="77777777" w:rsidR="00A220CB" w:rsidRPr="00A220CB" w:rsidRDefault="00A220CB" w:rsidP="009A0C79">
      <w:pPr>
        <w:widowControl w:val="0"/>
        <w:numPr>
          <w:ilvl w:val="0"/>
          <w:numId w:val="53"/>
        </w:numPr>
        <w:tabs>
          <w:tab w:val="clear" w:pos="720"/>
          <w:tab w:val="left" w:pos="993"/>
          <w:tab w:val="num" w:pos="1134"/>
        </w:tabs>
        <w:suppressAutoHyphens w:val="0"/>
        <w:autoSpaceDE w:val="0"/>
        <w:autoSpaceDN w:val="0"/>
        <w:spacing w:after="0"/>
        <w:ind w:left="1701"/>
        <w:jc w:val="both"/>
        <w:rPr>
          <w:rFonts w:ascii="Arial" w:hAnsi="Arial" w:cs="Arial"/>
          <w:sz w:val="24"/>
          <w:szCs w:val="24"/>
          <w:lang w:val="es-ES"/>
        </w:rPr>
      </w:pPr>
      <w:r w:rsidRPr="00A220CB">
        <w:rPr>
          <w:rFonts w:ascii="Arial" w:hAnsi="Arial" w:cs="Arial"/>
          <w:sz w:val="24"/>
          <w:szCs w:val="24"/>
          <w:lang w:val="es-ES"/>
        </w:rPr>
        <w:t>Valor a cofinanciar por tipología (si aplica). </w:t>
      </w:r>
    </w:p>
    <w:p w14:paraId="31D014BF" w14:textId="77777777" w:rsidR="00A220CB" w:rsidRPr="00A220CB" w:rsidRDefault="00A220CB" w:rsidP="009A0C79">
      <w:pPr>
        <w:widowControl w:val="0"/>
        <w:numPr>
          <w:ilvl w:val="0"/>
          <w:numId w:val="54"/>
        </w:numPr>
        <w:tabs>
          <w:tab w:val="clear" w:pos="720"/>
          <w:tab w:val="left" w:pos="993"/>
          <w:tab w:val="num" w:pos="1134"/>
        </w:tabs>
        <w:suppressAutoHyphens w:val="0"/>
        <w:autoSpaceDE w:val="0"/>
        <w:autoSpaceDN w:val="0"/>
        <w:spacing w:after="0"/>
        <w:ind w:left="1701"/>
        <w:jc w:val="both"/>
        <w:rPr>
          <w:rFonts w:ascii="Arial" w:hAnsi="Arial" w:cs="Arial"/>
          <w:sz w:val="24"/>
          <w:szCs w:val="24"/>
        </w:rPr>
      </w:pPr>
      <w:r w:rsidRPr="00A220CB">
        <w:rPr>
          <w:rFonts w:ascii="Arial" w:hAnsi="Arial" w:cs="Arial"/>
          <w:sz w:val="24"/>
          <w:szCs w:val="24"/>
          <w:lang w:val="es-ES"/>
        </w:rPr>
        <w:t>Valor solicitado al FONENERGIA.</w:t>
      </w:r>
      <w:r w:rsidRPr="00A220CB">
        <w:rPr>
          <w:rFonts w:ascii="Arial" w:hAnsi="Arial" w:cs="Arial"/>
          <w:sz w:val="24"/>
          <w:szCs w:val="24"/>
        </w:rPr>
        <w:t> </w:t>
      </w:r>
    </w:p>
    <w:p w14:paraId="16B8B0F1" w14:textId="77777777" w:rsidR="00A220CB" w:rsidRPr="00A220CB" w:rsidRDefault="00A220CB" w:rsidP="009A0C79">
      <w:pPr>
        <w:widowControl w:val="0"/>
        <w:numPr>
          <w:ilvl w:val="0"/>
          <w:numId w:val="55"/>
        </w:numPr>
        <w:tabs>
          <w:tab w:val="clear" w:pos="720"/>
          <w:tab w:val="left" w:pos="993"/>
          <w:tab w:val="num" w:pos="1134"/>
        </w:tabs>
        <w:suppressAutoHyphens w:val="0"/>
        <w:autoSpaceDE w:val="0"/>
        <w:autoSpaceDN w:val="0"/>
        <w:spacing w:after="0"/>
        <w:ind w:left="1701"/>
        <w:jc w:val="both"/>
        <w:rPr>
          <w:rFonts w:ascii="Arial" w:hAnsi="Arial" w:cs="Arial"/>
          <w:sz w:val="24"/>
          <w:szCs w:val="24"/>
          <w:lang w:val="es-ES"/>
        </w:rPr>
      </w:pPr>
      <w:r w:rsidRPr="00A220CB">
        <w:rPr>
          <w:rFonts w:ascii="Arial" w:hAnsi="Arial" w:cs="Arial"/>
          <w:sz w:val="24"/>
          <w:szCs w:val="24"/>
          <w:lang w:val="es-ES"/>
        </w:rPr>
        <w:t>Valor solicitado al FONENERGIA por tipología. </w:t>
      </w:r>
    </w:p>
    <w:p w14:paraId="35DA3000" w14:textId="77777777" w:rsidR="00E021FF" w:rsidRPr="00534453" w:rsidRDefault="00E021FF" w:rsidP="00B03685">
      <w:pPr>
        <w:widowControl w:val="0"/>
        <w:tabs>
          <w:tab w:val="left" w:pos="828"/>
        </w:tabs>
        <w:suppressAutoHyphens w:val="0"/>
        <w:autoSpaceDE w:val="0"/>
        <w:autoSpaceDN w:val="0"/>
        <w:spacing w:after="0" w:line="240" w:lineRule="auto"/>
        <w:jc w:val="both"/>
        <w:rPr>
          <w:rFonts w:ascii="Arial" w:hAnsi="Arial" w:cs="Arial"/>
          <w:sz w:val="24"/>
          <w:szCs w:val="24"/>
        </w:rPr>
      </w:pPr>
    </w:p>
    <w:p w14:paraId="28C156DA" w14:textId="77777777" w:rsidR="005041A2" w:rsidRPr="005041A2" w:rsidRDefault="005041A2" w:rsidP="000A3BC4">
      <w:pPr>
        <w:widowControl w:val="0"/>
        <w:numPr>
          <w:ilvl w:val="0"/>
          <w:numId w:val="61"/>
        </w:numPr>
        <w:tabs>
          <w:tab w:val="left" w:pos="828"/>
        </w:tabs>
        <w:suppressAutoHyphens w:val="0"/>
        <w:autoSpaceDE w:val="0"/>
        <w:autoSpaceDN w:val="0"/>
        <w:spacing w:after="0" w:line="240" w:lineRule="auto"/>
        <w:jc w:val="both"/>
        <w:rPr>
          <w:rFonts w:ascii="Arial" w:hAnsi="Arial" w:cs="Arial"/>
          <w:sz w:val="24"/>
          <w:szCs w:val="24"/>
        </w:rPr>
      </w:pPr>
      <w:r w:rsidRPr="005041A2">
        <w:rPr>
          <w:rFonts w:ascii="Arial" w:hAnsi="Arial" w:cs="Arial"/>
          <w:sz w:val="24"/>
          <w:szCs w:val="24"/>
          <w:lang w:val="es-ES"/>
        </w:rPr>
        <w:t>Descripción breve del proyecto.</w:t>
      </w:r>
      <w:r w:rsidRPr="005041A2">
        <w:rPr>
          <w:rFonts w:ascii="Arial" w:hAnsi="Arial" w:cs="Arial"/>
          <w:sz w:val="24"/>
          <w:szCs w:val="24"/>
        </w:rPr>
        <w:t> </w:t>
      </w:r>
    </w:p>
    <w:p w14:paraId="1C2DBACB" w14:textId="77777777" w:rsidR="005041A2" w:rsidRPr="005041A2" w:rsidRDefault="005041A2" w:rsidP="00B320D0">
      <w:pPr>
        <w:widowControl w:val="0"/>
        <w:numPr>
          <w:ilvl w:val="0"/>
          <w:numId w:val="62"/>
        </w:numPr>
        <w:tabs>
          <w:tab w:val="left" w:pos="828"/>
        </w:tabs>
        <w:suppressAutoHyphens w:val="0"/>
        <w:autoSpaceDE w:val="0"/>
        <w:autoSpaceDN w:val="0"/>
        <w:spacing w:before="252" w:after="0" w:line="240" w:lineRule="auto"/>
        <w:jc w:val="both"/>
        <w:rPr>
          <w:rFonts w:ascii="Arial" w:hAnsi="Arial" w:cs="Arial"/>
          <w:sz w:val="24"/>
          <w:szCs w:val="24"/>
        </w:rPr>
      </w:pPr>
      <w:r w:rsidRPr="005041A2">
        <w:rPr>
          <w:rFonts w:ascii="Arial" w:hAnsi="Arial" w:cs="Arial"/>
          <w:sz w:val="24"/>
          <w:szCs w:val="24"/>
          <w:lang w:val="es-ES"/>
        </w:rPr>
        <w:t>Descripción breve del alcance y los beneficios del proyecto (mejorar cobertura, ampliar cobertura, mejorar calidad y confiabilidad, entre otros).</w:t>
      </w:r>
      <w:r w:rsidRPr="005041A2">
        <w:rPr>
          <w:rFonts w:ascii="Arial" w:hAnsi="Arial" w:cs="Arial"/>
          <w:sz w:val="24"/>
          <w:szCs w:val="24"/>
        </w:rPr>
        <w:t> </w:t>
      </w:r>
    </w:p>
    <w:p w14:paraId="2163D02B" w14:textId="77777777" w:rsidR="005041A2" w:rsidRPr="005041A2" w:rsidRDefault="005041A2" w:rsidP="00B320D0">
      <w:pPr>
        <w:widowControl w:val="0"/>
        <w:numPr>
          <w:ilvl w:val="0"/>
          <w:numId w:val="63"/>
        </w:numPr>
        <w:tabs>
          <w:tab w:val="left" w:pos="828"/>
        </w:tabs>
        <w:suppressAutoHyphens w:val="0"/>
        <w:autoSpaceDE w:val="0"/>
        <w:autoSpaceDN w:val="0"/>
        <w:spacing w:before="252" w:after="0" w:line="240" w:lineRule="auto"/>
        <w:jc w:val="both"/>
        <w:rPr>
          <w:rFonts w:ascii="Arial" w:hAnsi="Arial" w:cs="Arial"/>
          <w:sz w:val="24"/>
          <w:szCs w:val="24"/>
        </w:rPr>
      </w:pPr>
      <w:r w:rsidRPr="005041A2">
        <w:rPr>
          <w:rFonts w:ascii="Arial" w:hAnsi="Arial" w:cs="Arial"/>
          <w:sz w:val="24"/>
          <w:szCs w:val="24"/>
          <w:lang w:val="es-ES"/>
        </w:rPr>
        <w:t xml:space="preserve">Debe certificar que el proyecto no ha sido presentado para ser financiado con otras </w:t>
      </w:r>
      <w:r w:rsidRPr="005041A2">
        <w:rPr>
          <w:rFonts w:ascii="Arial" w:hAnsi="Arial" w:cs="Arial"/>
          <w:sz w:val="24"/>
          <w:szCs w:val="24"/>
          <w:lang w:val="es-ES"/>
        </w:rPr>
        <w:lastRenderedPageBreak/>
        <w:t>fuentes de financiación públicas.</w:t>
      </w:r>
      <w:r w:rsidRPr="005041A2">
        <w:rPr>
          <w:rFonts w:ascii="Arial" w:hAnsi="Arial" w:cs="Arial"/>
          <w:sz w:val="24"/>
          <w:szCs w:val="24"/>
        </w:rPr>
        <w:t> </w:t>
      </w:r>
    </w:p>
    <w:p w14:paraId="0D35D3F9" w14:textId="087FA766" w:rsidR="005041A2" w:rsidRPr="005041A2" w:rsidRDefault="73333660" w:rsidP="00B320D0">
      <w:pPr>
        <w:widowControl w:val="0"/>
        <w:numPr>
          <w:ilvl w:val="0"/>
          <w:numId w:val="64"/>
        </w:numPr>
        <w:tabs>
          <w:tab w:val="left" w:pos="828"/>
        </w:tabs>
        <w:suppressAutoHyphens w:val="0"/>
        <w:autoSpaceDE w:val="0"/>
        <w:autoSpaceDN w:val="0"/>
        <w:spacing w:before="252" w:after="0" w:line="240" w:lineRule="auto"/>
        <w:jc w:val="both"/>
        <w:rPr>
          <w:rFonts w:ascii="Arial" w:hAnsi="Arial" w:cs="Arial"/>
          <w:sz w:val="24"/>
          <w:szCs w:val="24"/>
          <w:lang w:val="es-ES"/>
        </w:rPr>
      </w:pPr>
      <w:r w:rsidRPr="719E25F3">
        <w:rPr>
          <w:rFonts w:ascii="Arial" w:hAnsi="Arial" w:cs="Arial"/>
          <w:sz w:val="24"/>
          <w:szCs w:val="24"/>
          <w:lang w:val="es-ES"/>
        </w:rPr>
        <w:t xml:space="preserve">Tipo de </w:t>
      </w:r>
      <w:r w:rsidR="04710E38" w:rsidRPr="719E25F3">
        <w:rPr>
          <w:rFonts w:ascii="Arial" w:hAnsi="Arial" w:cs="Arial"/>
          <w:sz w:val="24"/>
          <w:szCs w:val="24"/>
          <w:lang w:val="es-ES"/>
        </w:rPr>
        <w:t xml:space="preserve">Sistema de Medición Avanzada (AMI) </w:t>
      </w:r>
      <w:r w:rsidRPr="719E25F3">
        <w:rPr>
          <w:rFonts w:ascii="Arial" w:hAnsi="Arial" w:cs="Arial"/>
          <w:sz w:val="24"/>
          <w:szCs w:val="24"/>
          <w:lang w:val="es-ES"/>
        </w:rPr>
        <w:t>a utilizar</w:t>
      </w:r>
      <w:r w:rsidR="15FF415A" w:rsidRPr="719E25F3">
        <w:rPr>
          <w:rFonts w:ascii="Arial" w:hAnsi="Arial" w:cs="Arial"/>
          <w:sz w:val="24"/>
          <w:szCs w:val="24"/>
          <w:lang w:val="es-ES"/>
        </w:rPr>
        <w:t>.</w:t>
      </w:r>
      <w:r w:rsidR="662D20AF" w:rsidRPr="719E25F3">
        <w:rPr>
          <w:rFonts w:ascii="Arial" w:hAnsi="Arial" w:cs="Arial"/>
          <w:sz w:val="24"/>
          <w:szCs w:val="24"/>
          <w:lang w:val="es-ES"/>
        </w:rPr>
        <w:t xml:space="preserve"> </w:t>
      </w:r>
      <w:r w:rsidR="3FE5D4E1" w:rsidRPr="719E25F3">
        <w:rPr>
          <w:rFonts w:ascii="Arial" w:hAnsi="Arial" w:cs="Arial"/>
          <w:sz w:val="24"/>
          <w:szCs w:val="24"/>
          <w:lang w:val="es-ES"/>
        </w:rPr>
        <w:t xml:space="preserve"> </w:t>
      </w:r>
    </w:p>
    <w:p w14:paraId="6FAC9D74" w14:textId="6795E1B4" w:rsidR="005041A2" w:rsidRPr="005041A2" w:rsidRDefault="73333660" w:rsidP="009A0C79">
      <w:pPr>
        <w:widowControl w:val="0"/>
        <w:numPr>
          <w:ilvl w:val="0"/>
          <w:numId w:val="65"/>
        </w:numPr>
        <w:tabs>
          <w:tab w:val="left" w:pos="828"/>
        </w:tabs>
        <w:suppressAutoHyphens w:val="0"/>
        <w:autoSpaceDE w:val="0"/>
        <w:autoSpaceDN w:val="0"/>
        <w:spacing w:before="252" w:after="0"/>
        <w:jc w:val="both"/>
        <w:rPr>
          <w:rFonts w:ascii="Arial" w:hAnsi="Arial" w:cs="Arial"/>
          <w:sz w:val="24"/>
          <w:szCs w:val="24"/>
        </w:rPr>
      </w:pPr>
      <w:r w:rsidRPr="719E25F3">
        <w:rPr>
          <w:rFonts w:ascii="Arial" w:hAnsi="Arial" w:cs="Arial"/>
          <w:sz w:val="24"/>
          <w:szCs w:val="24"/>
          <w:lang w:val="es-ES"/>
        </w:rPr>
        <w:t xml:space="preserve">En caso de que el proyecto se ejecute en predios de los usuarios, se deberá </w:t>
      </w:r>
      <w:r w:rsidR="7A74A367" w:rsidRPr="719E25F3">
        <w:rPr>
          <w:rFonts w:ascii="Arial" w:hAnsi="Arial" w:cs="Arial"/>
          <w:sz w:val="24"/>
          <w:szCs w:val="24"/>
          <w:lang w:val="es-ES"/>
        </w:rPr>
        <w:t>anexar los</w:t>
      </w:r>
      <w:r w:rsidRPr="719E25F3">
        <w:rPr>
          <w:rFonts w:ascii="Arial" w:hAnsi="Arial" w:cs="Arial"/>
          <w:sz w:val="24"/>
          <w:szCs w:val="24"/>
          <w:lang w:val="es-ES"/>
        </w:rPr>
        <w:t xml:space="preserve"> permisos, autorizaciones o consentimientos necesarios que habiliten la instalación de la infraestructura, garantizando la viabilidad legal y la adecuada ejecución del proyecto (si aplica), </w:t>
      </w:r>
      <w:r w:rsidR="00BE7151">
        <w:rPr>
          <w:rFonts w:ascii="Arial" w:hAnsi="Arial" w:cs="Arial"/>
          <w:sz w:val="24"/>
          <w:szCs w:val="24"/>
          <w:lang w:val="es-ES"/>
        </w:rPr>
        <w:t xml:space="preserve">de modo que se cuente con el </w:t>
      </w:r>
      <w:r w:rsidR="285115EE" w:rsidRPr="719E25F3">
        <w:rPr>
          <w:rFonts w:ascii="Arial" w:hAnsi="Arial" w:cs="Arial"/>
          <w:sz w:val="24"/>
          <w:szCs w:val="24"/>
        </w:rPr>
        <w:t xml:space="preserve">uso y goce </w:t>
      </w:r>
      <w:r w:rsidR="00BE7151">
        <w:rPr>
          <w:rFonts w:ascii="Arial" w:hAnsi="Arial" w:cs="Arial"/>
          <w:sz w:val="24"/>
          <w:szCs w:val="24"/>
        </w:rPr>
        <w:t>del predio para la</w:t>
      </w:r>
      <w:r w:rsidR="285115EE" w:rsidRPr="719E25F3">
        <w:rPr>
          <w:rFonts w:ascii="Arial" w:hAnsi="Arial" w:cs="Arial"/>
          <w:sz w:val="24"/>
          <w:szCs w:val="24"/>
        </w:rPr>
        <w:t xml:space="preserve"> prestación del servicio de energía</w:t>
      </w:r>
      <w:r w:rsidR="00BE7151">
        <w:rPr>
          <w:rFonts w:ascii="Arial" w:hAnsi="Arial" w:cs="Arial"/>
          <w:sz w:val="24"/>
          <w:szCs w:val="24"/>
        </w:rPr>
        <w:t xml:space="preserve"> eléctrica.</w:t>
      </w:r>
      <w:r w:rsidRPr="719E25F3">
        <w:rPr>
          <w:rFonts w:ascii="Arial" w:hAnsi="Arial" w:cs="Arial"/>
          <w:sz w:val="24"/>
          <w:szCs w:val="24"/>
          <w:lang w:val="es-ES"/>
        </w:rPr>
        <w:t> </w:t>
      </w:r>
      <w:r w:rsidRPr="719E25F3">
        <w:rPr>
          <w:rFonts w:ascii="Arial" w:hAnsi="Arial" w:cs="Arial"/>
          <w:sz w:val="24"/>
          <w:szCs w:val="24"/>
        </w:rPr>
        <w:t> </w:t>
      </w:r>
    </w:p>
    <w:p w14:paraId="4C2160A1" w14:textId="339ED6D3" w:rsidR="005041A2" w:rsidRPr="005041A2" w:rsidRDefault="73333660" w:rsidP="009A0C79">
      <w:pPr>
        <w:widowControl w:val="0"/>
        <w:numPr>
          <w:ilvl w:val="0"/>
          <w:numId w:val="66"/>
        </w:numPr>
        <w:tabs>
          <w:tab w:val="left" w:pos="828"/>
        </w:tabs>
        <w:suppressAutoHyphens w:val="0"/>
        <w:autoSpaceDE w:val="0"/>
        <w:autoSpaceDN w:val="0"/>
        <w:spacing w:before="252" w:after="0"/>
        <w:jc w:val="both"/>
        <w:rPr>
          <w:rFonts w:ascii="Arial" w:hAnsi="Arial" w:cs="Arial"/>
          <w:sz w:val="24"/>
          <w:szCs w:val="24"/>
        </w:rPr>
      </w:pPr>
      <w:r w:rsidRPr="719E25F3">
        <w:rPr>
          <w:rFonts w:ascii="Arial" w:hAnsi="Arial" w:cs="Arial"/>
          <w:sz w:val="24"/>
          <w:szCs w:val="24"/>
        </w:rPr>
        <w:t>Garantizar que los permisos de servidumbres y permisos de paso</w:t>
      </w:r>
      <w:r w:rsidR="00BE7151">
        <w:rPr>
          <w:rFonts w:ascii="Arial" w:hAnsi="Arial" w:cs="Arial"/>
          <w:sz w:val="24"/>
          <w:szCs w:val="24"/>
          <w:lang w:val="es-ES"/>
        </w:rPr>
        <w:t xml:space="preserve"> de conducción de energía eléctrica de que trata el artículo 18 de la Ley 126 de 1938</w:t>
      </w:r>
      <w:r w:rsidRPr="719E25F3">
        <w:rPr>
          <w:rFonts w:ascii="Arial" w:hAnsi="Arial" w:cs="Arial"/>
          <w:sz w:val="24"/>
          <w:szCs w:val="24"/>
        </w:rPr>
        <w:t xml:space="preserve"> están listos para la ejecución y operación del proyecto; así mismo, acepta la responsabilidad en caso de presentarse inconvenientes ocasionados por la gestión de estas servidumbres y/o permisos de paso </w:t>
      </w:r>
      <w:r w:rsidRPr="719E25F3">
        <w:rPr>
          <w:rFonts w:ascii="Arial" w:hAnsi="Arial" w:cs="Arial"/>
          <w:sz w:val="24"/>
          <w:szCs w:val="24"/>
          <w:lang w:val="es-ES"/>
        </w:rPr>
        <w:t>(si aplica).</w:t>
      </w:r>
      <w:r w:rsidRPr="719E25F3">
        <w:rPr>
          <w:rFonts w:ascii="Arial" w:hAnsi="Arial" w:cs="Arial"/>
          <w:sz w:val="24"/>
          <w:szCs w:val="24"/>
        </w:rPr>
        <w:t> </w:t>
      </w:r>
    </w:p>
    <w:p w14:paraId="30984753" w14:textId="575F59D7" w:rsidR="005041A2" w:rsidRPr="005041A2" w:rsidRDefault="73333660" w:rsidP="009A0C79">
      <w:pPr>
        <w:widowControl w:val="0"/>
        <w:tabs>
          <w:tab w:val="left" w:pos="828"/>
        </w:tabs>
        <w:suppressAutoHyphens w:val="0"/>
        <w:autoSpaceDE w:val="0"/>
        <w:autoSpaceDN w:val="0"/>
        <w:spacing w:before="252" w:after="0"/>
        <w:jc w:val="both"/>
        <w:rPr>
          <w:rFonts w:ascii="Arial" w:hAnsi="Arial" w:cs="Arial"/>
          <w:sz w:val="24"/>
          <w:szCs w:val="24"/>
        </w:rPr>
      </w:pPr>
      <w:r w:rsidRPr="719E25F3">
        <w:rPr>
          <w:rFonts w:ascii="Arial" w:hAnsi="Arial" w:cs="Arial"/>
          <w:sz w:val="24"/>
          <w:szCs w:val="24"/>
          <w:lang w:val="es-ES"/>
        </w:rPr>
        <w:t>El formato </w:t>
      </w:r>
      <w:r w:rsidRPr="719E25F3">
        <w:rPr>
          <w:rFonts w:ascii="Arial" w:hAnsi="Arial" w:cs="Arial"/>
          <w:b/>
          <w:bCs/>
          <w:sz w:val="24"/>
          <w:szCs w:val="24"/>
          <w:lang w:val="es-ES"/>
        </w:rPr>
        <w:t>NO deberá presentar alteraciones, modificaciones, enmendaduras y/o tachones</w:t>
      </w:r>
      <w:r w:rsidRPr="719E25F3">
        <w:rPr>
          <w:rFonts w:ascii="Arial" w:hAnsi="Arial" w:cs="Arial"/>
          <w:sz w:val="24"/>
          <w:szCs w:val="24"/>
          <w:lang w:val="es-ES"/>
        </w:rPr>
        <w:t> que impida su correcta lectura, de lo contrario</w:t>
      </w:r>
      <w:r w:rsidR="26D9431D" w:rsidRPr="719E25F3">
        <w:rPr>
          <w:rFonts w:ascii="Arial" w:hAnsi="Arial" w:cs="Arial"/>
          <w:sz w:val="24"/>
          <w:szCs w:val="24"/>
          <w:lang w:val="es-ES"/>
        </w:rPr>
        <w:t xml:space="preserve"> </w:t>
      </w:r>
      <w:r w:rsidRPr="719E25F3">
        <w:rPr>
          <w:rFonts w:ascii="Arial" w:hAnsi="Arial" w:cs="Arial"/>
          <w:sz w:val="24"/>
          <w:szCs w:val="24"/>
          <w:lang w:val="es-ES"/>
        </w:rPr>
        <w:t>deberá ser subsanado.</w:t>
      </w:r>
      <w:r w:rsidRPr="719E25F3">
        <w:rPr>
          <w:rFonts w:ascii="Arial" w:hAnsi="Arial" w:cs="Arial"/>
          <w:sz w:val="24"/>
          <w:szCs w:val="24"/>
        </w:rPr>
        <w:t> </w:t>
      </w:r>
    </w:p>
    <w:p w14:paraId="5CF50BD9" w14:textId="3DBB806A" w:rsidR="005041A2" w:rsidRPr="005041A2" w:rsidRDefault="73333660" w:rsidP="009A0C79">
      <w:pPr>
        <w:widowControl w:val="0"/>
        <w:tabs>
          <w:tab w:val="left" w:pos="828"/>
        </w:tabs>
        <w:suppressAutoHyphens w:val="0"/>
        <w:autoSpaceDE w:val="0"/>
        <w:autoSpaceDN w:val="0"/>
        <w:spacing w:before="252" w:after="0"/>
        <w:jc w:val="both"/>
        <w:rPr>
          <w:rFonts w:ascii="Arial" w:hAnsi="Arial" w:cs="Arial"/>
          <w:sz w:val="24"/>
          <w:szCs w:val="24"/>
        </w:rPr>
      </w:pPr>
      <w:r w:rsidRPr="719E25F3">
        <w:rPr>
          <w:rFonts w:ascii="Arial" w:hAnsi="Arial" w:cs="Arial"/>
          <w:sz w:val="24"/>
          <w:szCs w:val="24"/>
        </w:rPr>
        <w:t>En caso de que algún requisito no resulte aplicable según la naturaleza o alcance del proyecto, deberá indicarse expresamente la anotación </w:t>
      </w:r>
      <w:r w:rsidRPr="719E25F3">
        <w:rPr>
          <w:rFonts w:ascii="Arial" w:hAnsi="Arial" w:cs="Arial"/>
          <w:b/>
          <w:bCs/>
          <w:sz w:val="24"/>
          <w:szCs w:val="24"/>
        </w:rPr>
        <w:t>“NO APLICA”</w:t>
      </w:r>
      <w:r w:rsidR="00EBF7C1" w:rsidRPr="719E25F3">
        <w:rPr>
          <w:rFonts w:ascii="Arial" w:hAnsi="Arial" w:cs="Arial"/>
          <w:sz w:val="24"/>
          <w:szCs w:val="24"/>
        </w:rPr>
        <w:t xml:space="preserve"> con su respectiva justificación</w:t>
      </w:r>
      <w:r w:rsidRPr="719E25F3">
        <w:rPr>
          <w:rFonts w:ascii="Arial" w:hAnsi="Arial" w:cs="Arial"/>
          <w:b/>
          <w:bCs/>
          <w:sz w:val="24"/>
          <w:szCs w:val="24"/>
        </w:rPr>
        <w:t>.</w:t>
      </w:r>
      <w:r w:rsidRPr="719E25F3">
        <w:rPr>
          <w:rFonts w:ascii="Arial" w:hAnsi="Arial" w:cs="Arial"/>
          <w:sz w:val="24"/>
          <w:szCs w:val="24"/>
        </w:rPr>
        <w:t> </w:t>
      </w:r>
    </w:p>
    <w:p w14:paraId="27596224" w14:textId="77777777" w:rsidR="00587D48" w:rsidRPr="005041A2" w:rsidRDefault="00587D48" w:rsidP="00B03685">
      <w:pPr>
        <w:widowControl w:val="0"/>
        <w:tabs>
          <w:tab w:val="left" w:pos="828"/>
        </w:tabs>
        <w:suppressAutoHyphens w:val="0"/>
        <w:autoSpaceDE w:val="0"/>
        <w:autoSpaceDN w:val="0"/>
        <w:spacing w:after="0" w:line="240" w:lineRule="auto"/>
        <w:jc w:val="both"/>
        <w:rPr>
          <w:rFonts w:ascii="Arial" w:hAnsi="Arial" w:cs="Arial"/>
          <w:sz w:val="24"/>
          <w:szCs w:val="24"/>
        </w:rPr>
      </w:pPr>
    </w:p>
    <w:p w14:paraId="019441FF" w14:textId="77EF1C2D" w:rsidR="00AB28A6" w:rsidRDefault="6BFA19D3" w:rsidP="009A0C79">
      <w:pPr>
        <w:pStyle w:val="Prrafodelista"/>
        <w:widowControl w:val="0"/>
        <w:numPr>
          <w:ilvl w:val="1"/>
          <w:numId w:val="32"/>
        </w:numPr>
        <w:tabs>
          <w:tab w:val="left" w:pos="567"/>
        </w:tabs>
        <w:suppressAutoHyphens w:val="0"/>
        <w:autoSpaceDE w:val="0"/>
        <w:autoSpaceDN w:val="0"/>
        <w:spacing w:after="0"/>
        <w:ind w:left="426" w:hanging="360"/>
        <w:contextualSpacing w:val="0"/>
        <w:jc w:val="both"/>
        <w:rPr>
          <w:rFonts w:ascii="Arial" w:hAnsi="Arial" w:cs="Arial"/>
          <w:sz w:val="24"/>
          <w:szCs w:val="24"/>
        </w:rPr>
      </w:pPr>
      <w:r w:rsidRPr="719E25F3">
        <w:rPr>
          <w:rFonts w:ascii="Arial" w:hAnsi="Arial" w:cs="Arial"/>
          <w:sz w:val="24"/>
          <w:szCs w:val="24"/>
        </w:rPr>
        <w:t xml:space="preserve">Certificado de la respectiva entidad territorial, </w:t>
      </w:r>
      <w:r w:rsidR="0077544B" w:rsidRPr="719E25F3">
        <w:rPr>
          <w:rFonts w:ascii="Arial" w:hAnsi="Arial" w:cs="Arial"/>
          <w:sz w:val="24"/>
          <w:szCs w:val="24"/>
          <w:lang w:val="es-ES"/>
        </w:rPr>
        <w:t>expedido en el mismo año en el que se presente el proyecto a viabilizar</w:t>
      </w:r>
      <w:r w:rsidR="0077544B">
        <w:rPr>
          <w:rFonts w:ascii="Arial" w:hAnsi="Arial" w:cs="Arial"/>
          <w:sz w:val="24"/>
          <w:szCs w:val="24"/>
          <w:lang w:val="es-ES"/>
        </w:rPr>
        <w:t>,</w:t>
      </w:r>
      <w:r w:rsidR="0077544B" w:rsidRPr="719E25F3">
        <w:rPr>
          <w:rFonts w:ascii="Arial" w:hAnsi="Arial" w:cs="Arial"/>
          <w:sz w:val="24"/>
          <w:szCs w:val="24"/>
        </w:rPr>
        <w:t xml:space="preserve"> </w:t>
      </w:r>
      <w:r w:rsidRPr="719E25F3">
        <w:rPr>
          <w:rFonts w:ascii="Arial" w:hAnsi="Arial" w:cs="Arial"/>
          <w:sz w:val="24"/>
          <w:szCs w:val="24"/>
        </w:rPr>
        <w:t xml:space="preserve">con </w:t>
      </w:r>
      <w:r w:rsidR="55519FE3" w:rsidRPr="719E25F3">
        <w:rPr>
          <w:rFonts w:ascii="Arial" w:hAnsi="Arial" w:cs="Arial"/>
          <w:sz w:val="24"/>
          <w:szCs w:val="24"/>
        </w:rPr>
        <w:t>su</w:t>
      </w:r>
      <w:r w:rsidRPr="719E25F3">
        <w:rPr>
          <w:rFonts w:ascii="Arial" w:hAnsi="Arial" w:cs="Arial"/>
          <w:sz w:val="24"/>
          <w:szCs w:val="24"/>
        </w:rPr>
        <w:t xml:space="preserve"> correspondiente membrete</w:t>
      </w:r>
      <w:r w:rsidR="313936E1" w:rsidRPr="719E25F3">
        <w:rPr>
          <w:rFonts w:ascii="Arial" w:hAnsi="Arial" w:cs="Arial"/>
          <w:sz w:val="24"/>
          <w:szCs w:val="24"/>
        </w:rPr>
        <w:t xml:space="preserve">, </w:t>
      </w:r>
      <w:r w:rsidR="0077544B">
        <w:rPr>
          <w:rFonts w:ascii="Arial" w:hAnsi="Arial" w:cs="Arial"/>
          <w:sz w:val="24"/>
          <w:szCs w:val="24"/>
        </w:rPr>
        <w:t xml:space="preserve">suscrito por el respectivo alcalde o en su defecto por el funcionario delegado por éste, para lo cual adjuntará el acto administrativo de delegación, </w:t>
      </w:r>
      <w:r w:rsidR="313936E1" w:rsidRPr="719E25F3">
        <w:rPr>
          <w:rFonts w:ascii="Arial" w:hAnsi="Arial" w:cs="Arial"/>
          <w:sz w:val="24"/>
          <w:szCs w:val="24"/>
        </w:rPr>
        <w:t xml:space="preserve">utilizando la </w:t>
      </w:r>
      <w:r w:rsidR="7EFB360A" w:rsidRPr="0077544B">
        <w:rPr>
          <w:rFonts w:ascii="Arial" w:hAnsi="Arial" w:cs="Arial"/>
          <w:sz w:val="24"/>
          <w:szCs w:val="24"/>
          <w:highlight w:val="yellow"/>
        </w:rPr>
        <w:t>plantilla</w:t>
      </w:r>
      <w:r w:rsidRPr="719E25F3">
        <w:rPr>
          <w:rFonts w:ascii="Arial" w:hAnsi="Arial" w:cs="Arial"/>
          <w:sz w:val="24"/>
          <w:szCs w:val="24"/>
        </w:rPr>
        <w:t xml:space="preserve"> dispuest</w:t>
      </w:r>
      <w:r w:rsidR="2C6F7F29" w:rsidRPr="719E25F3">
        <w:rPr>
          <w:rFonts w:ascii="Arial" w:hAnsi="Arial" w:cs="Arial"/>
          <w:sz w:val="24"/>
          <w:szCs w:val="24"/>
        </w:rPr>
        <w:t>a</w:t>
      </w:r>
      <w:r w:rsidRPr="719E25F3">
        <w:rPr>
          <w:rFonts w:ascii="Arial" w:hAnsi="Arial" w:cs="Arial"/>
          <w:sz w:val="24"/>
          <w:szCs w:val="24"/>
        </w:rPr>
        <w:t xml:space="preserve"> por FONENERGÍA</w:t>
      </w:r>
      <w:r w:rsidRPr="00D202F8">
        <w:rPr>
          <w:rFonts w:ascii="Arial" w:hAnsi="Arial" w:cs="Arial"/>
          <w:sz w:val="24"/>
          <w:szCs w:val="24"/>
        </w:rPr>
        <w:t>, </w:t>
      </w:r>
      <w:r w:rsidR="1548B3C8" w:rsidRPr="719E25F3">
        <w:rPr>
          <w:rFonts w:ascii="Arial" w:hAnsi="Arial" w:cs="Arial"/>
          <w:sz w:val="24"/>
          <w:szCs w:val="24"/>
        </w:rPr>
        <w:t>que incluya</w:t>
      </w:r>
      <w:r w:rsidRPr="719E25F3">
        <w:rPr>
          <w:rFonts w:ascii="Arial" w:hAnsi="Arial" w:cs="Arial"/>
          <w:sz w:val="24"/>
          <w:szCs w:val="24"/>
        </w:rPr>
        <w:t xml:space="preserve"> entre otros: </w:t>
      </w:r>
    </w:p>
    <w:p w14:paraId="18251A48" w14:textId="2DE53129" w:rsidR="00250ABB" w:rsidRDefault="2D508E7D" w:rsidP="009A0C79">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719E25F3">
        <w:rPr>
          <w:rFonts w:ascii="Arial" w:hAnsi="Arial" w:cs="Arial"/>
          <w:sz w:val="24"/>
          <w:szCs w:val="24"/>
        </w:rPr>
        <w:t>L</w:t>
      </w:r>
      <w:r w:rsidR="5F398FA6" w:rsidRPr="719E25F3">
        <w:rPr>
          <w:rFonts w:ascii="Arial" w:hAnsi="Arial" w:cs="Arial"/>
          <w:sz w:val="24"/>
          <w:szCs w:val="24"/>
        </w:rPr>
        <w:t>a mención sobre que l</w:t>
      </w:r>
      <w:r w:rsidR="6BFA19D3" w:rsidRPr="719E25F3">
        <w:rPr>
          <w:rFonts w:ascii="Arial" w:hAnsi="Arial" w:cs="Arial"/>
          <w:sz w:val="24"/>
          <w:szCs w:val="24"/>
        </w:rPr>
        <w:t xml:space="preserve">os usuarios </w:t>
      </w:r>
      <w:r w:rsidR="220AD039" w:rsidRPr="719E25F3">
        <w:rPr>
          <w:rFonts w:ascii="Arial" w:hAnsi="Arial" w:cs="Arial"/>
          <w:sz w:val="24"/>
          <w:szCs w:val="24"/>
        </w:rPr>
        <w:t xml:space="preserve">beneficiados </w:t>
      </w:r>
      <w:r w:rsidR="4D768E31" w:rsidRPr="719E25F3">
        <w:rPr>
          <w:rFonts w:ascii="Arial" w:hAnsi="Arial" w:cs="Arial"/>
          <w:sz w:val="24"/>
          <w:szCs w:val="24"/>
        </w:rPr>
        <w:t xml:space="preserve">por el proyecto </w:t>
      </w:r>
      <w:r w:rsidR="6BFA19D3" w:rsidRPr="719E25F3">
        <w:rPr>
          <w:rFonts w:ascii="Arial" w:hAnsi="Arial" w:cs="Arial"/>
          <w:sz w:val="24"/>
          <w:szCs w:val="24"/>
        </w:rPr>
        <w:t>se encuentran</w:t>
      </w:r>
      <w:r w:rsidR="3B7BDCA5" w:rsidRPr="719E25F3">
        <w:rPr>
          <w:rFonts w:ascii="Arial" w:hAnsi="Arial" w:cs="Arial"/>
          <w:sz w:val="24"/>
          <w:szCs w:val="24"/>
        </w:rPr>
        <w:t xml:space="preserve"> amparados por</w:t>
      </w:r>
      <w:r w:rsidR="6BFA19D3" w:rsidRPr="719E25F3">
        <w:rPr>
          <w:rFonts w:ascii="Arial" w:hAnsi="Arial" w:cs="Arial"/>
          <w:sz w:val="24"/>
          <w:szCs w:val="24"/>
        </w:rPr>
        <w:t xml:space="preserve"> el Plan de Ordenamiento Territorial - POT, </w:t>
      </w:r>
      <w:r w:rsidR="611A4B70" w:rsidRPr="719E25F3">
        <w:rPr>
          <w:rFonts w:ascii="Arial" w:hAnsi="Arial" w:cs="Arial"/>
          <w:sz w:val="24"/>
          <w:szCs w:val="24"/>
        </w:rPr>
        <w:t xml:space="preserve">o el </w:t>
      </w:r>
      <w:r w:rsidR="6BFA19D3" w:rsidRPr="719E25F3">
        <w:rPr>
          <w:rFonts w:ascii="Arial" w:hAnsi="Arial" w:cs="Arial"/>
          <w:sz w:val="24"/>
          <w:szCs w:val="24"/>
        </w:rPr>
        <w:t xml:space="preserve">Plan Básico de Ordenamiento Territorial – PBOT, </w:t>
      </w:r>
      <w:r w:rsidR="16ABCD5D" w:rsidRPr="719E25F3">
        <w:rPr>
          <w:rFonts w:ascii="Arial" w:hAnsi="Arial" w:cs="Arial"/>
          <w:sz w:val="24"/>
          <w:szCs w:val="24"/>
        </w:rPr>
        <w:t xml:space="preserve">o el </w:t>
      </w:r>
      <w:r w:rsidR="6BFA19D3" w:rsidRPr="719E25F3">
        <w:rPr>
          <w:rFonts w:ascii="Arial" w:hAnsi="Arial" w:cs="Arial"/>
          <w:sz w:val="24"/>
          <w:szCs w:val="24"/>
        </w:rPr>
        <w:t>Esquema de Ordenamiento Territorial – EOT, de que trata la Ley 388 de 1997. </w:t>
      </w:r>
    </w:p>
    <w:p w14:paraId="4BA94D08" w14:textId="41453E52" w:rsidR="00250ABB" w:rsidRDefault="4C00B2D7" w:rsidP="009A0C79">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719E25F3">
        <w:rPr>
          <w:rFonts w:ascii="Arial" w:hAnsi="Arial" w:cs="Arial"/>
          <w:sz w:val="24"/>
          <w:szCs w:val="24"/>
        </w:rPr>
        <w:t xml:space="preserve">La </w:t>
      </w:r>
      <w:r w:rsidR="15E2ABB7" w:rsidRPr="719E25F3">
        <w:rPr>
          <w:rFonts w:ascii="Arial" w:hAnsi="Arial" w:cs="Arial"/>
          <w:sz w:val="24"/>
          <w:szCs w:val="24"/>
        </w:rPr>
        <w:t>manifesta</w:t>
      </w:r>
      <w:r w:rsidR="68D4CC61" w:rsidRPr="719E25F3">
        <w:rPr>
          <w:rFonts w:ascii="Arial" w:hAnsi="Arial" w:cs="Arial"/>
          <w:sz w:val="24"/>
          <w:szCs w:val="24"/>
        </w:rPr>
        <w:t xml:space="preserve">ción sobre la </w:t>
      </w:r>
      <w:r w:rsidRPr="719E25F3">
        <w:rPr>
          <w:rFonts w:ascii="Arial" w:hAnsi="Arial" w:cs="Arial"/>
          <w:sz w:val="24"/>
          <w:szCs w:val="24"/>
        </w:rPr>
        <w:t>inclusión de</w:t>
      </w:r>
      <w:r w:rsidR="24EB4716" w:rsidRPr="719E25F3">
        <w:rPr>
          <w:rFonts w:ascii="Arial" w:hAnsi="Arial" w:cs="Arial"/>
          <w:sz w:val="24"/>
          <w:szCs w:val="24"/>
        </w:rPr>
        <w:t xml:space="preserve">l </w:t>
      </w:r>
      <w:r w:rsidR="6BFA19D3" w:rsidRPr="719E25F3">
        <w:rPr>
          <w:rFonts w:ascii="Arial" w:hAnsi="Arial" w:cs="Arial"/>
          <w:sz w:val="24"/>
          <w:szCs w:val="24"/>
        </w:rPr>
        <w:t xml:space="preserve">(los) barrio(s) </w:t>
      </w:r>
      <w:r w:rsidR="00AC2534">
        <w:rPr>
          <w:rFonts w:ascii="Arial" w:hAnsi="Arial" w:cs="Arial"/>
          <w:sz w:val="24"/>
          <w:szCs w:val="24"/>
        </w:rPr>
        <w:t xml:space="preserve">declarado como subnormal </w:t>
      </w:r>
      <w:r w:rsidR="08C9799B" w:rsidRPr="719E25F3">
        <w:rPr>
          <w:rFonts w:ascii="Arial" w:hAnsi="Arial" w:cs="Arial"/>
          <w:sz w:val="24"/>
          <w:szCs w:val="24"/>
        </w:rPr>
        <w:t>en</w:t>
      </w:r>
      <w:r w:rsidR="6BFA19D3" w:rsidRPr="719E25F3">
        <w:rPr>
          <w:rFonts w:ascii="Arial" w:hAnsi="Arial" w:cs="Arial"/>
          <w:sz w:val="24"/>
          <w:szCs w:val="24"/>
        </w:rPr>
        <w:t xml:space="preserve"> el Sistema Único de Información – SUI,</w:t>
      </w:r>
      <w:r w:rsidR="731CC1D1" w:rsidRPr="719E25F3">
        <w:rPr>
          <w:rFonts w:ascii="Arial" w:hAnsi="Arial" w:cs="Arial"/>
          <w:sz w:val="24"/>
          <w:szCs w:val="24"/>
        </w:rPr>
        <w:t xml:space="preserve"> administrado por la SSPD, </w:t>
      </w:r>
      <w:r w:rsidR="6BFA19D3" w:rsidRPr="719E25F3">
        <w:rPr>
          <w:rFonts w:ascii="Arial" w:hAnsi="Arial" w:cs="Arial"/>
          <w:sz w:val="24"/>
          <w:szCs w:val="24"/>
        </w:rPr>
        <w:t xml:space="preserve">con su respectivo código de identificación, municipio, </w:t>
      </w:r>
      <w:r w:rsidR="0B79A23E" w:rsidRPr="719E25F3">
        <w:rPr>
          <w:rFonts w:ascii="Arial" w:hAnsi="Arial" w:cs="Arial"/>
          <w:sz w:val="24"/>
          <w:szCs w:val="24"/>
        </w:rPr>
        <w:t>d</w:t>
      </w:r>
      <w:r w:rsidR="6BFA19D3" w:rsidRPr="719E25F3">
        <w:rPr>
          <w:rFonts w:ascii="Arial" w:hAnsi="Arial" w:cs="Arial"/>
          <w:sz w:val="24"/>
          <w:szCs w:val="24"/>
        </w:rPr>
        <w:t>epartamento</w:t>
      </w:r>
      <w:r w:rsidR="00AC2534" w:rsidRPr="719E25F3">
        <w:rPr>
          <w:rFonts w:ascii="Arial" w:hAnsi="Arial" w:cs="Arial"/>
          <w:sz w:val="24"/>
          <w:szCs w:val="24"/>
        </w:rPr>
        <w:t>, de</w:t>
      </w:r>
      <w:r w:rsidR="6BFA19D3" w:rsidRPr="719E25F3">
        <w:rPr>
          <w:rFonts w:ascii="Arial" w:hAnsi="Arial" w:cs="Arial"/>
          <w:sz w:val="24"/>
          <w:szCs w:val="24"/>
        </w:rPr>
        <w:t> conformidad con el Plan de Ordenamiento Territorial - POT, o, Plan Básico de Ordenamiento Territorial – PBOT, o, Esquema de Ordenamiento Territorial – EOT, de</w:t>
      </w:r>
      <w:r w:rsidR="228BA668" w:rsidRPr="719E25F3">
        <w:rPr>
          <w:rFonts w:ascii="Arial" w:hAnsi="Arial" w:cs="Arial"/>
          <w:sz w:val="24"/>
          <w:szCs w:val="24"/>
        </w:rPr>
        <w:t xml:space="preserve"> </w:t>
      </w:r>
      <w:r w:rsidR="6BFA19D3" w:rsidRPr="719E25F3">
        <w:rPr>
          <w:rFonts w:ascii="Arial" w:hAnsi="Arial" w:cs="Arial"/>
          <w:sz w:val="24"/>
          <w:szCs w:val="24"/>
        </w:rPr>
        <w:t>que trata la Ley 388 de 1997 (si aplica). </w:t>
      </w:r>
    </w:p>
    <w:p w14:paraId="24C0C0CF" w14:textId="5EA7AD06" w:rsidR="00250ABB" w:rsidRDefault="5D3D3B6B" w:rsidP="009A0C79">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719E25F3">
        <w:rPr>
          <w:rFonts w:ascii="Arial" w:hAnsi="Arial" w:cs="Arial"/>
          <w:sz w:val="24"/>
          <w:szCs w:val="24"/>
        </w:rPr>
        <w:t>Que c</w:t>
      </w:r>
      <w:r w:rsidR="6BFA19D3" w:rsidRPr="719E25F3">
        <w:rPr>
          <w:rFonts w:ascii="Arial" w:hAnsi="Arial" w:cs="Arial"/>
          <w:sz w:val="24"/>
          <w:szCs w:val="24"/>
        </w:rPr>
        <w:t>onoce el proyecto e identifica la cantidad total de usuarios a beneficiar (si aplica).</w:t>
      </w:r>
    </w:p>
    <w:p w14:paraId="44B1C175" w14:textId="213CAB51" w:rsidR="00250ABB" w:rsidRDefault="6BFA19D3" w:rsidP="009A0C79">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719E25F3">
        <w:rPr>
          <w:rFonts w:ascii="Arial" w:hAnsi="Arial" w:cs="Arial"/>
          <w:sz w:val="24"/>
          <w:szCs w:val="24"/>
        </w:rPr>
        <w:t>Que la integridad del proyecto y todos los elementos y usuarios beneficiarios que lo componen NO se encuentran ubicados en un área en condición de riesgo, lo cual debe estar acorde con lo dispuesto en el artículo 14 de la Ley 1523 de 2012. </w:t>
      </w:r>
    </w:p>
    <w:p w14:paraId="605809D3" w14:textId="1516D99C" w:rsidR="00250ABB" w:rsidRDefault="755A8178" w:rsidP="009A0C79">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719E25F3">
        <w:rPr>
          <w:rFonts w:ascii="Arial" w:hAnsi="Arial" w:cs="Arial"/>
          <w:sz w:val="24"/>
          <w:szCs w:val="24"/>
        </w:rPr>
        <w:t xml:space="preserve">El </w:t>
      </w:r>
      <w:r w:rsidR="6BFA19D3" w:rsidRPr="719E25F3">
        <w:rPr>
          <w:rFonts w:ascii="Arial" w:hAnsi="Arial" w:cs="Arial"/>
          <w:sz w:val="24"/>
          <w:szCs w:val="24"/>
        </w:rPr>
        <w:t xml:space="preserve">compromiso como representante legal de la entidad territorial, </w:t>
      </w:r>
      <w:r w:rsidR="53E12B57" w:rsidRPr="719E25F3">
        <w:rPr>
          <w:rFonts w:ascii="Arial" w:hAnsi="Arial" w:cs="Arial"/>
          <w:sz w:val="24"/>
          <w:szCs w:val="24"/>
        </w:rPr>
        <w:t>de</w:t>
      </w:r>
      <w:r w:rsidR="6BFA19D3" w:rsidRPr="719E25F3">
        <w:rPr>
          <w:rFonts w:ascii="Arial" w:hAnsi="Arial" w:cs="Arial"/>
          <w:sz w:val="24"/>
          <w:szCs w:val="24"/>
        </w:rPr>
        <w:t xml:space="preserve"> gestionar los recursos necesarios requeridos para la implementación de la </w:t>
      </w:r>
      <w:r w:rsidR="6BFA19D3" w:rsidRPr="719E25F3">
        <w:rPr>
          <w:rFonts w:ascii="Arial" w:hAnsi="Arial" w:cs="Arial"/>
          <w:sz w:val="24"/>
          <w:szCs w:val="24"/>
        </w:rPr>
        <w:lastRenderedPageBreak/>
        <w:t>infraestructura de alumbrado público, una vez se normalicen las redes eléctricas del(los) barrio(s) subnormal(es) (si aplica). </w:t>
      </w:r>
    </w:p>
    <w:p w14:paraId="70E30F9E" w14:textId="77777777" w:rsidR="00250ABB" w:rsidRDefault="00AB28A6" w:rsidP="0077544B">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00AB28A6">
        <w:rPr>
          <w:rFonts w:ascii="Arial" w:hAnsi="Arial" w:cs="Arial"/>
          <w:sz w:val="24"/>
          <w:szCs w:val="24"/>
        </w:rPr>
        <w:t>Que el(los) barrio(s) y/o la(s) zona(s) a utilizar no se encuentra(n) en litigio por la propiedad. </w:t>
      </w:r>
    </w:p>
    <w:p w14:paraId="2B5F4DF5" w14:textId="77777777" w:rsidR="0037124A" w:rsidRDefault="6BFA19D3" w:rsidP="0077544B">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0037124A">
        <w:rPr>
          <w:rFonts w:ascii="Arial" w:hAnsi="Arial" w:cs="Arial"/>
          <w:sz w:val="24"/>
          <w:szCs w:val="24"/>
        </w:rPr>
        <w:t>Que conoce</w:t>
      </w:r>
      <w:r w:rsidR="10971C14" w:rsidRPr="0037124A">
        <w:rPr>
          <w:rFonts w:ascii="Arial" w:hAnsi="Arial" w:cs="Arial"/>
          <w:sz w:val="24"/>
          <w:szCs w:val="24"/>
        </w:rPr>
        <w:t xml:space="preserve"> que </w:t>
      </w:r>
      <w:r w:rsidRPr="0037124A">
        <w:rPr>
          <w:rFonts w:ascii="Arial" w:hAnsi="Arial" w:cs="Arial"/>
          <w:sz w:val="24"/>
          <w:szCs w:val="24"/>
        </w:rPr>
        <w:t>el</w:t>
      </w:r>
      <w:r w:rsidR="7B9DF1E4" w:rsidRPr="0037124A">
        <w:rPr>
          <w:rFonts w:ascii="Arial" w:hAnsi="Arial" w:cs="Arial"/>
          <w:sz w:val="24"/>
          <w:szCs w:val="24"/>
        </w:rPr>
        <w:t xml:space="preserve"> tipo de Sistema de Medición Avanzada </w:t>
      </w:r>
      <w:r w:rsidR="72342B57" w:rsidRPr="0037124A">
        <w:rPr>
          <w:rFonts w:ascii="Arial" w:hAnsi="Arial" w:cs="Arial"/>
          <w:sz w:val="24"/>
          <w:szCs w:val="24"/>
        </w:rPr>
        <w:t>(AMI) es el que se utilizará para el proyecto.</w:t>
      </w:r>
    </w:p>
    <w:p w14:paraId="01FF5452" w14:textId="04FAFA41" w:rsidR="0037124A" w:rsidRPr="0037124A" w:rsidRDefault="6BFA19D3" w:rsidP="0077544B">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0037124A">
        <w:rPr>
          <w:rFonts w:ascii="Arial" w:hAnsi="Arial" w:cs="Arial"/>
          <w:sz w:val="24"/>
          <w:szCs w:val="24"/>
        </w:rPr>
        <w:t>Compromiso de acompañar las socializaciones a las comunidades objeto del proyecto con el fin de garantizar el compromiso y participación de las mismas.</w:t>
      </w:r>
    </w:p>
    <w:p w14:paraId="7C155756" w14:textId="1B360234" w:rsidR="0037124A" w:rsidRPr="0037124A" w:rsidRDefault="00AB28A6" w:rsidP="0077544B">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0037124A">
        <w:rPr>
          <w:rFonts w:ascii="Arial" w:hAnsi="Arial" w:cs="Arial"/>
          <w:sz w:val="24"/>
          <w:szCs w:val="24"/>
        </w:rPr>
        <w:t>Que el proyecto no ha sido presentado a otros fondos o fuentes de financiación pública destinados al mismo alcance, objetivo, ubicación, usuarios, entre otras características de este. </w:t>
      </w:r>
    </w:p>
    <w:p w14:paraId="608772CC" w14:textId="3E89D3DB" w:rsidR="00D6007B" w:rsidRPr="0037124A" w:rsidRDefault="6BFA19D3" w:rsidP="0077544B">
      <w:pPr>
        <w:widowControl w:val="0"/>
        <w:numPr>
          <w:ilvl w:val="0"/>
          <w:numId w:val="67"/>
        </w:numPr>
        <w:tabs>
          <w:tab w:val="clear" w:pos="720"/>
        </w:tabs>
        <w:suppressAutoHyphens w:val="0"/>
        <w:autoSpaceDE w:val="0"/>
        <w:autoSpaceDN w:val="0"/>
        <w:spacing w:before="252" w:after="0"/>
        <w:ind w:left="1418"/>
        <w:jc w:val="both"/>
        <w:rPr>
          <w:rFonts w:ascii="Arial" w:hAnsi="Arial" w:cs="Arial"/>
          <w:sz w:val="24"/>
          <w:szCs w:val="24"/>
        </w:rPr>
      </w:pPr>
      <w:r w:rsidRPr="0037124A">
        <w:rPr>
          <w:rFonts w:ascii="Arial" w:hAnsi="Arial" w:cs="Arial"/>
          <w:sz w:val="24"/>
          <w:szCs w:val="24"/>
        </w:rPr>
        <w:t>Si el proyecto requiere un trámite de gestión predial</w:t>
      </w:r>
      <w:r w:rsidR="0099098E">
        <w:rPr>
          <w:rFonts w:ascii="Arial" w:hAnsi="Arial" w:cs="Arial"/>
          <w:sz w:val="24"/>
          <w:szCs w:val="24"/>
        </w:rPr>
        <w:t xml:space="preserve">, </w:t>
      </w:r>
      <w:r w:rsidRPr="0037124A">
        <w:rPr>
          <w:rFonts w:ascii="Arial" w:hAnsi="Arial" w:cs="Arial"/>
          <w:sz w:val="24"/>
          <w:szCs w:val="24"/>
        </w:rPr>
        <w:t>el representante legal de la alcaldía deberá presentar un documento en el que se plasme el compromiso inequívoco e indeclinable de su parte, de asumir los costos y/o gastos que se produzcan como resultado de dicha gestión, o entregar a título de donación</w:t>
      </w:r>
      <w:r w:rsidR="57D1D6CB" w:rsidRPr="0037124A">
        <w:rPr>
          <w:rFonts w:ascii="Arial" w:hAnsi="Arial" w:cs="Arial"/>
          <w:sz w:val="24"/>
          <w:szCs w:val="24"/>
        </w:rPr>
        <w:t xml:space="preserve"> o uso y goce </w:t>
      </w:r>
      <w:r w:rsidRPr="0037124A">
        <w:rPr>
          <w:rFonts w:ascii="Arial" w:hAnsi="Arial" w:cs="Arial"/>
          <w:sz w:val="24"/>
          <w:szCs w:val="24"/>
        </w:rPr>
        <w:t>las áreas requeridas</w:t>
      </w:r>
      <w:r w:rsidR="72B3CB3A" w:rsidRPr="0037124A">
        <w:rPr>
          <w:rFonts w:ascii="Arial" w:hAnsi="Arial" w:cs="Arial"/>
          <w:sz w:val="24"/>
          <w:szCs w:val="24"/>
        </w:rPr>
        <w:t xml:space="preserve"> para la ejecución del proyecto y prestación del servicio de energía.</w:t>
      </w:r>
    </w:p>
    <w:p w14:paraId="2515FCA2" w14:textId="785A3780" w:rsidR="00AB28A6" w:rsidRPr="00AB28A6" w:rsidRDefault="0D3F0D24" w:rsidP="0077544B">
      <w:pPr>
        <w:widowControl w:val="0"/>
        <w:tabs>
          <w:tab w:val="left" w:pos="828"/>
        </w:tabs>
        <w:suppressAutoHyphens w:val="0"/>
        <w:autoSpaceDE w:val="0"/>
        <w:autoSpaceDN w:val="0"/>
        <w:spacing w:before="252" w:after="0"/>
        <w:jc w:val="both"/>
        <w:rPr>
          <w:rFonts w:ascii="Arial" w:hAnsi="Arial" w:cs="Arial"/>
          <w:sz w:val="24"/>
          <w:szCs w:val="24"/>
        </w:rPr>
      </w:pPr>
      <w:r w:rsidRPr="719E25F3">
        <w:rPr>
          <w:rFonts w:ascii="Arial" w:hAnsi="Arial" w:cs="Arial"/>
          <w:sz w:val="24"/>
          <w:szCs w:val="24"/>
          <w:lang w:val="es-ES"/>
        </w:rPr>
        <w:t xml:space="preserve">La </w:t>
      </w:r>
      <w:r w:rsidRPr="0077544B">
        <w:rPr>
          <w:rFonts w:ascii="Arial" w:hAnsi="Arial" w:cs="Arial"/>
          <w:sz w:val="24"/>
          <w:szCs w:val="24"/>
          <w:highlight w:val="yellow"/>
          <w:lang w:val="es-ES"/>
        </w:rPr>
        <w:t>plantilla</w:t>
      </w:r>
      <w:r w:rsidR="6BFA19D3" w:rsidRPr="719E25F3">
        <w:rPr>
          <w:rFonts w:ascii="Arial" w:hAnsi="Arial" w:cs="Arial"/>
          <w:sz w:val="24"/>
          <w:szCs w:val="24"/>
          <w:lang w:val="es-ES"/>
        </w:rPr>
        <w:t xml:space="preserve"> no deberá presentar alteraciones, modificaciones, enmendaduras y/o tachones que no permitan su lectura de forma correcta, de lo contrario </w:t>
      </w:r>
      <w:r w:rsidR="792CCE12" w:rsidRPr="719E25F3">
        <w:rPr>
          <w:rFonts w:ascii="Arial" w:hAnsi="Arial" w:cs="Arial"/>
          <w:sz w:val="24"/>
          <w:szCs w:val="24"/>
          <w:lang w:val="es-ES"/>
        </w:rPr>
        <w:t>deberá ser subsanada</w:t>
      </w:r>
      <w:r w:rsidR="6BFA19D3" w:rsidRPr="719E25F3">
        <w:rPr>
          <w:rFonts w:ascii="Arial" w:hAnsi="Arial" w:cs="Arial"/>
          <w:sz w:val="24"/>
          <w:szCs w:val="24"/>
          <w:lang w:val="es-ES"/>
        </w:rPr>
        <w:t>.</w:t>
      </w:r>
      <w:r w:rsidR="6BFA19D3" w:rsidRPr="719E25F3">
        <w:rPr>
          <w:rFonts w:ascii="Arial" w:hAnsi="Arial" w:cs="Arial"/>
          <w:sz w:val="24"/>
          <w:szCs w:val="24"/>
        </w:rPr>
        <w:t> </w:t>
      </w:r>
    </w:p>
    <w:p w14:paraId="7516DFFE" w14:textId="187495C6" w:rsidR="00577876" w:rsidRPr="00577876" w:rsidRDefault="00577876" w:rsidP="0077544B">
      <w:pPr>
        <w:widowControl w:val="0"/>
        <w:numPr>
          <w:ilvl w:val="0"/>
          <w:numId w:val="68"/>
        </w:numPr>
        <w:tabs>
          <w:tab w:val="clear" w:pos="720"/>
        </w:tabs>
        <w:suppressAutoHyphens w:val="0"/>
        <w:autoSpaceDE w:val="0"/>
        <w:autoSpaceDN w:val="0"/>
        <w:spacing w:before="252" w:after="0"/>
        <w:ind w:left="567" w:hanging="567"/>
        <w:jc w:val="both"/>
        <w:rPr>
          <w:rFonts w:ascii="Arial" w:hAnsi="Arial" w:cs="Arial"/>
          <w:sz w:val="24"/>
          <w:szCs w:val="24"/>
        </w:rPr>
      </w:pPr>
      <w:r w:rsidRPr="3B8C8C19">
        <w:rPr>
          <w:rFonts w:ascii="Arial" w:hAnsi="Arial" w:cs="Arial"/>
          <w:sz w:val="24"/>
          <w:szCs w:val="24"/>
        </w:rPr>
        <w:t xml:space="preserve">Información geográfica en medio digital del área del plan, programa </w:t>
      </w:r>
      <w:r w:rsidR="3F3DF993" w:rsidRPr="3B8C8C19">
        <w:rPr>
          <w:rFonts w:ascii="Arial" w:hAnsi="Arial" w:cs="Arial"/>
          <w:sz w:val="24"/>
          <w:szCs w:val="24"/>
        </w:rPr>
        <w:t>y/</w:t>
      </w:r>
      <w:r w:rsidRPr="3B8C8C19">
        <w:rPr>
          <w:rFonts w:ascii="Arial" w:hAnsi="Arial" w:cs="Arial"/>
          <w:sz w:val="24"/>
          <w:szCs w:val="24"/>
        </w:rPr>
        <w:t xml:space="preserve">o proyecto, desagregado por las tipologías de las que trata el numeral </w:t>
      </w:r>
      <w:r w:rsidR="00DE4D91" w:rsidRPr="00DE4D91">
        <w:rPr>
          <w:rFonts w:ascii="Arial" w:hAnsi="Arial" w:cs="Arial"/>
          <w:sz w:val="24"/>
          <w:szCs w:val="24"/>
        </w:rPr>
        <w:t>III-2.2</w:t>
      </w:r>
      <w:r w:rsidRPr="3B8C8C19">
        <w:rPr>
          <w:rFonts w:ascii="Arial" w:hAnsi="Arial" w:cs="Arial"/>
          <w:sz w:val="24"/>
          <w:szCs w:val="24"/>
        </w:rPr>
        <w:t> y por usuarios a beneficiar (si aplica), la cual deberá referirse al dato oficial adoptado para Colombia (MAGNA-SIRGAS), indicando el origen con mínimo 6 dígitos después de la coma, en coordenadas planas, para lo cual anexará: </w:t>
      </w:r>
    </w:p>
    <w:p w14:paraId="099C0E3C" w14:textId="665FB507" w:rsidR="00577876" w:rsidRPr="00A655CF" w:rsidRDefault="00577876" w:rsidP="0077544B">
      <w:pPr>
        <w:pStyle w:val="Prrafodelista"/>
        <w:widowControl w:val="0"/>
        <w:numPr>
          <w:ilvl w:val="1"/>
          <w:numId w:val="69"/>
        </w:numPr>
        <w:tabs>
          <w:tab w:val="left" w:pos="3544"/>
        </w:tabs>
        <w:suppressAutoHyphens w:val="0"/>
        <w:autoSpaceDE w:val="0"/>
        <w:autoSpaceDN w:val="0"/>
        <w:spacing w:before="252" w:after="0"/>
        <w:ind w:left="1418"/>
        <w:jc w:val="both"/>
        <w:rPr>
          <w:rFonts w:ascii="Arial" w:hAnsi="Arial" w:cs="Arial"/>
          <w:sz w:val="24"/>
          <w:szCs w:val="24"/>
        </w:rPr>
      </w:pPr>
      <w:r w:rsidRPr="00A655CF">
        <w:rPr>
          <w:rFonts w:ascii="Arial" w:hAnsi="Arial" w:cs="Arial"/>
          <w:sz w:val="24"/>
          <w:szCs w:val="24"/>
        </w:rPr>
        <w:t>Archivo shapefile; </w:t>
      </w:r>
    </w:p>
    <w:p w14:paraId="42DACA1F" w14:textId="6881F8D9" w:rsidR="00577876" w:rsidRPr="00A655CF" w:rsidRDefault="00577876" w:rsidP="0077544B">
      <w:pPr>
        <w:pStyle w:val="Prrafodelista"/>
        <w:widowControl w:val="0"/>
        <w:numPr>
          <w:ilvl w:val="1"/>
          <w:numId w:val="69"/>
        </w:numPr>
        <w:tabs>
          <w:tab w:val="left" w:pos="3544"/>
        </w:tabs>
        <w:suppressAutoHyphens w:val="0"/>
        <w:autoSpaceDE w:val="0"/>
        <w:autoSpaceDN w:val="0"/>
        <w:spacing w:before="252" w:after="0"/>
        <w:ind w:left="1418"/>
        <w:jc w:val="both"/>
        <w:rPr>
          <w:rFonts w:ascii="Arial" w:hAnsi="Arial" w:cs="Arial"/>
          <w:sz w:val="24"/>
          <w:szCs w:val="24"/>
        </w:rPr>
      </w:pPr>
      <w:r w:rsidRPr="00A655CF">
        <w:rPr>
          <w:rFonts w:ascii="Arial" w:hAnsi="Arial" w:cs="Arial"/>
          <w:sz w:val="24"/>
          <w:szCs w:val="24"/>
        </w:rPr>
        <w:t>Relación de usuarios beneficiados georreferenciados en hoja de cálculo por departamento, municipio, vereda o barrio cuando aplique, así como la pertenencia étnica (nombre pueblo/</w:t>
      </w:r>
      <w:r w:rsidR="00AC2534" w:rsidRPr="00A655CF">
        <w:rPr>
          <w:rFonts w:ascii="Arial" w:hAnsi="Arial" w:cs="Arial"/>
          <w:sz w:val="24"/>
          <w:szCs w:val="24"/>
        </w:rPr>
        <w:t>etnia</w:t>
      </w:r>
      <w:r w:rsidRPr="00A655CF">
        <w:rPr>
          <w:rFonts w:ascii="Arial" w:hAnsi="Arial" w:cs="Arial"/>
          <w:sz w:val="24"/>
          <w:szCs w:val="24"/>
        </w:rPr>
        <w:t>, resguardo</w:t>
      </w:r>
      <w:r w:rsidR="00AC2534">
        <w:rPr>
          <w:rFonts w:ascii="Arial" w:hAnsi="Arial" w:cs="Arial"/>
          <w:sz w:val="24"/>
          <w:szCs w:val="24"/>
        </w:rPr>
        <w:t>,</w:t>
      </w:r>
      <w:r w:rsidRPr="00A655CF">
        <w:rPr>
          <w:rFonts w:ascii="Arial" w:hAnsi="Arial" w:cs="Arial"/>
          <w:sz w:val="24"/>
          <w:szCs w:val="24"/>
        </w:rPr>
        <w:t xml:space="preserve"> cabildo, ranchería, asentamiento, consejos comunitarios, asociación, según aplique el usuario), municipios de paz (ZOMAC-PDET), y la caracterización de enfoque de género y población. </w:t>
      </w:r>
    </w:p>
    <w:p w14:paraId="4A7ABAD0" w14:textId="1EBD03B2" w:rsidR="0039147C" w:rsidRPr="0039147C" w:rsidRDefault="0039147C" w:rsidP="0077544B">
      <w:pPr>
        <w:widowControl w:val="0"/>
        <w:numPr>
          <w:ilvl w:val="0"/>
          <w:numId w:val="70"/>
        </w:numPr>
        <w:tabs>
          <w:tab w:val="left" w:pos="828"/>
        </w:tabs>
        <w:suppressAutoHyphens w:val="0"/>
        <w:autoSpaceDE w:val="0"/>
        <w:autoSpaceDN w:val="0"/>
        <w:spacing w:before="252" w:after="0"/>
        <w:ind w:hanging="578"/>
        <w:jc w:val="both"/>
        <w:rPr>
          <w:rFonts w:ascii="Arial" w:hAnsi="Arial" w:cs="Arial"/>
          <w:sz w:val="24"/>
          <w:szCs w:val="24"/>
        </w:rPr>
      </w:pPr>
      <w:r w:rsidRPr="0039147C">
        <w:rPr>
          <w:rFonts w:ascii="Arial" w:hAnsi="Arial" w:cs="Arial"/>
          <w:sz w:val="24"/>
          <w:szCs w:val="24"/>
        </w:rPr>
        <w:t>Certificación de Parques Nacionales: Documento expedido por la Unidad Administrativa Especial Parques Nacionales Naturales de Colombia, en donde se establezca que las comunidades o potenciales usuarios beneficiarios no se encuentran ubicadas en áreas pertenecientes al Sistema de Parques Nacionales Naturales o en su defecto la autorización de la realización de adecuaciones o mejoras sobre las edificaciones existentes al interior de áreas del Sistema de Parques Nacionales (Si aplica).  </w:t>
      </w:r>
    </w:p>
    <w:p w14:paraId="5EB41A05" w14:textId="44CB013B" w:rsidR="0039147C" w:rsidRPr="0039147C" w:rsidRDefault="67C3E8D5" w:rsidP="0077544B">
      <w:pPr>
        <w:widowControl w:val="0"/>
        <w:numPr>
          <w:ilvl w:val="0"/>
          <w:numId w:val="71"/>
        </w:numPr>
        <w:tabs>
          <w:tab w:val="left" w:pos="828"/>
        </w:tabs>
        <w:suppressAutoHyphens w:val="0"/>
        <w:autoSpaceDE w:val="0"/>
        <w:autoSpaceDN w:val="0"/>
        <w:spacing w:before="252" w:after="0"/>
        <w:ind w:hanging="578"/>
        <w:jc w:val="both"/>
        <w:rPr>
          <w:rFonts w:ascii="Arial" w:hAnsi="Arial" w:cs="Arial"/>
          <w:sz w:val="24"/>
          <w:szCs w:val="24"/>
        </w:rPr>
      </w:pPr>
      <w:r w:rsidRPr="719E25F3">
        <w:rPr>
          <w:rFonts w:ascii="Arial" w:hAnsi="Arial" w:cs="Arial"/>
          <w:sz w:val="24"/>
          <w:szCs w:val="24"/>
        </w:rPr>
        <w:lastRenderedPageBreak/>
        <w:t>Concepto de pertinencia y oportunidad de consulta previa: Documento emitido por la Autoridad Nacional de Consulta Previa donde se pronuncie acerca de la</w:t>
      </w:r>
      <w:r w:rsidR="00AC2534">
        <w:rPr>
          <w:rFonts w:ascii="Arial" w:hAnsi="Arial" w:cs="Arial"/>
          <w:sz w:val="24"/>
          <w:szCs w:val="24"/>
        </w:rPr>
        <w:t xml:space="preserve"> necesidad de</w:t>
      </w:r>
      <w:r w:rsidRPr="719E25F3">
        <w:rPr>
          <w:rFonts w:ascii="Arial" w:hAnsi="Arial" w:cs="Arial"/>
          <w:sz w:val="24"/>
          <w:szCs w:val="24"/>
        </w:rPr>
        <w:t xml:space="preserve"> consulta previa para el proyecto. En caso de que se indique la procedencia de ésta, el interesado se obliga a cumplir con los parámetros que rigen la misma pero sólo se asignarán recursos, de haberlos disponibles, cuando se culmine satisfactoriamente el proceso de consulta previa (Si aplica).</w:t>
      </w:r>
    </w:p>
    <w:p w14:paraId="38D63DB7" w14:textId="0C2A3F98" w:rsidR="0039147C" w:rsidRPr="0039147C" w:rsidRDefault="7108E970" w:rsidP="0077544B">
      <w:pPr>
        <w:widowControl w:val="0"/>
        <w:numPr>
          <w:ilvl w:val="0"/>
          <w:numId w:val="72"/>
        </w:numPr>
        <w:tabs>
          <w:tab w:val="left" w:pos="828"/>
        </w:tabs>
        <w:suppressAutoHyphens w:val="0"/>
        <w:autoSpaceDE w:val="0"/>
        <w:autoSpaceDN w:val="0"/>
        <w:spacing w:before="252" w:after="0"/>
        <w:ind w:hanging="578"/>
        <w:jc w:val="both"/>
        <w:rPr>
          <w:rFonts w:ascii="Arial" w:hAnsi="Arial" w:cs="Arial"/>
          <w:sz w:val="24"/>
          <w:szCs w:val="24"/>
        </w:rPr>
      </w:pPr>
      <w:r w:rsidRPr="719E25F3">
        <w:rPr>
          <w:rFonts w:ascii="Arial" w:hAnsi="Arial" w:cs="Arial"/>
          <w:sz w:val="24"/>
          <w:szCs w:val="24"/>
        </w:rPr>
        <w:t>Trámite de licenciamiento ambiental</w:t>
      </w:r>
      <w:r w:rsidR="67C3E8D5" w:rsidRPr="719E25F3">
        <w:rPr>
          <w:rFonts w:ascii="Arial" w:hAnsi="Arial" w:cs="Arial"/>
          <w:sz w:val="24"/>
          <w:szCs w:val="24"/>
        </w:rPr>
        <w:t>: Carta de presentación del proyecto remitida a la autoridad ambiental competente</w:t>
      </w:r>
      <w:r w:rsidR="7EF2CB81" w:rsidRPr="719E25F3">
        <w:rPr>
          <w:rFonts w:ascii="Arial" w:hAnsi="Arial" w:cs="Arial"/>
          <w:sz w:val="24"/>
          <w:szCs w:val="24"/>
        </w:rPr>
        <w:t xml:space="preserve"> para la determinación de la obligatoriedad o no de adelantar el trámite de licenciamiento ambiental y la respuesta a la misma</w:t>
      </w:r>
      <w:r w:rsidR="6DE90FF5" w:rsidRPr="719E25F3">
        <w:rPr>
          <w:rFonts w:ascii="Arial" w:hAnsi="Arial" w:cs="Arial"/>
          <w:sz w:val="24"/>
          <w:szCs w:val="24"/>
        </w:rPr>
        <w:t>.</w:t>
      </w:r>
    </w:p>
    <w:p w14:paraId="3E5715FF" w14:textId="7B152B91" w:rsidR="0039147C" w:rsidRPr="0039147C" w:rsidRDefault="67C3E8D5" w:rsidP="0077544B">
      <w:pPr>
        <w:widowControl w:val="0"/>
        <w:tabs>
          <w:tab w:val="left" w:pos="828"/>
        </w:tabs>
        <w:suppressAutoHyphens w:val="0"/>
        <w:autoSpaceDE w:val="0"/>
        <w:autoSpaceDN w:val="0"/>
        <w:spacing w:before="252" w:after="0"/>
        <w:ind w:left="708"/>
        <w:jc w:val="both"/>
        <w:rPr>
          <w:rFonts w:ascii="Arial" w:hAnsi="Arial" w:cs="Arial"/>
          <w:sz w:val="24"/>
          <w:szCs w:val="24"/>
        </w:rPr>
      </w:pPr>
      <w:r w:rsidRPr="719E25F3">
        <w:rPr>
          <w:rFonts w:ascii="Arial" w:hAnsi="Arial" w:cs="Arial"/>
          <w:sz w:val="24"/>
          <w:szCs w:val="24"/>
        </w:rPr>
        <w:t>Para el caso de proyectos que requieran licencia ambiental, de conformidad con la normatividad vigente, se deberá presentar la</w:t>
      </w:r>
      <w:r w:rsidR="73C39169" w:rsidRPr="719E25F3">
        <w:rPr>
          <w:rFonts w:ascii="Arial" w:hAnsi="Arial" w:cs="Arial"/>
          <w:sz w:val="24"/>
          <w:szCs w:val="24"/>
        </w:rPr>
        <w:t xml:space="preserve"> culminación del trámite de licenciamiento </w:t>
      </w:r>
      <w:r w:rsidRPr="719E25F3">
        <w:rPr>
          <w:rFonts w:ascii="Arial" w:hAnsi="Arial" w:cs="Arial"/>
          <w:sz w:val="24"/>
          <w:szCs w:val="24"/>
        </w:rPr>
        <w:t>y/o permisos ambientales complementarios, necesarios para la ejecución de los proyectos (Si aplica).  </w:t>
      </w:r>
    </w:p>
    <w:p w14:paraId="6E528C03" w14:textId="77777777" w:rsidR="00AC214F" w:rsidRDefault="00AC214F" w:rsidP="00AC2534">
      <w:pPr>
        <w:spacing w:after="0"/>
        <w:jc w:val="both"/>
        <w:rPr>
          <w:rFonts w:ascii="Arial" w:hAnsi="Arial" w:cs="Arial"/>
          <w:sz w:val="24"/>
          <w:szCs w:val="24"/>
        </w:rPr>
      </w:pPr>
    </w:p>
    <w:p w14:paraId="071DC83E" w14:textId="77777777" w:rsidR="006F5547" w:rsidRDefault="006F5547" w:rsidP="00AC214F">
      <w:pPr>
        <w:jc w:val="both"/>
        <w:rPr>
          <w:rFonts w:ascii="Arial" w:hAnsi="Arial" w:cs="Arial"/>
          <w:sz w:val="24"/>
          <w:szCs w:val="24"/>
        </w:rPr>
      </w:pPr>
      <w:r w:rsidRPr="006F5547">
        <w:rPr>
          <w:rFonts w:ascii="Arial" w:hAnsi="Arial" w:cs="Arial"/>
          <w:sz w:val="24"/>
          <w:szCs w:val="24"/>
        </w:rPr>
        <w:t>Así mismo, para todos los proyectos se deberán presentar los documentos de caracterización, análisis de impactos y plan de manejo ambiental, aplicables a la naturaleza y alcance de cada uno de ellos.  </w:t>
      </w:r>
    </w:p>
    <w:p w14:paraId="72547FB9" w14:textId="7CC0E7EB" w:rsidR="00AC214F" w:rsidRPr="00AC214F" w:rsidRDefault="00A86F9B" w:rsidP="00517B59">
      <w:pPr>
        <w:pStyle w:val="Ttulo6"/>
        <w:ind w:left="1152" w:hanging="1152"/>
        <w:rPr>
          <w:bCs/>
        </w:rPr>
      </w:pPr>
      <w:r w:rsidRPr="00AC214F">
        <w:rPr>
          <w:bCs/>
        </w:rPr>
        <w:t>III-2.</w:t>
      </w:r>
      <w:r w:rsidR="00AC2534">
        <w:rPr>
          <w:bCs/>
        </w:rPr>
        <w:t>3</w:t>
      </w:r>
      <w:r w:rsidRPr="00AC214F">
        <w:rPr>
          <w:bCs/>
        </w:rPr>
        <w:t>.2</w:t>
      </w:r>
      <w:r w:rsidR="133EFF6D" w:rsidRPr="00196C53">
        <w:rPr>
          <w:bCs/>
        </w:rPr>
        <w:t> </w:t>
      </w:r>
      <w:r w:rsidR="0A26D4B8" w:rsidRPr="00196C53">
        <w:rPr>
          <w:bCs/>
        </w:rPr>
        <w:t>Documentación General</w:t>
      </w:r>
    </w:p>
    <w:p w14:paraId="17D21CE0" w14:textId="743CD4C2" w:rsidR="00AB1D26" w:rsidRPr="00AB1D26" w:rsidRDefault="3F266590" w:rsidP="008E39FD">
      <w:pPr>
        <w:spacing w:before="240"/>
        <w:jc w:val="both"/>
        <w:rPr>
          <w:rFonts w:ascii="Arial" w:hAnsi="Arial" w:cs="Arial"/>
          <w:sz w:val="24"/>
          <w:szCs w:val="24"/>
        </w:rPr>
      </w:pPr>
      <w:r w:rsidRPr="3B8C8C19">
        <w:rPr>
          <w:rFonts w:ascii="Arial" w:hAnsi="Arial" w:cs="Arial"/>
          <w:sz w:val="24"/>
          <w:szCs w:val="24"/>
        </w:rPr>
        <w:t xml:space="preserve">Para efectos de esta documentación, el plan, programa </w:t>
      </w:r>
      <w:r w:rsidR="6F5F4131" w:rsidRPr="3B8C8C19">
        <w:rPr>
          <w:rFonts w:ascii="Arial" w:hAnsi="Arial" w:cs="Arial"/>
          <w:sz w:val="24"/>
          <w:szCs w:val="24"/>
        </w:rPr>
        <w:t>y/</w:t>
      </w:r>
      <w:r w:rsidRPr="3B8C8C19">
        <w:rPr>
          <w:rFonts w:ascii="Arial" w:hAnsi="Arial" w:cs="Arial"/>
          <w:sz w:val="24"/>
          <w:szCs w:val="24"/>
        </w:rPr>
        <w:t>o proyecto presentado al FONENERGIA deberá remitir la información correspondiente de manera independiente y completa</w:t>
      </w:r>
      <w:r w:rsidR="003A4BED">
        <w:rPr>
          <w:rFonts w:ascii="Arial" w:hAnsi="Arial" w:cs="Arial"/>
          <w:sz w:val="24"/>
          <w:szCs w:val="24"/>
        </w:rPr>
        <w:t>, de conformidad con lo señalado a continuación</w:t>
      </w:r>
      <w:r w:rsidR="0077544B">
        <w:rPr>
          <w:rFonts w:ascii="Arial" w:hAnsi="Arial" w:cs="Arial"/>
          <w:sz w:val="24"/>
          <w:szCs w:val="24"/>
        </w:rPr>
        <w:t>,</w:t>
      </w:r>
      <w:r w:rsidRPr="3B8C8C19">
        <w:rPr>
          <w:rFonts w:ascii="Arial" w:hAnsi="Arial" w:cs="Arial"/>
          <w:sz w:val="24"/>
          <w:szCs w:val="24"/>
        </w:rPr>
        <w:t xml:space="preserve"> </w:t>
      </w:r>
      <w:r w:rsidRPr="003A4BED">
        <w:rPr>
          <w:rFonts w:ascii="Arial" w:hAnsi="Arial" w:cs="Arial"/>
          <w:sz w:val="24"/>
          <w:szCs w:val="24"/>
          <w:highlight w:val="yellow"/>
        </w:rPr>
        <w:t>por cada tipología que lo conforme. En consecuencia, cuando una iniciativa contemple más de una tipología, la documentación exigida deberá diferenciarse por cada una de ellas, garantizando la delimitación clara de su alcance, componentes y costos asociados.</w:t>
      </w:r>
      <w:r w:rsidRPr="3B8C8C19">
        <w:rPr>
          <w:rFonts w:ascii="Arial" w:hAnsi="Arial" w:cs="Arial"/>
          <w:sz w:val="24"/>
          <w:szCs w:val="24"/>
        </w:rPr>
        <w:t> </w:t>
      </w:r>
    </w:p>
    <w:p w14:paraId="72AA6FF3" w14:textId="77777777" w:rsidR="00AB1D26" w:rsidRPr="00AB1D26" w:rsidRDefault="00AB1D26" w:rsidP="008E39FD">
      <w:pPr>
        <w:jc w:val="both"/>
        <w:rPr>
          <w:rFonts w:ascii="Arial" w:hAnsi="Arial" w:cs="Arial"/>
          <w:sz w:val="24"/>
          <w:szCs w:val="24"/>
        </w:rPr>
      </w:pPr>
      <w:r w:rsidRPr="003A4BED">
        <w:rPr>
          <w:rFonts w:ascii="Arial" w:hAnsi="Arial" w:cs="Arial"/>
          <w:sz w:val="24"/>
          <w:szCs w:val="24"/>
          <w:highlight w:val="yellow"/>
        </w:rPr>
        <w:t>Cada tipología será evaluada de manera independiente y deberá acreditar el cumplimiento integral de los requisitos establecidos en el presente apartado.</w:t>
      </w:r>
      <w:r w:rsidRPr="00AB1D26">
        <w:rPr>
          <w:rFonts w:ascii="Arial" w:hAnsi="Arial" w:cs="Arial"/>
          <w:sz w:val="24"/>
          <w:szCs w:val="24"/>
        </w:rPr>
        <w:t> </w:t>
      </w:r>
    </w:p>
    <w:p w14:paraId="0E3E8E71" w14:textId="4BB8BEF5" w:rsidR="00AB1D26" w:rsidRPr="00890837" w:rsidRDefault="00C4413E" w:rsidP="00890837">
      <w:pPr>
        <w:pStyle w:val="Ttulo6"/>
        <w:ind w:left="1152" w:hanging="1152"/>
        <w:rPr>
          <w:bCs/>
        </w:rPr>
      </w:pPr>
      <w:r w:rsidRPr="001319A4">
        <w:rPr>
          <w:bCs/>
        </w:rPr>
        <w:t>III-2.</w:t>
      </w:r>
      <w:r w:rsidR="003A4BED">
        <w:rPr>
          <w:bCs/>
        </w:rPr>
        <w:t>3</w:t>
      </w:r>
      <w:r w:rsidRPr="001319A4">
        <w:rPr>
          <w:bCs/>
        </w:rPr>
        <w:t>.</w:t>
      </w:r>
      <w:r w:rsidR="001319A4" w:rsidRPr="001319A4">
        <w:rPr>
          <w:bCs/>
        </w:rPr>
        <w:t xml:space="preserve">2.1 </w:t>
      </w:r>
      <w:r w:rsidR="00B92446" w:rsidRPr="00890837">
        <w:rPr>
          <w:bCs/>
        </w:rPr>
        <w:t>Documentación Plan de trabajo y cronograma de implementación</w:t>
      </w:r>
    </w:p>
    <w:p w14:paraId="68B263CE" w14:textId="1AB773FC" w:rsidR="00B92446" w:rsidRDefault="00B92446" w:rsidP="0077544B">
      <w:pPr>
        <w:pStyle w:val="paragraph"/>
        <w:spacing w:before="240" w:beforeAutospacing="0" w:after="0" w:afterAutospacing="0" w:line="276" w:lineRule="auto"/>
        <w:jc w:val="both"/>
        <w:textAlignment w:val="baseline"/>
        <w:rPr>
          <w:rFonts w:ascii="Arial" w:hAnsi="Arial" w:cs="Arial"/>
        </w:rPr>
      </w:pPr>
      <w:r>
        <w:rPr>
          <w:rStyle w:val="normaltextrun"/>
          <w:rFonts w:ascii="Arial" w:hAnsi="Arial" w:cs="Arial"/>
        </w:rPr>
        <w:t>El proponente deberá diligenciar en su totalidad el documento denominado </w:t>
      </w:r>
      <w:r w:rsidRPr="0077544B">
        <w:rPr>
          <w:rStyle w:val="normaltextrun"/>
          <w:rFonts w:ascii="Arial" w:hAnsi="Arial" w:cs="Arial"/>
          <w:highlight w:val="yellow"/>
        </w:rPr>
        <w:t>“Anexo 1 - Cronograma de ejecución del proyecto”</w:t>
      </w:r>
      <w:r>
        <w:rPr>
          <w:rStyle w:val="normaltextrun"/>
          <w:rFonts w:ascii="Arial" w:hAnsi="Arial" w:cs="Arial"/>
        </w:rPr>
        <w:t>, en el cual deberá consignar de manera clara y detallada la programación de las actividades correspondientes a los planes, programas y/o proyectos que se presenten.</w:t>
      </w:r>
      <w:r>
        <w:rPr>
          <w:rStyle w:val="eop"/>
          <w:rFonts w:ascii="Arial" w:hAnsi="Arial" w:cs="Arial"/>
        </w:rPr>
        <w:t> </w:t>
      </w:r>
    </w:p>
    <w:p w14:paraId="1EABCAE0" w14:textId="77777777" w:rsidR="00B92446" w:rsidRDefault="00B92446" w:rsidP="0077544B">
      <w:pPr>
        <w:pStyle w:val="paragraph"/>
        <w:spacing w:before="0" w:beforeAutospacing="0" w:after="0" w:afterAutospacing="0" w:line="276" w:lineRule="auto"/>
        <w:ind w:left="720"/>
        <w:jc w:val="both"/>
        <w:textAlignment w:val="baseline"/>
        <w:rPr>
          <w:rFonts w:ascii="Segoe UI" w:hAnsi="Segoe UI" w:cs="Segoe UI"/>
          <w:sz w:val="18"/>
          <w:szCs w:val="18"/>
        </w:rPr>
      </w:pPr>
      <w:r>
        <w:rPr>
          <w:rStyle w:val="eop"/>
          <w:rFonts w:ascii="Arial" w:hAnsi="Arial" w:cs="Arial"/>
        </w:rPr>
        <w:t> </w:t>
      </w:r>
    </w:p>
    <w:p w14:paraId="3F92C293" w14:textId="77777777" w:rsidR="00B92446" w:rsidRDefault="00B92446" w:rsidP="0077544B">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El cronograma deberá reflejar la secuencia lógica de ejecución, los tiempos estimados para cada actividad (fecha de inicio y fecha de finalización), los hitos relevantes y el periodo total de implementación, de forma que permita verificar la coherencia técnica y la viabilidad temporal de la propuesta. La información registrada deberá ser consistente con el alcance, presupuesto y componentes técnicos del proyecto.</w:t>
      </w:r>
      <w:r>
        <w:rPr>
          <w:rStyle w:val="eop"/>
          <w:rFonts w:ascii="Arial" w:hAnsi="Arial" w:cs="Arial"/>
        </w:rPr>
        <w:t> </w:t>
      </w:r>
    </w:p>
    <w:p w14:paraId="038713F9" w14:textId="77777777" w:rsidR="00B92446" w:rsidRDefault="00B92446" w:rsidP="003A4BED">
      <w:pPr>
        <w:spacing w:after="0"/>
      </w:pPr>
    </w:p>
    <w:p w14:paraId="6ADDB920" w14:textId="70B6BB96" w:rsidR="00CB1A2E" w:rsidRPr="009F24C7" w:rsidRDefault="00CF111A" w:rsidP="009F24C7">
      <w:pPr>
        <w:pStyle w:val="Ttulo6"/>
        <w:ind w:left="1152" w:hanging="1152"/>
        <w:rPr>
          <w:bCs/>
        </w:rPr>
      </w:pPr>
      <w:r w:rsidRPr="00CF111A">
        <w:rPr>
          <w:bCs/>
        </w:rPr>
        <w:t>III-2.</w:t>
      </w:r>
      <w:r w:rsidR="003A4BED">
        <w:rPr>
          <w:bCs/>
        </w:rPr>
        <w:t>3</w:t>
      </w:r>
      <w:r w:rsidRPr="00CF111A">
        <w:rPr>
          <w:bCs/>
        </w:rPr>
        <w:t>.2.2</w:t>
      </w:r>
      <w:r w:rsidRPr="009F24C7">
        <w:rPr>
          <w:bCs/>
        </w:rPr>
        <w:t xml:space="preserve"> </w:t>
      </w:r>
      <w:r w:rsidR="00CB1A2E" w:rsidRPr="009F24C7">
        <w:rPr>
          <w:bCs/>
        </w:rPr>
        <w:t>Documentación Técnica</w:t>
      </w:r>
    </w:p>
    <w:p w14:paraId="3F40B7BA" w14:textId="77777777" w:rsidR="00CF111A" w:rsidRDefault="00CF111A" w:rsidP="00CF111A">
      <w:pPr>
        <w:spacing w:after="0"/>
        <w:jc w:val="both"/>
        <w:rPr>
          <w:rFonts w:ascii="Arial" w:hAnsi="Arial" w:cs="Arial"/>
          <w:b/>
          <w:bCs/>
          <w:sz w:val="24"/>
          <w:szCs w:val="24"/>
        </w:rPr>
      </w:pPr>
    </w:p>
    <w:p w14:paraId="7DD6E6E2" w14:textId="3F1EC1DD" w:rsidR="00CF111A" w:rsidRPr="000D004E" w:rsidRDefault="000D004E" w:rsidP="00CF111A">
      <w:pPr>
        <w:spacing w:after="0"/>
        <w:jc w:val="both"/>
        <w:rPr>
          <w:rFonts w:ascii="Arial" w:hAnsi="Arial" w:cs="Arial"/>
          <w:sz w:val="24"/>
          <w:szCs w:val="24"/>
        </w:rPr>
      </w:pPr>
      <w:r>
        <w:rPr>
          <w:rFonts w:ascii="Arial" w:hAnsi="Arial" w:cs="Arial"/>
          <w:sz w:val="24"/>
          <w:szCs w:val="24"/>
        </w:rPr>
        <w:t xml:space="preserve">La documentación que soporta el alcance técnico del proyecto </w:t>
      </w:r>
      <w:r w:rsidR="000007C0">
        <w:rPr>
          <w:rFonts w:ascii="Arial" w:hAnsi="Arial" w:cs="Arial"/>
          <w:sz w:val="24"/>
          <w:szCs w:val="24"/>
        </w:rPr>
        <w:t>que pretende ser financiado con recursos del Fondo deberá ser la siguiente:</w:t>
      </w:r>
    </w:p>
    <w:p w14:paraId="6048CA68" w14:textId="77777777" w:rsidR="00A45D11" w:rsidRPr="000D004E" w:rsidRDefault="00A45D11" w:rsidP="00CF111A">
      <w:pPr>
        <w:spacing w:after="0"/>
        <w:jc w:val="both"/>
        <w:rPr>
          <w:rFonts w:ascii="Arial" w:hAnsi="Arial" w:cs="Arial"/>
          <w:sz w:val="24"/>
          <w:szCs w:val="24"/>
        </w:rPr>
      </w:pPr>
    </w:p>
    <w:p w14:paraId="2942E2BC" w14:textId="289A58CF" w:rsidR="00CB1A2E" w:rsidRPr="002C1601" w:rsidRDefault="00DE3DB8" w:rsidP="002C1601">
      <w:pPr>
        <w:pStyle w:val="Ttulo6"/>
        <w:ind w:left="1152" w:hanging="1152"/>
        <w:rPr>
          <w:bCs/>
        </w:rPr>
      </w:pPr>
      <w:r w:rsidRPr="002C1601">
        <w:rPr>
          <w:bCs/>
        </w:rPr>
        <w:lastRenderedPageBreak/>
        <w:t>III</w:t>
      </w:r>
      <w:r w:rsidR="00A45D11" w:rsidRPr="002C1601">
        <w:rPr>
          <w:bCs/>
        </w:rPr>
        <w:t>- 2.</w:t>
      </w:r>
      <w:r w:rsidR="003A4BED">
        <w:rPr>
          <w:bCs/>
        </w:rPr>
        <w:t>3</w:t>
      </w:r>
      <w:r w:rsidR="00A45D11" w:rsidRPr="002C1601">
        <w:rPr>
          <w:bCs/>
        </w:rPr>
        <w:t xml:space="preserve">.2.2.1 </w:t>
      </w:r>
      <w:r w:rsidR="006E22D0" w:rsidRPr="002C1601">
        <w:rPr>
          <w:bCs/>
        </w:rPr>
        <w:t>Diseño Civil</w:t>
      </w:r>
    </w:p>
    <w:p w14:paraId="307133F9" w14:textId="1ABC5FC7" w:rsidR="005D1D90" w:rsidRPr="00672A12" w:rsidRDefault="005D1D90" w:rsidP="00672A12">
      <w:pPr>
        <w:widowControl w:val="0"/>
        <w:numPr>
          <w:ilvl w:val="0"/>
          <w:numId w:val="74"/>
        </w:numPr>
        <w:tabs>
          <w:tab w:val="left" w:pos="828"/>
        </w:tabs>
        <w:suppressAutoHyphens w:val="0"/>
        <w:autoSpaceDE w:val="0"/>
        <w:autoSpaceDN w:val="0"/>
        <w:spacing w:before="252" w:after="0"/>
        <w:jc w:val="both"/>
        <w:rPr>
          <w:rFonts w:ascii="Arial" w:hAnsi="Arial" w:cs="Arial"/>
          <w:sz w:val="24"/>
          <w:szCs w:val="24"/>
        </w:rPr>
      </w:pPr>
      <w:r w:rsidRPr="00672A12">
        <w:rPr>
          <w:rFonts w:ascii="Arial" w:hAnsi="Arial" w:cs="Arial"/>
          <w:sz w:val="24"/>
          <w:szCs w:val="24"/>
        </w:rPr>
        <w:t>Memorias de Cálculo y Diseños Civiles</w:t>
      </w:r>
      <w:r w:rsidR="00672A12" w:rsidRPr="00672A12">
        <w:rPr>
          <w:rFonts w:ascii="Arial" w:hAnsi="Arial" w:cs="Arial"/>
          <w:sz w:val="24"/>
          <w:szCs w:val="24"/>
        </w:rPr>
        <w:t xml:space="preserve">, </w:t>
      </w:r>
      <w:r w:rsidR="4A84CE54" w:rsidRPr="00672A12">
        <w:rPr>
          <w:rFonts w:ascii="Arial" w:hAnsi="Arial" w:cs="Arial"/>
          <w:sz w:val="24"/>
          <w:szCs w:val="24"/>
        </w:rPr>
        <w:t>debidamente rotulad</w:t>
      </w:r>
      <w:r w:rsidR="00672A12">
        <w:rPr>
          <w:rFonts w:ascii="Arial" w:hAnsi="Arial" w:cs="Arial"/>
          <w:sz w:val="24"/>
          <w:szCs w:val="24"/>
        </w:rPr>
        <w:t>o</w:t>
      </w:r>
      <w:r w:rsidR="4A84CE54" w:rsidRPr="00672A12">
        <w:rPr>
          <w:rFonts w:ascii="Arial" w:hAnsi="Arial" w:cs="Arial"/>
          <w:sz w:val="24"/>
          <w:szCs w:val="24"/>
        </w:rPr>
        <w:t xml:space="preserve">s con el nombre y ubicación exacta del proyecto (Coordenadas Magna-Sirgas). Estos documentos deben presentar de manera detallada el análisis de cargas, modelamiento estructural y dimensionamiento de cimentaciones, cumpliendo estrictamente con la Norma Sismo Resistente vigente (NSR-10) y el RETIE. Se requiere la inclusión obligatoria de </w:t>
      </w:r>
      <w:r w:rsidR="003A4BED" w:rsidRPr="00672A12">
        <w:rPr>
          <w:rFonts w:ascii="Arial" w:hAnsi="Arial" w:cs="Arial"/>
          <w:sz w:val="24"/>
          <w:szCs w:val="24"/>
        </w:rPr>
        <w:t>l</w:t>
      </w:r>
      <w:r w:rsidR="4A84CE54" w:rsidRPr="00672A12">
        <w:rPr>
          <w:rFonts w:ascii="Arial" w:hAnsi="Arial" w:cs="Arial"/>
          <w:sz w:val="24"/>
          <w:szCs w:val="24"/>
        </w:rPr>
        <w:t xml:space="preserve">a firma del ingeniero civil responsable con matrícula profesional vigente. </w:t>
      </w:r>
      <w:r w:rsidRPr="00672A12">
        <w:rPr>
          <w:rFonts w:ascii="Arial" w:hAnsi="Arial" w:cs="Arial"/>
          <w:sz w:val="24"/>
          <w:szCs w:val="24"/>
        </w:rPr>
        <w:t> </w:t>
      </w:r>
    </w:p>
    <w:p w14:paraId="3DDD68E6" w14:textId="6A1528DB" w:rsidR="005D1D90" w:rsidRPr="005D1D90" w:rsidRDefault="4FB110F9" w:rsidP="00672A12">
      <w:pPr>
        <w:widowControl w:val="0"/>
        <w:tabs>
          <w:tab w:val="left" w:pos="828"/>
        </w:tabs>
        <w:suppressAutoHyphens w:val="0"/>
        <w:autoSpaceDE w:val="0"/>
        <w:autoSpaceDN w:val="0"/>
        <w:spacing w:before="252" w:after="0"/>
        <w:ind w:left="720"/>
        <w:jc w:val="both"/>
        <w:rPr>
          <w:rFonts w:ascii="Arial" w:hAnsi="Arial" w:cs="Arial"/>
          <w:sz w:val="24"/>
          <w:szCs w:val="24"/>
        </w:rPr>
      </w:pPr>
      <w:r w:rsidRPr="3B8C8C19">
        <w:rPr>
          <w:rFonts w:ascii="Arial" w:hAnsi="Arial" w:cs="Arial"/>
          <w:sz w:val="24"/>
          <w:szCs w:val="24"/>
        </w:rPr>
        <w:t>S</w:t>
      </w:r>
      <w:r w:rsidR="005D1D90" w:rsidRPr="3B8C8C19">
        <w:rPr>
          <w:rFonts w:ascii="Arial" w:hAnsi="Arial" w:cs="Arial"/>
          <w:sz w:val="24"/>
          <w:szCs w:val="24"/>
        </w:rPr>
        <w:t>e deberá anexar cualquier información adicional relevante, como tablas de propiedades de materiales, resultados de pruebas de laboratorio, recomendaciones de construcción y diseño, obras adicionales que requieran, en caso de que aplique. </w:t>
      </w:r>
    </w:p>
    <w:p w14:paraId="1AD4DB5F" w14:textId="5728A2D6" w:rsidR="3310A531" w:rsidRDefault="3310A531" w:rsidP="00672A12">
      <w:pPr>
        <w:pStyle w:val="Prrafodelista"/>
        <w:widowControl w:val="0"/>
        <w:numPr>
          <w:ilvl w:val="0"/>
          <w:numId w:val="74"/>
        </w:numPr>
        <w:tabs>
          <w:tab w:val="left" w:pos="828"/>
        </w:tabs>
        <w:spacing w:before="252" w:after="0"/>
        <w:jc w:val="both"/>
        <w:rPr>
          <w:rFonts w:ascii="Arial" w:hAnsi="Arial" w:cs="Arial"/>
          <w:sz w:val="24"/>
          <w:szCs w:val="24"/>
        </w:rPr>
      </w:pPr>
      <w:commentRangeStart w:id="136"/>
      <w:r w:rsidRPr="3B8C8C19">
        <w:rPr>
          <w:rFonts w:ascii="Arial" w:hAnsi="Arial" w:cs="Arial"/>
          <w:sz w:val="24"/>
          <w:szCs w:val="24"/>
        </w:rPr>
        <w:t xml:space="preserve">Memorial de Responsabilidad del diseño y cálculo de la </w:t>
      </w:r>
      <w:r w:rsidR="005227C5">
        <w:rPr>
          <w:rFonts w:ascii="Arial" w:hAnsi="Arial" w:cs="Arial"/>
          <w:sz w:val="24"/>
          <w:szCs w:val="24"/>
        </w:rPr>
        <w:t>c</w:t>
      </w:r>
      <w:r w:rsidRPr="3B8C8C19">
        <w:rPr>
          <w:rFonts w:ascii="Arial" w:hAnsi="Arial" w:cs="Arial"/>
          <w:sz w:val="24"/>
          <w:szCs w:val="24"/>
        </w:rPr>
        <w:t xml:space="preserve">imentación y del diseño de la </w:t>
      </w:r>
      <w:r w:rsidR="005227C5">
        <w:rPr>
          <w:rFonts w:ascii="Arial" w:hAnsi="Arial" w:cs="Arial"/>
          <w:sz w:val="24"/>
          <w:szCs w:val="24"/>
        </w:rPr>
        <w:t>e</w:t>
      </w:r>
      <w:r w:rsidRPr="3B8C8C19">
        <w:rPr>
          <w:rFonts w:ascii="Arial" w:hAnsi="Arial" w:cs="Arial"/>
          <w:sz w:val="24"/>
          <w:szCs w:val="24"/>
        </w:rPr>
        <w:t xml:space="preserve">structura, </w:t>
      </w:r>
      <w:r w:rsidR="00672A12">
        <w:rPr>
          <w:rFonts w:ascii="Arial" w:hAnsi="Arial" w:cs="Arial"/>
          <w:sz w:val="24"/>
          <w:szCs w:val="24"/>
        </w:rPr>
        <w:t>que</w:t>
      </w:r>
      <w:r w:rsidRPr="3B8C8C19">
        <w:rPr>
          <w:rFonts w:ascii="Arial" w:hAnsi="Arial" w:cs="Arial"/>
          <w:sz w:val="24"/>
          <w:szCs w:val="24"/>
        </w:rPr>
        <w:t xml:space="preserve">: </w:t>
      </w:r>
      <w:commentRangeEnd w:id="136"/>
      <w:r w:rsidR="00672A12">
        <w:rPr>
          <w:rStyle w:val="Refdecomentario"/>
          <w:rFonts w:ascii="Arial" w:hAnsi="Arial" w:cs="Arial"/>
          <w:sz w:val="24"/>
          <w:szCs w:val="24"/>
        </w:rPr>
        <w:commentReference w:id="136"/>
      </w:r>
    </w:p>
    <w:p w14:paraId="377E62AF" w14:textId="50A46477" w:rsidR="3B8C8C19" w:rsidRDefault="3B8C8C19" w:rsidP="00672A12">
      <w:pPr>
        <w:pStyle w:val="Prrafodelista"/>
        <w:widowControl w:val="0"/>
        <w:tabs>
          <w:tab w:val="left" w:pos="828"/>
        </w:tabs>
        <w:spacing w:before="252" w:after="0"/>
        <w:jc w:val="both"/>
        <w:rPr>
          <w:rFonts w:ascii="Arial" w:hAnsi="Arial" w:cs="Arial"/>
          <w:sz w:val="24"/>
          <w:szCs w:val="24"/>
        </w:rPr>
      </w:pPr>
    </w:p>
    <w:p w14:paraId="2AF0B09D" w14:textId="3ACCA9BF" w:rsidR="3310A531" w:rsidRDefault="3310A531" w:rsidP="00672A12">
      <w:pPr>
        <w:pStyle w:val="Prrafodelista"/>
        <w:widowControl w:val="0"/>
        <w:numPr>
          <w:ilvl w:val="0"/>
          <w:numId w:val="3"/>
        </w:numPr>
        <w:tabs>
          <w:tab w:val="left" w:pos="828"/>
        </w:tabs>
        <w:spacing w:before="252" w:after="0"/>
        <w:jc w:val="both"/>
        <w:rPr>
          <w:rFonts w:ascii="Arial" w:hAnsi="Arial" w:cs="Arial"/>
          <w:sz w:val="24"/>
          <w:szCs w:val="24"/>
        </w:rPr>
      </w:pPr>
      <w:r w:rsidRPr="3B8C8C19">
        <w:rPr>
          <w:rFonts w:ascii="Arial" w:hAnsi="Arial" w:cs="Arial"/>
          <w:sz w:val="24"/>
          <w:szCs w:val="24"/>
        </w:rPr>
        <w:t>Est</w:t>
      </w:r>
      <w:r w:rsidR="00672A12">
        <w:rPr>
          <w:rFonts w:ascii="Arial" w:hAnsi="Arial" w:cs="Arial"/>
          <w:sz w:val="24"/>
          <w:szCs w:val="24"/>
        </w:rPr>
        <w:t xml:space="preserve">é </w:t>
      </w:r>
      <w:r w:rsidRPr="3B8C8C19">
        <w:rPr>
          <w:rFonts w:ascii="Arial" w:hAnsi="Arial" w:cs="Arial"/>
          <w:sz w:val="24"/>
          <w:szCs w:val="24"/>
        </w:rPr>
        <w:t>firmado por el o los ingenieros responsables del diseño de cimentación y del diseño estructural, indicando su número de matrícula.</w:t>
      </w:r>
    </w:p>
    <w:p w14:paraId="474FB75F" w14:textId="29B56744" w:rsidR="3310A531" w:rsidRDefault="3310A531" w:rsidP="00672A12">
      <w:pPr>
        <w:pStyle w:val="Prrafodelista"/>
        <w:widowControl w:val="0"/>
        <w:numPr>
          <w:ilvl w:val="0"/>
          <w:numId w:val="3"/>
        </w:numPr>
        <w:tabs>
          <w:tab w:val="left" w:pos="828"/>
        </w:tabs>
        <w:spacing w:before="252" w:after="0"/>
        <w:jc w:val="both"/>
        <w:rPr>
          <w:rFonts w:ascii="Arial" w:hAnsi="Arial" w:cs="Arial"/>
          <w:sz w:val="24"/>
          <w:szCs w:val="24"/>
        </w:rPr>
      </w:pPr>
      <w:r w:rsidRPr="3B8C8C19">
        <w:rPr>
          <w:rFonts w:ascii="Arial" w:hAnsi="Arial" w:cs="Arial"/>
          <w:sz w:val="24"/>
          <w:szCs w:val="24"/>
        </w:rPr>
        <w:t>Adjunt</w:t>
      </w:r>
      <w:r w:rsidR="00672A12">
        <w:rPr>
          <w:rFonts w:ascii="Arial" w:hAnsi="Arial" w:cs="Arial"/>
          <w:sz w:val="24"/>
          <w:szCs w:val="24"/>
        </w:rPr>
        <w:t>e</w:t>
      </w:r>
      <w:r w:rsidRPr="3B8C8C19">
        <w:rPr>
          <w:rFonts w:ascii="Arial" w:hAnsi="Arial" w:cs="Arial"/>
          <w:sz w:val="24"/>
          <w:szCs w:val="24"/>
        </w:rPr>
        <w:t xml:space="preserve"> copia legible de la tarjeta profesional y certificado del COPNIA con fecha de expedición no mayor a tres (3) meses al momento de la radicación.</w:t>
      </w:r>
    </w:p>
    <w:p w14:paraId="3EFA72B3" w14:textId="490DE319" w:rsidR="3310A531" w:rsidRDefault="00672A12" w:rsidP="00672A12">
      <w:pPr>
        <w:pStyle w:val="Prrafodelista"/>
        <w:widowControl w:val="0"/>
        <w:numPr>
          <w:ilvl w:val="0"/>
          <w:numId w:val="3"/>
        </w:numPr>
        <w:tabs>
          <w:tab w:val="left" w:pos="828"/>
        </w:tabs>
        <w:spacing w:before="252" w:after="0"/>
        <w:jc w:val="both"/>
        <w:rPr>
          <w:rFonts w:ascii="Arial" w:hAnsi="Arial" w:cs="Arial"/>
          <w:sz w:val="24"/>
          <w:szCs w:val="24"/>
        </w:rPr>
      </w:pPr>
      <w:r>
        <w:rPr>
          <w:rFonts w:ascii="Arial" w:hAnsi="Arial" w:cs="Arial"/>
          <w:sz w:val="24"/>
          <w:szCs w:val="24"/>
        </w:rPr>
        <w:t xml:space="preserve">Contenga la declaración de </w:t>
      </w:r>
      <w:r w:rsidR="3310A531" w:rsidRPr="3B8C8C19">
        <w:rPr>
          <w:rFonts w:ascii="Arial" w:hAnsi="Arial" w:cs="Arial"/>
          <w:sz w:val="24"/>
          <w:szCs w:val="24"/>
        </w:rPr>
        <w:t xml:space="preserve">los profesionales </w:t>
      </w:r>
      <w:r>
        <w:rPr>
          <w:rFonts w:ascii="Arial" w:hAnsi="Arial" w:cs="Arial"/>
          <w:sz w:val="24"/>
          <w:szCs w:val="24"/>
        </w:rPr>
        <w:t>sobre</w:t>
      </w:r>
      <w:r w:rsidR="3310A531" w:rsidRPr="3B8C8C19">
        <w:rPr>
          <w:rFonts w:ascii="Arial" w:hAnsi="Arial" w:cs="Arial"/>
          <w:sz w:val="24"/>
          <w:szCs w:val="24"/>
        </w:rPr>
        <w:t xml:space="preserve"> que los diseños cumplen con la normatividad sismo resistente vigente (NSR-10) y que la infraestructura es apta para soportar las cargas mecánicas y condiciones climáticas de la zona del proyecto.</w:t>
      </w:r>
    </w:p>
    <w:p w14:paraId="33236CE0" w14:textId="294E2A2A" w:rsidR="3B8C8C19" w:rsidRDefault="3B8C8C19" w:rsidP="002C1601">
      <w:pPr>
        <w:pStyle w:val="Prrafodelista"/>
        <w:widowControl w:val="0"/>
        <w:tabs>
          <w:tab w:val="left" w:pos="828"/>
        </w:tabs>
        <w:spacing w:before="252" w:after="0" w:line="240" w:lineRule="auto"/>
        <w:ind w:left="1080"/>
        <w:jc w:val="both"/>
        <w:rPr>
          <w:rFonts w:ascii="Arial" w:hAnsi="Arial" w:cs="Arial"/>
          <w:sz w:val="24"/>
          <w:szCs w:val="24"/>
        </w:rPr>
      </w:pPr>
    </w:p>
    <w:p w14:paraId="185AFC46" w14:textId="4FC105E1" w:rsidR="005D1D90" w:rsidRDefault="005D1D90" w:rsidP="00B320D0">
      <w:pPr>
        <w:pStyle w:val="Prrafodelista"/>
        <w:widowControl w:val="0"/>
        <w:numPr>
          <w:ilvl w:val="0"/>
          <w:numId w:val="74"/>
        </w:numPr>
        <w:tabs>
          <w:tab w:val="left" w:pos="828"/>
        </w:tabs>
        <w:spacing w:after="0" w:line="240" w:lineRule="auto"/>
        <w:jc w:val="both"/>
        <w:rPr>
          <w:rFonts w:ascii="Arial" w:hAnsi="Arial" w:cs="Arial"/>
          <w:sz w:val="24"/>
          <w:szCs w:val="24"/>
        </w:rPr>
      </w:pPr>
      <w:r w:rsidRPr="3B8C8C19">
        <w:rPr>
          <w:rFonts w:ascii="Arial" w:hAnsi="Arial" w:cs="Arial"/>
          <w:sz w:val="24"/>
          <w:szCs w:val="24"/>
        </w:rPr>
        <w:t>Planos Estructurales</w:t>
      </w:r>
      <w:r w:rsidR="00672A12">
        <w:rPr>
          <w:rFonts w:ascii="Arial" w:hAnsi="Arial" w:cs="Arial"/>
          <w:sz w:val="24"/>
          <w:szCs w:val="24"/>
        </w:rPr>
        <w:t xml:space="preserve"> </w:t>
      </w:r>
      <w:r w:rsidRPr="3B8C8C19">
        <w:rPr>
          <w:rFonts w:ascii="Arial" w:hAnsi="Arial" w:cs="Arial"/>
          <w:sz w:val="24"/>
          <w:szCs w:val="24"/>
        </w:rPr>
        <w:t>detallados que muestren</w:t>
      </w:r>
      <w:r w:rsidR="003A4BED">
        <w:rPr>
          <w:rFonts w:ascii="Arial" w:hAnsi="Arial" w:cs="Arial"/>
          <w:sz w:val="24"/>
          <w:szCs w:val="24"/>
        </w:rPr>
        <w:t>:</w:t>
      </w:r>
    </w:p>
    <w:p w14:paraId="7A2E96DD" w14:textId="77777777" w:rsidR="00CF7997" w:rsidRPr="00CF7997" w:rsidRDefault="00CF7997" w:rsidP="00B531B9">
      <w:pPr>
        <w:widowControl w:val="0"/>
        <w:tabs>
          <w:tab w:val="left" w:pos="828"/>
        </w:tabs>
        <w:spacing w:after="0" w:line="240" w:lineRule="auto"/>
        <w:ind w:left="720"/>
        <w:jc w:val="both"/>
        <w:rPr>
          <w:rFonts w:ascii="Arial" w:hAnsi="Arial" w:cs="Arial"/>
          <w:sz w:val="24"/>
          <w:szCs w:val="24"/>
        </w:rPr>
      </w:pPr>
    </w:p>
    <w:p w14:paraId="42EEE22D" w14:textId="01A5100C" w:rsidR="005D1D90" w:rsidRDefault="290C70E8" w:rsidP="00672A12">
      <w:pPr>
        <w:pStyle w:val="Prrafodelista"/>
        <w:widowControl w:val="0"/>
        <w:numPr>
          <w:ilvl w:val="0"/>
          <w:numId w:val="2"/>
        </w:numPr>
        <w:tabs>
          <w:tab w:val="left" w:pos="828"/>
        </w:tabs>
        <w:spacing w:after="0"/>
        <w:jc w:val="both"/>
        <w:rPr>
          <w:rFonts w:ascii="Arial" w:hAnsi="Arial" w:cs="Arial"/>
          <w:sz w:val="24"/>
          <w:szCs w:val="24"/>
        </w:rPr>
      </w:pPr>
      <w:r w:rsidRPr="3B8C8C19">
        <w:rPr>
          <w:rFonts w:ascii="Arial" w:hAnsi="Arial" w:cs="Arial"/>
          <w:sz w:val="24"/>
          <w:szCs w:val="24"/>
        </w:rPr>
        <w:t>Disposición y/o localización del proyecto.</w:t>
      </w:r>
    </w:p>
    <w:p w14:paraId="029AE0BE" w14:textId="12D19CC8" w:rsidR="290C70E8" w:rsidRDefault="290C70E8" w:rsidP="00672A12">
      <w:pPr>
        <w:pStyle w:val="Prrafodelista"/>
        <w:widowControl w:val="0"/>
        <w:numPr>
          <w:ilvl w:val="0"/>
          <w:numId w:val="2"/>
        </w:numPr>
        <w:tabs>
          <w:tab w:val="left" w:pos="828"/>
        </w:tabs>
        <w:spacing w:before="252" w:after="0"/>
        <w:jc w:val="both"/>
        <w:rPr>
          <w:rFonts w:ascii="Arial" w:hAnsi="Arial" w:cs="Arial"/>
          <w:sz w:val="24"/>
          <w:szCs w:val="24"/>
        </w:rPr>
      </w:pPr>
      <w:r w:rsidRPr="3B8C8C19">
        <w:rPr>
          <w:rFonts w:ascii="Arial" w:hAnsi="Arial" w:cs="Arial"/>
          <w:sz w:val="24"/>
          <w:szCs w:val="24"/>
        </w:rPr>
        <w:t>Diseño de la cimentación y diseño de la estructura a utilizar, aplicando la normatividad vigente.</w:t>
      </w:r>
    </w:p>
    <w:p w14:paraId="6B75C468" w14:textId="6E9954EE" w:rsidR="290C70E8" w:rsidRDefault="290C70E8" w:rsidP="00672A12">
      <w:pPr>
        <w:pStyle w:val="Prrafodelista"/>
        <w:widowControl w:val="0"/>
        <w:numPr>
          <w:ilvl w:val="0"/>
          <w:numId w:val="2"/>
        </w:numPr>
        <w:tabs>
          <w:tab w:val="left" w:pos="828"/>
        </w:tabs>
        <w:spacing w:before="252" w:after="0"/>
        <w:jc w:val="both"/>
        <w:rPr>
          <w:rFonts w:ascii="Arial" w:hAnsi="Arial" w:cs="Arial"/>
          <w:sz w:val="24"/>
          <w:szCs w:val="24"/>
        </w:rPr>
      </w:pPr>
      <w:r w:rsidRPr="3B8C8C19">
        <w:rPr>
          <w:rFonts w:ascii="Arial" w:hAnsi="Arial" w:cs="Arial"/>
          <w:sz w:val="24"/>
          <w:szCs w:val="24"/>
        </w:rPr>
        <w:t>Dimensiones de cada uno de los elementos estructurales.</w:t>
      </w:r>
    </w:p>
    <w:p w14:paraId="50E291E1" w14:textId="6DB562C7" w:rsidR="290C70E8" w:rsidRDefault="290C70E8" w:rsidP="00672A12">
      <w:pPr>
        <w:pStyle w:val="Prrafodelista"/>
        <w:widowControl w:val="0"/>
        <w:numPr>
          <w:ilvl w:val="0"/>
          <w:numId w:val="2"/>
        </w:numPr>
        <w:tabs>
          <w:tab w:val="left" w:pos="828"/>
        </w:tabs>
        <w:spacing w:before="252" w:after="0"/>
        <w:jc w:val="both"/>
        <w:rPr>
          <w:rFonts w:ascii="Arial" w:hAnsi="Arial" w:cs="Arial"/>
          <w:sz w:val="24"/>
          <w:szCs w:val="24"/>
        </w:rPr>
      </w:pPr>
      <w:r w:rsidRPr="3B8C8C19">
        <w:rPr>
          <w:rFonts w:ascii="Arial" w:hAnsi="Arial" w:cs="Arial"/>
          <w:sz w:val="24"/>
          <w:szCs w:val="24"/>
        </w:rPr>
        <w:t>Cuadros de notas complementarias y/o aclaratorias.</w:t>
      </w:r>
    </w:p>
    <w:p w14:paraId="0E1E4EF1" w14:textId="54809B72" w:rsidR="290C70E8" w:rsidRDefault="290C70E8" w:rsidP="00672A12">
      <w:pPr>
        <w:pStyle w:val="Prrafodelista"/>
        <w:widowControl w:val="0"/>
        <w:numPr>
          <w:ilvl w:val="0"/>
          <w:numId w:val="2"/>
        </w:numPr>
        <w:tabs>
          <w:tab w:val="left" w:pos="828"/>
        </w:tabs>
        <w:spacing w:before="252" w:after="0"/>
        <w:jc w:val="both"/>
        <w:rPr>
          <w:rFonts w:ascii="Arial" w:hAnsi="Arial" w:cs="Arial"/>
          <w:sz w:val="24"/>
          <w:szCs w:val="24"/>
        </w:rPr>
      </w:pPr>
      <w:r w:rsidRPr="3B8C8C19">
        <w:rPr>
          <w:rFonts w:ascii="Arial" w:hAnsi="Arial" w:cs="Arial"/>
          <w:sz w:val="24"/>
          <w:szCs w:val="24"/>
        </w:rPr>
        <w:t xml:space="preserve">Incluir detalles constructivos y despiece de hierros (cuando aplique). </w:t>
      </w:r>
    </w:p>
    <w:p w14:paraId="73C48DB9" w14:textId="4A1293C1" w:rsidR="290C70E8" w:rsidRDefault="290C70E8" w:rsidP="00672A12">
      <w:pPr>
        <w:pStyle w:val="Prrafodelista"/>
        <w:widowControl w:val="0"/>
        <w:numPr>
          <w:ilvl w:val="0"/>
          <w:numId w:val="2"/>
        </w:numPr>
        <w:tabs>
          <w:tab w:val="left" w:pos="828"/>
        </w:tabs>
        <w:spacing w:before="252" w:after="0"/>
        <w:jc w:val="both"/>
        <w:rPr>
          <w:rFonts w:ascii="Arial" w:hAnsi="Arial" w:cs="Arial"/>
          <w:sz w:val="24"/>
          <w:szCs w:val="24"/>
        </w:rPr>
      </w:pPr>
      <w:r w:rsidRPr="3B8C8C19">
        <w:rPr>
          <w:rFonts w:ascii="Arial" w:hAnsi="Arial" w:cs="Arial"/>
          <w:sz w:val="24"/>
          <w:szCs w:val="24"/>
        </w:rPr>
        <w:t>Los planos deben entregarse firmados por él o los profesionales diseñadores responsables, en formato DWG y PDF.</w:t>
      </w:r>
    </w:p>
    <w:p w14:paraId="1A119DC7" w14:textId="7664A517" w:rsidR="3B8C8C19" w:rsidRDefault="3B8C8C19" w:rsidP="00B03685">
      <w:pPr>
        <w:pStyle w:val="Prrafodelista"/>
        <w:widowControl w:val="0"/>
        <w:tabs>
          <w:tab w:val="left" w:pos="828"/>
        </w:tabs>
        <w:spacing w:before="252" w:after="0" w:line="240" w:lineRule="auto"/>
        <w:ind w:left="1080"/>
        <w:jc w:val="both"/>
        <w:rPr>
          <w:rFonts w:ascii="Arial" w:hAnsi="Arial" w:cs="Arial"/>
          <w:sz w:val="24"/>
          <w:szCs w:val="24"/>
        </w:rPr>
      </w:pPr>
    </w:p>
    <w:p w14:paraId="1EFDC450" w14:textId="08DEDC8B" w:rsidR="005D1D90" w:rsidRPr="005D1D90" w:rsidRDefault="005D1D90" w:rsidP="00672A12">
      <w:pPr>
        <w:pStyle w:val="Prrafodelista"/>
        <w:widowControl w:val="0"/>
        <w:numPr>
          <w:ilvl w:val="0"/>
          <w:numId w:val="74"/>
        </w:numPr>
        <w:tabs>
          <w:tab w:val="left" w:pos="828"/>
        </w:tabs>
        <w:suppressAutoHyphens w:val="0"/>
        <w:autoSpaceDE w:val="0"/>
        <w:autoSpaceDN w:val="0"/>
        <w:spacing w:before="252" w:after="0"/>
        <w:jc w:val="both"/>
        <w:rPr>
          <w:rFonts w:ascii="Arial" w:hAnsi="Arial" w:cs="Arial"/>
          <w:sz w:val="24"/>
          <w:szCs w:val="24"/>
        </w:rPr>
      </w:pPr>
      <w:r w:rsidRPr="3B8C8C19">
        <w:rPr>
          <w:rFonts w:ascii="Arial" w:hAnsi="Arial" w:cs="Arial"/>
          <w:sz w:val="24"/>
          <w:szCs w:val="24"/>
        </w:rPr>
        <w:t xml:space="preserve">Estudio </w:t>
      </w:r>
      <w:r w:rsidR="00672A12">
        <w:rPr>
          <w:rFonts w:ascii="Arial" w:hAnsi="Arial" w:cs="Arial"/>
          <w:sz w:val="24"/>
          <w:szCs w:val="24"/>
        </w:rPr>
        <w:t xml:space="preserve">detallado </w:t>
      </w:r>
      <w:r w:rsidRPr="3B8C8C19">
        <w:rPr>
          <w:rFonts w:ascii="Arial" w:hAnsi="Arial" w:cs="Arial"/>
          <w:sz w:val="24"/>
          <w:szCs w:val="24"/>
        </w:rPr>
        <w:t>de suelos</w:t>
      </w:r>
      <w:r w:rsidR="1E56B5A2" w:rsidRPr="3B8C8C19">
        <w:rPr>
          <w:rFonts w:ascii="Arial" w:hAnsi="Arial" w:cs="Arial"/>
          <w:sz w:val="24"/>
          <w:szCs w:val="24"/>
        </w:rPr>
        <w:t xml:space="preserve"> desarrollado por un ingeniero civil especialista en geotecnia, con matrícula profesional y certificado del COPNIA vigente. El estudio debe cumplir con el Título H de la NSR-10 </w:t>
      </w:r>
      <w:r w:rsidR="00672A12">
        <w:rPr>
          <w:rFonts w:ascii="Arial" w:hAnsi="Arial" w:cs="Arial"/>
          <w:sz w:val="24"/>
          <w:szCs w:val="24"/>
        </w:rPr>
        <w:t xml:space="preserve">e </w:t>
      </w:r>
      <w:r w:rsidR="1E56B5A2" w:rsidRPr="3B8C8C19">
        <w:rPr>
          <w:rFonts w:ascii="Arial" w:hAnsi="Arial" w:cs="Arial"/>
          <w:sz w:val="24"/>
          <w:szCs w:val="24"/>
        </w:rPr>
        <w:t>incluir, como mínimo:</w:t>
      </w:r>
    </w:p>
    <w:p w14:paraId="73428BBC" w14:textId="59CCC30B" w:rsidR="005D1D90" w:rsidRPr="005D1D90" w:rsidRDefault="005D1D90" w:rsidP="00672A12">
      <w:pPr>
        <w:pStyle w:val="Prrafodelista"/>
        <w:widowControl w:val="0"/>
        <w:tabs>
          <w:tab w:val="left" w:pos="828"/>
        </w:tabs>
        <w:suppressAutoHyphens w:val="0"/>
        <w:autoSpaceDE w:val="0"/>
        <w:autoSpaceDN w:val="0"/>
        <w:spacing w:before="252" w:after="0"/>
        <w:jc w:val="both"/>
        <w:rPr>
          <w:rFonts w:ascii="Arial" w:hAnsi="Arial" w:cs="Arial"/>
          <w:sz w:val="24"/>
          <w:szCs w:val="24"/>
        </w:rPr>
      </w:pPr>
    </w:p>
    <w:p w14:paraId="20A3BA53" w14:textId="2D5C31F7" w:rsidR="005D1D90" w:rsidRPr="005D1D90" w:rsidRDefault="1E56B5A2" w:rsidP="00672A12">
      <w:pPr>
        <w:pStyle w:val="Prrafodelista"/>
        <w:widowControl w:val="0"/>
        <w:numPr>
          <w:ilvl w:val="0"/>
          <w:numId w:val="60"/>
        </w:numPr>
        <w:suppressAutoHyphens w:val="0"/>
        <w:autoSpaceDE w:val="0"/>
        <w:autoSpaceDN w:val="0"/>
        <w:spacing w:after="0"/>
        <w:ind w:left="1418"/>
        <w:jc w:val="both"/>
        <w:rPr>
          <w:rFonts w:ascii="Arial" w:hAnsi="Arial" w:cs="Arial"/>
          <w:sz w:val="24"/>
          <w:szCs w:val="24"/>
        </w:rPr>
      </w:pPr>
      <w:r w:rsidRPr="00D176DC">
        <w:rPr>
          <w:rFonts w:ascii="Arial" w:hAnsi="Arial" w:cs="Arial"/>
          <w:sz w:val="24"/>
          <w:szCs w:val="24"/>
        </w:rPr>
        <w:t>Caracterización del perfil del suelo mediante sondeos a profundidad técnica justificada, determinación de la capacidad portante y niveles freáticos.</w:t>
      </w:r>
    </w:p>
    <w:p w14:paraId="06D04418" w14:textId="214E7B5E" w:rsidR="005D1D90" w:rsidRPr="005D1D90" w:rsidRDefault="1E56B5A2" w:rsidP="00672A12">
      <w:pPr>
        <w:pStyle w:val="Prrafodelista"/>
        <w:widowControl w:val="0"/>
        <w:numPr>
          <w:ilvl w:val="0"/>
          <w:numId w:val="60"/>
        </w:numPr>
        <w:suppressAutoHyphens w:val="0"/>
        <w:autoSpaceDE w:val="0"/>
        <w:autoSpaceDN w:val="0"/>
        <w:spacing w:after="0"/>
        <w:ind w:left="1418"/>
        <w:jc w:val="both"/>
        <w:rPr>
          <w:rFonts w:ascii="Arial" w:hAnsi="Arial" w:cs="Arial"/>
          <w:sz w:val="24"/>
          <w:szCs w:val="24"/>
        </w:rPr>
      </w:pPr>
      <w:r w:rsidRPr="00D176DC">
        <w:rPr>
          <w:rFonts w:ascii="Arial" w:hAnsi="Arial" w:cs="Arial"/>
          <w:sz w:val="24"/>
          <w:szCs w:val="24"/>
        </w:rPr>
        <w:t>Pruebas de agresividad del suelo (pH, sulfatos y cloruros) para garantizar la durabilidad de las estructuras metálicas y el concreto.</w:t>
      </w:r>
    </w:p>
    <w:p w14:paraId="3A4C9C5C" w14:textId="5C6FB3A4" w:rsidR="005D1D90" w:rsidRPr="005D1D90" w:rsidRDefault="1E56B5A2" w:rsidP="00672A12">
      <w:pPr>
        <w:pStyle w:val="Prrafodelista"/>
        <w:widowControl w:val="0"/>
        <w:numPr>
          <w:ilvl w:val="0"/>
          <w:numId w:val="60"/>
        </w:numPr>
        <w:suppressAutoHyphens w:val="0"/>
        <w:autoSpaceDE w:val="0"/>
        <w:autoSpaceDN w:val="0"/>
        <w:spacing w:after="0"/>
        <w:ind w:left="1418"/>
        <w:jc w:val="both"/>
        <w:rPr>
          <w:rFonts w:ascii="Arial" w:hAnsi="Arial" w:cs="Arial"/>
          <w:sz w:val="24"/>
          <w:szCs w:val="24"/>
        </w:rPr>
      </w:pPr>
      <w:r w:rsidRPr="00D176DC">
        <w:rPr>
          <w:rFonts w:ascii="Arial" w:hAnsi="Arial" w:cs="Arial"/>
          <w:sz w:val="24"/>
          <w:szCs w:val="24"/>
        </w:rPr>
        <w:t>Análisis detallado de los asentamientos esperados y recomendaciones específicas para el tipo de estructura de soporte de los paneles solares.</w:t>
      </w:r>
    </w:p>
    <w:p w14:paraId="4E1B5BE3" w14:textId="77777777" w:rsidR="002225EE" w:rsidRPr="002225EE" w:rsidRDefault="002225EE" w:rsidP="002225EE">
      <w:pPr>
        <w:widowControl w:val="0"/>
        <w:tabs>
          <w:tab w:val="left" w:pos="828"/>
        </w:tabs>
        <w:suppressAutoHyphens w:val="0"/>
        <w:autoSpaceDE w:val="0"/>
        <w:autoSpaceDN w:val="0"/>
        <w:spacing w:after="0" w:line="240" w:lineRule="auto"/>
        <w:ind w:left="360"/>
        <w:jc w:val="both"/>
        <w:rPr>
          <w:rFonts w:ascii="Arial" w:hAnsi="Arial" w:cs="Arial"/>
          <w:sz w:val="24"/>
          <w:szCs w:val="24"/>
        </w:rPr>
      </w:pPr>
    </w:p>
    <w:p w14:paraId="49E5248A" w14:textId="2139A41C" w:rsidR="005D1D90" w:rsidRPr="005D1D90" w:rsidRDefault="1E56B5A2" w:rsidP="00B320D0">
      <w:pPr>
        <w:pStyle w:val="Prrafodelista"/>
        <w:widowControl w:val="0"/>
        <w:numPr>
          <w:ilvl w:val="0"/>
          <w:numId w:val="74"/>
        </w:numPr>
        <w:tabs>
          <w:tab w:val="left" w:pos="828"/>
        </w:tabs>
        <w:suppressAutoHyphens w:val="0"/>
        <w:autoSpaceDE w:val="0"/>
        <w:autoSpaceDN w:val="0"/>
        <w:spacing w:after="0" w:line="240" w:lineRule="auto"/>
        <w:jc w:val="both"/>
        <w:rPr>
          <w:rFonts w:ascii="Arial" w:hAnsi="Arial" w:cs="Arial"/>
          <w:sz w:val="24"/>
          <w:szCs w:val="24"/>
        </w:rPr>
      </w:pPr>
      <w:r w:rsidRPr="00D176DC">
        <w:rPr>
          <w:rFonts w:ascii="Arial" w:hAnsi="Arial" w:cs="Arial"/>
          <w:sz w:val="24"/>
          <w:szCs w:val="24"/>
        </w:rPr>
        <w:lastRenderedPageBreak/>
        <w:t>Memorial de Responsabilidad: Documento original firmado por el especialista, donde asuma la responsabilidad técnica de las recomendaciones de cimentación y los parámetros geotécnicos suministrados.</w:t>
      </w:r>
    </w:p>
    <w:p w14:paraId="7A039481" w14:textId="77777777" w:rsidR="00D176DC" w:rsidRPr="00D176DC" w:rsidRDefault="00D176DC" w:rsidP="00D176DC">
      <w:pPr>
        <w:widowControl w:val="0"/>
        <w:tabs>
          <w:tab w:val="left" w:pos="828"/>
        </w:tabs>
        <w:suppressAutoHyphens w:val="0"/>
        <w:autoSpaceDE w:val="0"/>
        <w:autoSpaceDN w:val="0"/>
        <w:spacing w:after="0" w:line="240" w:lineRule="auto"/>
        <w:ind w:left="360"/>
        <w:jc w:val="both"/>
        <w:rPr>
          <w:rFonts w:ascii="Arial" w:hAnsi="Arial" w:cs="Arial"/>
          <w:sz w:val="24"/>
          <w:szCs w:val="24"/>
        </w:rPr>
      </w:pPr>
    </w:p>
    <w:p w14:paraId="54A0712B" w14:textId="4BE869E2" w:rsidR="005D1D90" w:rsidRPr="005D1D90" w:rsidRDefault="1E56B5A2" w:rsidP="00672A12">
      <w:pPr>
        <w:widowControl w:val="0"/>
        <w:tabs>
          <w:tab w:val="left" w:pos="828"/>
        </w:tabs>
        <w:suppressAutoHyphens w:val="0"/>
        <w:autoSpaceDE w:val="0"/>
        <w:autoSpaceDN w:val="0"/>
        <w:spacing w:after="0"/>
        <w:jc w:val="both"/>
        <w:rPr>
          <w:rFonts w:ascii="Arial" w:hAnsi="Arial" w:cs="Arial"/>
          <w:sz w:val="24"/>
          <w:szCs w:val="24"/>
        </w:rPr>
      </w:pPr>
      <w:r w:rsidRPr="00D176DC">
        <w:rPr>
          <w:rFonts w:ascii="Arial" w:hAnsi="Arial" w:cs="Arial"/>
          <w:sz w:val="24"/>
          <w:szCs w:val="24"/>
        </w:rPr>
        <w:t xml:space="preserve">Para este fin, el proponente deberá utilizar el </w:t>
      </w:r>
      <w:r w:rsidRPr="00F82FEA">
        <w:rPr>
          <w:rFonts w:ascii="Arial" w:hAnsi="Arial" w:cs="Arial"/>
          <w:sz w:val="24"/>
          <w:szCs w:val="24"/>
          <w:highlight w:val="yellow"/>
        </w:rPr>
        <w:t>Formato</w:t>
      </w:r>
      <w:r w:rsidRPr="00D176DC">
        <w:rPr>
          <w:rFonts w:ascii="Arial" w:hAnsi="Arial" w:cs="Arial"/>
          <w:sz w:val="24"/>
          <w:szCs w:val="24"/>
        </w:rPr>
        <w:t xml:space="preserve"> No. XXXXX establecido en los anexos de este </w:t>
      </w:r>
      <w:r w:rsidR="003A4BED">
        <w:rPr>
          <w:rFonts w:ascii="Arial" w:hAnsi="Arial" w:cs="Arial"/>
          <w:sz w:val="24"/>
          <w:szCs w:val="24"/>
        </w:rPr>
        <w:t>M</w:t>
      </w:r>
      <w:r w:rsidRPr="00D176DC">
        <w:rPr>
          <w:rFonts w:ascii="Arial" w:hAnsi="Arial" w:cs="Arial"/>
          <w:sz w:val="24"/>
          <w:szCs w:val="24"/>
        </w:rPr>
        <w:t>anual.</w:t>
      </w:r>
    </w:p>
    <w:p w14:paraId="48EA6E3D" w14:textId="65E8D553" w:rsidR="3B8C8C19" w:rsidRDefault="3B8C8C19" w:rsidP="008E39FD">
      <w:pPr>
        <w:pStyle w:val="Prrafodelista"/>
        <w:ind w:left="1080"/>
        <w:rPr>
          <w:rFonts w:ascii="Arial" w:hAnsi="Arial" w:cs="Arial"/>
          <w:sz w:val="24"/>
          <w:szCs w:val="24"/>
        </w:rPr>
      </w:pPr>
    </w:p>
    <w:p w14:paraId="330FF496" w14:textId="536B5906" w:rsidR="00570C0E" w:rsidRPr="0087350A" w:rsidRDefault="00672A12" w:rsidP="00AB5F46">
      <w:pPr>
        <w:pStyle w:val="Prrafodelista"/>
        <w:widowControl w:val="0"/>
        <w:numPr>
          <w:ilvl w:val="0"/>
          <w:numId w:val="74"/>
        </w:numPr>
        <w:tabs>
          <w:tab w:val="left" w:pos="828"/>
        </w:tabs>
        <w:spacing w:before="252" w:after="0"/>
        <w:jc w:val="both"/>
        <w:rPr>
          <w:rFonts w:ascii="Arial" w:eastAsiaTheme="minorEastAsia" w:hAnsi="Arial" w:cs="Arial"/>
          <w:sz w:val="24"/>
          <w:szCs w:val="24"/>
        </w:rPr>
      </w:pPr>
      <w:r>
        <w:rPr>
          <w:rFonts w:ascii="Arial" w:eastAsiaTheme="minorEastAsia" w:hAnsi="Arial" w:cs="Arial"/>
          <w:sz w:val="24"/>
          <w:szCs w:val="24"/>
        </w:rPr>
        <w:t xml:space="preserve">Documento </w:t>
      </w:r>
      <w:r w:rsidR="00AB5F46">
        <w:rPr>
          <w:rFonts w:ascii="Arial" w:eastAsiaTheme="minorEastAsia" w:hAnsi="Arial" w:cs="Arial"/>
          <w:sz w:val="24"/>
          <w:szCs w:val="24"/>
        </w:rPr>
        <w:t>de a</w:t>
      </w:r>
      <w:r w:rsidR="00570C0E" w:rsidRPr="0087350A">
        <w:rPr>
          <w:rFonts w:ascii="Arial" w:eastAsiaTheme="minorEastAsia" w:hAnsi="Arial" w:cs="Arial"/>
          <w:sz w:val="24"/>
          <w:szCs w:val="24"/>
        </w:rPr>
        <w:t>porte a título gratuito al Ministerio de Minas y Energía</w:t>
      </w:r>
      <w:r>
        <w:rPr>
          <w:rFonts w:ascii="Arial" w:eastAsiaTheme="minorEastAsia" w:hAnsi="Arial" w:cs="Arial"/>
          <w:sz w:val="24"/>
          <w:szCs w:val="24"/>
        </w:rPr>
        <w:t xml:space="preserve">, entendido como </w:t>
      </w:r>
      <w:r w:rsidR="20021AE4" w:rsidRPr="0087350A">
        <w:rPr>
          <w:rFonts w:ascii="Arial" w:eastAsiaTheme="minorEastAsia" w:hAnsi="Arial" w:cs="Arial"/>
          <w:sz w:val="24"/>
          <w:szCs w:val="24"/>
        </w:rPr>
        <w:t xml:space="preserve">la entrega voluntaria y sin contraprestación económica de los estudios, diseños, planos y memorias de cálculo </w:t>
      </w:r>
      <w:r w:rsidR="0087350A" w:rsidRPr="0087350A">
        <w:rPr>
          <w:rFonts w:ascii="Arial" w:eastAsiaTheme="minorEastAsia" w:hAnsi="Arial" w:cs="Arial"/>
          <w:sz w:val="24"/>
          <w:szCs w:val="24"/>
        </w:rPr>
        <w:t xml:space="preserve">civiles </w:t>
      </w:r>
      <w:r w:rsidR="20021AE4" w:rsidRPr="0087350A">
        <w:rPr>
          <w:rFonts w:ascii="Arial" w:eastAsiaTheme="minorEastAsia" w:hAnsi="Arial" w:cs="Arial"/>
          <w:sz w:val="24"/>
          <w:szCs w:val="24"/>
        </w:rPr>
        <w:t>por parte del proponente. La suscripción de este documento implica:</w:t>
      </w:r>
    </w:p>
    <w:p w14:paraId="2D88D4C3" w14:textId="526EDD06" w:rsidR="3B8C8C19" w:rsidRPr="0087350A" w:rsidRDefault="3B8C8C19" w:rsidP="0087350A">
      <w:pPr>
        <w:pStyle w:val="Prrafodelista"/>
        <w:widowControl w:val="0"/>
        <w:tabs>
          <w:tab w:val="left" w:pos="828"/>
        </w:tabs>
        <w:spacing w:before="252" w:after="0" w:line="240" w:lineRule="auto"/>
        <w:jc w:val="both"/>
        <w:rPr>
          <w:rFonts w:ascii="Arial" w:eastAsiaTheme="minorEastAsia" w:hAnsi="Arial" w:cs="Arial"/>
          <w:sz w:val="24"/>
          <w:szCs w:val="24"/>
        </w:rPr>
      </w:pPr>
    </w:p>
    <w:p w14:paraId="63B63979" w14:textId="27C7D1C1" w:rsidR="20021AE4" w:rsidRPr="0087350A" w:rsidRDefault="20021AE4" w:rsidP="0087350A">
      <w:pPr>
        <w:pStyle w:val="Prrafodelista"/>
        <w:numPr>
          <w:ilvl w:val="0"/>
          <w:numId w:val="1"/>
        </w:numPr>
        <w:ind w:left="1080"/>
        <w:jc w:val="both"/>
        <w:rPr>
          <w:rFonts w:ascii="Arial" w:eastAsiaTheme="minorEastAsia" w:hAnsi="Arial" w:cs="Arial"/>
          <w:sz w:val="24"/>
          <w:szCs w:val="24"/>
        </w:rPr>
      </w:pPr>
      <w:r w:rsidRPr="0087350A">
        <w:rPr>
          <w:rFonts w:ascii="Arial" w:eastAsiaTheme="minorEastAsia" w:hAnsi="Arial" w:cs="Arial"/>
          <w:sz w:val="24"/>
          <w:szCs w:val="24"/>
        </w:rPr>
        <w:t>Cesión de Derechos: El proponente transfiere los derechos de uso, reproducción y ejecución de los diseños a la Entidad para los fines del proyecto, permitiendo que esta los utilice en procesos de contratación de obra o interventoría.</w:t>
      </w:r>
    </w:p>
    <w:p w14:paraId="0D9DC991" w14:textId="7C62F4A0" w:rsidR="20021AE4" w:rsidRPr="0087350A" w:rsidRDefault="20021AE4" w:rsidP="0087350A">
      <w:pPr>
        <w:pStyle w:val="Prrafodelista"/>
        <w:numPr>
          <w:ilvl w:val="0"/>
          <w:numId w:val="1"/>
        </w:numPr>
        <w:ind w:left="1080"/>
        <w:jc w:val="both"/>
        <w:rPr>
          <w:rFonts w:ascii="Arial" w:eastAsiaTheme="minorEastAsia" w:hAnsi="Arial" w:cs="Arial"/>
          <w:sz w:val="24"/>
          <w:szCs w:val="24"/>
        </w:rPr>
      </w:pPr>
      <w:r w:rsidRPr="0087350A">
        <w:rPr>
          <w:rFonts w:ascii="Arial" w:eastAsiaTheme="minorEastAsia" w:hAnsi="Arial" w:cs="Arial"/>
          <w:sz w:val="24"/>
          <w:szCs w:val="24"/>
        </w:rPr>
        <w:t>Garantía de Autoría: El proponente declara que la información técnica es original y cumple con las normas técnicas nacionales e internacionales vigentes (RETIE, NSR-10, entre otras).</w:t>
      </w:r>
    </w:p>
    <w:p w14:paraId="6C654BC8" w14:textId="4A415334" w:rsidR="20021AE4" w:rsidRDefault="20021AE4" w:rsidP="008E39FD">
      <w:pPr>
        <w:pStyle w:val="Prrafodelista"/>
        <w:numPr>
          <w:ilvl w:val="0"/>
          <w:numId w:val="1"/>
        </w:numPr>
        <w:ind w:left="1080"/>
        <w:jc w:val="both"/>
        <w:rPr>
          <w:rFonts w:ascii="Arial" w:hAnsi="Arial" w:cs="Arial"/>
          <w:sz w:val="24"/>
          <w:szCs w:val="24"/>
        </w:rPr>
      </w:pPr>
      <w:r w:rsidRPr="009F3A54">
        <w:rPr>
          <w:rFonts w:ascii="Arial" w:eastAsiaTheme="minorEastAsia" w:hAnsi="Arial" w:cs="Arial"/>
          <w:sz w:val="24"/>
          <w:szCs w:val="24"/>
        </w:rPr>
        <w:t>Permanencia de Responsabilidad: El carácter gratuito del aporte no exime a los profesionales firmantes de su responsabilidad civil, ética y técnica sobre la estabilidad y seguridad de la infraestructura diseñada.</w:t>
      </w:r>
    </w:p>
    <w:p w14:paraId="6A5ACA29" w14:textId="6870740E" w:rsidR="00E71F1C" w:rsidRDefault="5EAB2A71" w:rsidP="00AB5F46">
      <w:pPr>
        <w:widowControl w:val="0"/>
        <w:tabs>
          <w:tab w:val="left" w:pos="828"/>
        </w:tabs>
        <w:suppressAutoHyphens w:val="0"/>
        <w:autoSpaceDE w:val="0"/>
        <w:autoSpaceDN w:val="0"/>
        <w:spacing w:before="252" w:after="0"/>
        <w:jc w:val="both"/>
        <w:rPr>
          <w:rFonts w:ascii="Arial" w:hAnsi="Arial" w:cs="Arial"/>
          <w:sz w:val="24"/>
          <w:szCs w:val="24"/>
        </w:rPr>
      </w:pPr>
      <w:r w:rsidRPr="006D2610">
        <w:rPr>
          <w:rFonts w:ascii="Arial" w:hAnsi="Arial" w:cs="Arial"/>
          <w:b/>
          <w:sz w:val="24"/>
          <w:szCs w:val="24"/>
        </w:rPr>
        <w:t>Nota</w:t>
      </w:r>
      <w:r w:rsidR="006D2610" w:rsidRPr="006D2610">
        <w:rPr>
          <w:rFonts w:ascii="Arial" w:hAnsi="Arial" w:cs="Arial"/>
          <w:b/>
          <w:bCs/>
          <w:sz w:val="24"/>
          <w:szCs w:val="24"/>
        </w:rPr>
        <w:t xml:space="preserve"> Especial</w:t>
      </w:r>
      <w:r w:rsidR="0056353B">
        <w:rPr>
          <w:rFonts w:ascii="Arial" w:hAnsi="Arial" w:cs="Arial"/>
          <w:b/>
          <w:bCs/>
          <w:sz w:val="24"/>
          <w:szCs w:val="24"/>
        </w:rPr>
        <w:t xml:space="preserve"> 5</w:t>
      </w:r>
      <w:r w:rsidRPr="006D2610">
        <w:rPr>
          <w:rFonts w:ascii="Arial" w:hAnsi="Arial" w:cs="Arial"/>
          <w:b/>
          <w:sz w:val="24"/>
          <w:szCs w:val="24"/>
        </w:rPr>
        <w:t>:</w:t>
      </w:r>
      <w:r w:rsidRPr="3B8C8C19">
        <w:rPr>
          <w:rFonts w:ascii="Arial" w:hAnsi="Arial" w:cs="Arial"/>
          <w:sz w:val="24"/>
          <w:szCs w:val="24"/>
        </w:rPr>
        <w:t xml:space="preserve"> </w:t>
      </w:r>
      <w:r w:rsidR="00570C0E" w:rsidRPr="3B8C8C19">
        <w:rPr>
          <w:rFonts w:ascii="Arial" w:hAnsi="Arial" w:cs="Arial"/>
          <w:sz w:val="24"/>
          <w:szCs w:val="24"/>
        </w:rPr>
        <w:t xml:space="preserve">De </w:t>
      </w:r>
      <w:r w:rsidR="27235BAE" w:rsidRPr="3B8C8C19">
        <w:rPr>
          <w:rFonts w:ascii="Arial" w:hAnsi="Arial" w:cs="Arial"/>
          <w:sz w:val="24"/>
          <w:szCs w:val="24"/>
        </w:rPr>
        <w:t>conformidad</w:t>
      </w:r>
      <w:r w:rsidR="00570C0E" w:rsidRPr="3B8C8C19">
        <w:rPr>
          <w:rFonts w:ascii="Arial" w:hAnsi="Arial" w:cs="Arial"/>
          <w:sz w:val="24"/>
          <w:szCs w:val="24"/>
        </w:rPr>
        <w:t xml:space="preserve"> con las recomendaciones particulares para cada uno de los proyectos, </w:t>
      </w:r>
      <w:r w:rsidR="6B117D0D" w:rsidRPr="3B8C8C19">
        <w:rPr>
          <w:rFonts w:ascii="Arial" w:hAnsi="Arial" w:cs="Arial"/>
          <w:sz w:val="24"/>
          <w:szCs w:val="24"/>
        </w:rPr>
        <w:t xml:space="preserve">estas se deberán </w:t>
      </w:r>
      <w:r w:rsidR="00570C0E" w:rsidRPr="3B8C8C19">
        <w:rPr>
          <w:rFonts w:ascii="Arial" w:hAnsi="Arial" w:cs="Arial"/>
          <w:sz w:val="24"/>
          <w:szCs w:val="24"/>
        </w:rPr>
        <w:t xml:space="preserve">consultar y </w:t>
      </w:r>
      <w:r w:rsidR="143C0582" w:rsidRPr="3B8C8C19">
        <w:rPr>
          <w:rFonts w:ascii="Arial" w:hAnsi="Arial" w:cs="Arial"/>
          <w:sz w:val="24"/>
          <w:szCs w:val="24"/>
        </w:rPr>
        <w:t>aplicar</w:t>
      </w:r>
      <w:r w:rsidR="00570C0E" w:rsidRPr="3B8C8C19">
        <w:rPr>
          <w:rFonts w:ascii="Arial" w:hAnsi="Arial" w:cs="Arial"/>
          <w:sz w:val="24"/>
          <w:szCs w:val="24"/>
        </w:rPr>
        <w:t xml:space="preserve"> </w:t>
      </w:r>
      <w:r w:rsidR="00B71992">
        <w:rPr>
          <w:rFonts w:ascii="Arial" w:hAnsi="Arial" w:cs="Arial"/>
          <w:sz w:val="24"/>
          <w:szCs w:val="24"/>
        </w:rPr>
        <w:t>de acuerdo</w:t>
      </w:r>
      <w:r w:rsidR="00570C0E" w:rsidRPr="3B8C8C19">
        <w:rPr>
          <w:rFonts w:ascii="Arial" w:hAnsi="Arial" w:cs="Arial"/>
          <w:sz w:val="24"/>
          <w:szCs w:val="24"/>
        </w:rPr>
        <w:t xml:space="preserve"> </w:t>
      </w:r>
      <w:r w:rsidR="00B71992">
        <w:rPr>
          <w:rFonts w:ascii="Arial" w:hAnsi="Arial" w:cs="Arial"/>
          <w:sz w:val="24"/>
          <w:szCs w:val="24"/>
        </w:rPr>
        <w:t>con el</w:t>
      </w:r>
      <w:r w:rsidR="00570C0E" w:rsidRPr="3B8C8C19">
        <w:rPr>
          <w:rFonts w:ascii="Arial" w:hAnsi="Arial" w:cs="Arial"/>
          <w:sz w:val="24"/>
          <w:szCs w:val="24"/>
        </w:rPr>
        <w:t xml:space="preserve"> estudio de suelos y los planos estructurales</w:t>
      </w:r>
      <w:r w:rsidR="00B71992">
        <w:rPr>
          <w:rFonts w:ascii="Arial" w:hAnsi="Arial" w:cs="Arial"/>
          <w:sz w:val="24"/>
          <w:szCs w:val="24"/>
        </w:rPr>
        <w:t>,</w:t>
      </w:r>
      <w:r w:rsidR="00570C0E" w:rsidRPr="3B8C8C19">
        <w:rPr>
          <w:rFonts w:ascii="Arial" w:hAnsi="Arial" w:cs="Arial"/>
          <w:sz w:val="24"/>
          <w:szCs w:val="24"/>
        </w:rPr>
        <w:t xml:space="preserve"> para verificar las condiciones y niveles del terreno sobre el que se </w:t>
      </w:r>
      <w:r w:rsidR="00B71992">
        <w:rPr>
          <w:rFonts w:ascii="Arial" w:hAnsi="Arial" w:cs="Arial"/>
          <w:sz w:val="24"/>
          <w:szCs w:val="24"/>
        </w:rPr>
        <w:t>efectuarán</w:t>
      </w:r>
      <w:r w:rsidR="00570C0E" w:rsidRPr="3B8C8C19">
        <w:rPr>
          <w:rFonts w:ascii="Arial" w:hAnsi="Arial" w:cs="Arial"/>
          <w:sz w:val="24"/>
          <w:szCs w:val="24"/>
        </w:rPr>
        <w:t xml:space="preserve"> los rellenos y soportar</w:t>
      </w:r>
      <w:r w:rsidR="00B71992">
        <w:rPr>
          <w:rFonts w:ascii="Arial" w:hAnsi="Arial" w:cs="Arial"/>
          <w:sz w:val="24"/>
          <w:szCs w:val="24"/>
        </w:rPr>
        <w:t>á</w:t>
      </w:r>
      <w:r w:rsidR="00570C0E" w:rsidRPr="3B8C8C19">
        <w:rPr>
          <w:rFonts w:ascii="Arial" w:hAnsi="Arial" w:cs="Arial"/>
          <w:sz w:val="24"/>
          <w:szCs w:val="24"/>
        </w:rPr>
        <w:t>n las estructuras.</w:t>
      </w:r>
    </w:p>
    <w:p w14:paraId="70837D7E" w14:textId="77777777" w:rsidR="004B6B52" w:rsidRPr="00570C0E" w:rsidRDefault="004B6B52" w:rsidP="00B03685">
      <w:pPr>
        <w:widowControl w:val="0"/>
        <w:tabs>
          <w:tab w:val="left" w:pos="828"/>
        </w:tabs>
        <w:suppressAutoHyphens w:val="0"/>
        <w:autoSpaceDE w:val="0"/>
        <w:autoSpaceDN w:val="0"/>
        <w:spacing w:before="252" w:after="0" w:line="240" w:lineRule="auto"/>
        <w:jc w:val="both"/>
        <w:rPr>
          <w:rFonts w:ascii="Arial" w:hAnsi="Arial" w:cs="Arial"/>
          <w:sz w:val="24"/>
          <w:szCs w:val="24"/>
        </w:rPr>
      </w:pPr>
    </w:p>
    <w:p w14:paraId="160A7D73" w14:textId="0232AD32" w:rsidR="5D146CA7" w:rsidRPr="00B71992" w:rsidRDefault="52C439B4" w:rsidP="00B71992">
      <w:pPr>
        <w:pStyle w:val="Ttulo6"/>
        <w:ind w:left="1152" w:hanging="1152"/>
        <w:rPr>
          <w:bCs/>
        </w:rPr>
      </w:pPr>
      <w:r w:rsidRPr="00504279">
        <w:rPr>
          <w:bCs/>
        </w:rPr>
        <w:t> </w:t>
      </w:r>
      <w:r w:rsidR="00B1132A" w:rsidRPr="00504279">
        <w:rPr>
          <w:bCs/>
        </w:rPr>
        <w:t>III- 2.</w:t>
      </w:r>
      <w:r w:rsidR="00B71992">
        <w:rPr>
          <w:bCs/>
        </w:rPr>
        <w:t>3</w:t>
      </w:r>
      <w:r w:rsidR="00B1132A" w:rsidRPr="00504279">
        <w:rPr>
          <w:bCs/>
        </w:rPr>
        <w:t xml:space="preserve">.2.2.2 </w:t>
      </w:r>
      <w:r w:rsidR="40BD66C4" w:rsidRPr="00504279">
        <w:rPr>
          <w:bCs/>
        </w:rPr>
        <w:t>Diseño Eléctrico</w:t>
      </w:r>
      <w:r w:rsidR="1A0B4592" w:rsidRPr="00504279">
        <w:rPr>
          <w:bCs/>
        </w:rPr>
        <w:t xml:space="preserve">: </w:t>
      </w:r>
    </w:p>
    <w:p w14:paraId="059B1440" w14:textId="53AD8277" w:rsidR="002D7F3B" w:rsidRPr="002D7F3B" w:rsidRDefault="002D7F3B" w:rsidP="00AB5F46">
      <w:pPr>
        <w:widowControl w:val="0"/>
        <w:numPr>
          <w:ilvl w:val="0"/>
          <w:numId w:val="75"/>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 xml:space="preserve">Las Memorias de Cálculo deben especificar el nombre completo del proyecto en todos los documentos relacionados en este apartado y la ubicación del </w:t>
      </w:r>
      <w:r w:rsidR="00B71992">
        <w:rPr>
          <w:rFonts w:ascii="Arial" w:hAnsi="Arial" w:cs="Arial"/>
          <w:sz w:val="24"/>
          <w:szCs w:val="24"/>
        </w:rPr>
        <w:t>mismo</w:t>
      </w:r>
      <w:r w:rsidRPr="002D7F3B">
        <w:rPr>
          <w:rFonts w:ascii="Arial" w:hAnsi="Arial" w:cs="Arial"/>
          <w:sz w:val="24"/>
          <w:szCs w:val="24"/>
        </w:rPr>
        <w:t>,</w:t>
      </w:r>
      <w:r w:rsidR="004B6B52">
        <w:rPr>
          <w:rFonts w:ascii="Arial" w:hAnsi="Arial" w:cs="Arial"/>
          <w:sz w:val="24"/>
          <w:szCs w:val="24"/>
        </w:rPr>
        <w:t xml:space="preserve"> </w:t>
      </w:r>
      <w:r w:rsidR="004B6B52" w:rsidRPr="004B6B52">
        <w:rPr>
          <w:rFonts w:ascii="Arial" w:hAnsi="Arial" w:cs="Arial"/>
          <w:sz w:val="24"/>
          <w:szCs w:val="24"/>
        </w:rPr>
        <w:t>además deben incluir todos los ítems del diseño detallado conforme a lo establecido en las disposiciones contenidas en el Libro 3 “INSTALACIONES OBJETO DEL RETIE” de la Resolución MME 40117 de 2024 “por medio del cual se modificó el Reglamento Técnico de Instalaciones Eléctricas – RETIE” o cualquiera que la modifique o sustituya, aplicable a cada una de las tipologías. Así mismo, deberá contener entre otros, los siguientes:</w:t>
      </w:r>
    </w:p>
    <w:p w14:paraId="29648EE1" w14:textId="77777777" w:rsidR="002D7F3B" w:rsidRPr="002D7F3B" w:rsidRDefault="002D7F3B" w:rsidP="00AB5F46">
      <w:pPr>
        <w:widowControl w:val="0"/>
        <w:numPr>
          <w:ilvl w:val="0"/>
          <w:numId w:val="76"/>
        </w:numPr>
        <w:tabs>
          <w:tab w:val="clear" w:pos="720"/>
          <w:tab w:val="left" w:pos="1701"/>
          <w:tab w:val="num" w:pos="2410"/>
        </w:tabs>
        <w:suppressAutoHyphens w:val="0"/>
        <w:autoSpaceDE w:val="0"/>
        <w:autoSpaceDN w:val="0"/>
        <w:spacing w:before="252" w:after="0"/>
        <w:ind w:left="1418"/>
        <w:jc w:val="both"/>
        <w:rPr>
          <w:rFonts w:ascii="Arial" w:hAnsi="Arial" w:cs="Arial"/>
          <w:sz w:val="24"/>
          <w:szCs w:val="24"/>
        </w:rPr>
      </w:pPr>
      <w:r w:rsidRPr="002D7F3B">
        <w:rPr>
          <w:rFonts w:ascii="Arial" w:hAnsi="Arial" w:cs="Arial"/>
          <w:sz w:val="24"/>
          <w:szCs w:val="24"/>
        </w:rPr>
        <w:t>Cálculo de transformadores de acuerdo con la cantidad de usuarios (si aplica). </w:t>
      </w:r>
    </w:p>
    <w:p w14:paraId="0E7AC2B3" w14:textId="0C92FBDB" w:rsidR="002D7F3B" w:rsidRDefault="002D7F3B" w:rsidP="00AB5F46">
      <w:pPr>
        <w:widowControl w:val="0"/>
        <w:numPr>
          <w:ilvl w:val="0"/>
          <w:numId w:val="77"/>
        </w:numPr>
        <w:tabs>
          <w:tab w:val="clear" w:pos="720"/>
          <w:tab w:val="left" w:pos="1701"/>
          <w:tab w:val="num" w:pos="2410"/>
        </w:tabs>
        <w:suppressAutoHyphens w:val="0"/>
        <w:autoSpaceDE w:val="0"/>
        <w:autoSpaceDN w:val="0"/>
        <w:spacing w:after="0"/>
        <w:ind w:left="1418"/>
        <w:jc w:val="both"/>
        <w:rPr>
          <w:rFonts w:ascii="Arial" w:hAnsi="Arial" w:cs="Arial"/>
          <w:sz w:val="24"/>
          <w:szCs w:val="24"/>
        </w:rPr>
      </w:pPr>
      <w:r w:rsidRPr="002D7F3B">
        <w:rPr>
          <w:rFonts w:ascii="Arial" w:hAnsi="Arial" w:cs="Arial"/>
          <w:sz w:val="24"/>
          <w:szCs w:val="24"/>
        </w:rPr>
        <w:t>Especificar el uso de conductores aislados trenzados para la red de distribución y cable para acometida con neutro concéntrico (Si Aplica). </w:t>
      </w:r>
    </w:p>
    <w:p w14:paraId="6BEF5E8D" w14:textId="77777777" w:rsidR="00AB5F46" w:rsidRPr="002D7F3B" w:rsidRDefault="00AB5F46" w:rsidP="00AB5F46">
      <w:pPr>
        <w:widowControl w:val="0"/>
        <w:tabs>
          <w:tab w:val="left" w:pos="1701"/>
          <w:tab w:val="num" w:pos="2410"/>
        </w:tabs>
        <w:suppressAutoHyphens w:val="0"/>
        <w:autoSpaceDE w:val="0"/>
        <w:autoSpaceDN w:val="0"/>
        <w:spacing w:after="0"/>
        <w:ind w:left="1058"/>
        <w:jc w:val="both"/>
        <w:rPr>
          <w:rFonts w:ascii="Arial" w:hAnsi="Arial" w:cs="Arial"/>
          <w:sz w:val="24"/>
          <w:szCs w:val="24"/>
        </w:rPr>
      </w:pPr>
    </w:p>
    <w:p w14:paraId="20C89209" w14:textId="77777777" w:rsidR="00AB5F46" w:rsidRPr="00AB5F46" w:rsidRDefault="002D7F3B" w:rsidP="00AB5F46">
      <w:pPr>
        <w:widowControl w:val="0"/>
        <w:numPr>
          <w:ilvl w:val="0"/>
          <w:numId w:val="78"/>
        </w:numPr>
        <w:tabs>
          <w:tab w:val="left" w:pos="828"/>
        </w:tabs>
        <w:suppressAutoHyphens w:val="0"/>
        <w:autoSpaceDE w:val="0"/>
        <w:autoSpaceDN w:val="0"/>
        <w:spacing w:after="0"/>
        <w:jc w:val="both"/>
        <w:rPr>
          <w:rFonts w:ascii="Arial" w:hAnsi="Arial" w:cs="Arial"/>
          <w:sz w:val="24"/>
          <w:szCs w:val="24"/>
        </w:rPr>
      </w:pPr>
      <w:r w:rsidRPr="002D7F3B">
        <w:rPr>
          <w:rFonts w:ascii="Arial" w:hAnsi="Arial" w:cs="Arial"/>
          <w:sz w:val="24"/>
          <w:szCs w:val="24"/>
          <w:lang w:val="es-ES"/>
        </w:rPr>
        <w:t xml:space="preserve">Los planos y esquemas eléctricos deben presentarse en formato PDF y DWG, adicionalmente deben tener un rotulo que los identifique plenamente, los archivos DWG deben contener convenciones claras que faciliten la lectura de estos y ser presentados de forma ordenada, utilizando capas y bloques de tal manera que se pueda realizar un conteo fácil y rápido de cada uno de los elementos, así como </w:t>
      </w:r>
      <w:r w:rsidRPr="002D7F3B">
        <w:rPr>
          <w:rFonts w:ascii="Arial" w:hAnsi="Arial" w:cs="Arial"/>
          <w:sz w:val="24"/>
          <w:szCs w:val="24"/>
          <w:lang w:val="es-ES"/>
        </w:rPr>
        <w:lastRenderedPageBreak/>
        <w:t>con la presentación de la siguiente información:</w:t>
      </w:r>
    </w:p>
    <w:p w14:paraId="168BF5A4" w14:textId="590B47A6" w:rsidR="002D7F3B" w:rsidRDefault="002D7F3B" w:rsidP="00AB5F46">
      <w:pPr>
        <w:widowControl w:val="0"/>
        <w:tabs>
          <w:tab w:val="left" w:pos="828"/>
        </w:tabs>
        <w:suppressAutoHyphens w:val="0"/>
        <w:autoSpaceDE w:val="0"/>
        <w:autoSpaceDN w:val="0"/>
        <w:spacing w:after="0"/>
        <w:ind w:left="360"/>
        <w:jc w:val="both"/>
        <w:rPr>
          <w:rFonts w:ascii="Arial" w:hAnsi="Arial" w:cs="Arial"/>
          <w:sz w:val="24"/>
          <w:szCs w:val="24"/>
        </w:rPr>
      </w:pPr>
      <w:r w:rsidRPr="002D7F3B">
        <w:rPr>
          <w:rFonts w:ascii="Arial" w:hAnsi="Arial" w:cs="Arial"/>
          <w:sz w:val="24"/>
          <w:szCs w:val="24"/>
        </w:rPr>
        <w:t> </w:t>
      </w:r>
    </w:p>
    <w:p w14:paraId="56807A1B" w14:textId="77777777" w:rsidR="00AB5F46" w:rsidRPr="00AB5F46" w:rsidRDefault="002D7F3B" w:rsidP="00AB5F46">
      <w:pPr>
        <w:pStyle w:val="Prrafodelista"/>
        <w:widowControl w:val="0"/>
        <w:numPr>
          <w:ilvl w:val="1"/>
          <w:numId w:val="85"/>
        </w:numPr>
        <w:tabs>
          <w:tab w:val="left" w:pos="828"/>
        </w:tabs>
        <w:suppressAutoHyphens w:val="0"/>
        <w:autoSpaceDE w:val="0"/>
        <w:autoSpaceDN w:val="0"/>
        <w:spacing w:after="0" w:line="240" w:lineRule="auto"/>
        <w:ind w:left="1440"/>
        <w:jc w:val="both"/>
        <w:rPr>
          <w:rFonts w:ascii="Arial" w:hAnsi="Arial" w:cs="Arial"/>
          <w:sz w:val="24"/>
          <w:szCs w:val="24"/>
        </w:rPr>
      </w:pPr>
      <w:r w:rsidRPr="00AB5F46">
        <w:rPr>
          <w:rFonts w:ascii="Arial" w:hAnsi="Arial" w:cs="Arial"/>
          <w:sz w:val="24"/>
          <w:szCs w:val="24"/>
          <w:lang w:val="es-ES"/>
        </w:rPr>
        <w:t>Localización general de redes MT y BT existentes y proyectadas (Si aplica)</w:t>
      </w:r>
    </w:p>
    <w:p w14:paraId="3F6798B8" w14:textId="027B7D3F" w:rsidR="002D7F3B" w:rsidRPr="00AB5F46" w:rsidRDefault="002D7F3B" w:rsidP="00AB5F46">
      <w:pPr>
        <w:widowControl w:val="0"/>
        <w:tabs>
          <w:tab w:val="left" w:pos="828"/>
        </w:tabs>
        <w:suppressAutoHyphens w:val="0"/>
        <w:autoSpaceDE w:val="0"/>
        <w:autoSpaceDN w:val="0"/>
        <w:spacing w:after="0" w:line="240" w:lineRule="auto"/>
        <w:ind w:left="720"/>
        <w:jc w:val="both"/>
        <w:rPr>
          <w:rFonts w:ascii="Arial" w:hAnsi="Arial" w:cs="Arial"/>
          <w:sz w:val="24"/>
          <w:szCs w:val="24"/>
        </w:rPr>
      </w:pPr>
      <w:r w:rsidRPr="00AB5F46">
        <w:rPr>
          <w:rFonts w:ascii="Arial" w:hAnsi="Arial" w:cs="Arial"/>
          <w:sz w:val="24"/>
          <w:szCs w:val="24"/>
        </w:rPr>
        <w:t> </w:t>
      </w:r>
    </w:p>
    <w:p w14:paraId="045AA284" w14:textId="77777777" w:rsidR="002D7F3B" w:rsidRPr="002D7F3B" w:rsidRDefault="002D7F3B" w:rsidP="00AB5F46">
      <w:pPr>
        <w:widowControl w:val="0"/>
        <w:numPr>
          <w:ilvl w:val="0"/>
          <w:numId w:val="86"/>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Estructuras de redes de M.T y B.T existentes y proyectadas incluyendo identificación de equipos implementados (transformadores, redes, postes, medidores, reconectadores, seccionamientos, etc.). </w:t>
      </w:r>
    </w:p>
    <w:p w14:paraId="24194300" w14:textId="77777777" w:rsidR="002D7F3B" w:rsidRPr="002D7F3B" w:rsidRDefault="002D7F3B" w:rsidP="00AB5F46">
      <w:pPr>
        <w:widowControl w:val="0"/>
        <w:numPr>
          <w:ilvl w:val="0"/>
          <w:numId w:val="86"/>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Identificar la derivación de la red al usuario (acometida) </w:t>
      </w:r>
    </w:p>
    <w:p w14:paraId="782C0E72" w14:textId="77777777" w:rsidR="002D7F3B" w:rsidRPr="002D7F3B" w:rsidRDefault="002D7F3B" w:rsidP="00AB5F46">
      <w:pPr>
        <w:widowControl w:val="0"/>
        <w:numPr>
          <w:ilvl w:val="0"/>
          <w:numId w:val="86"/>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Calibre y longitud de conductores. </w:t>
      </w:r>
    </w:p>
    <w:p w14:paraId="3BBEC4F2" w14:textId="3011FBF0" w:rsidR="002D7F3B" w:rsidRPr="002D7F3B" w:rsidRDefault="002D7F3B" w:rsidP="00AB5F46">
      <w:pPr>
        <w:widowControl w:val="0"/>
        <w:numPr>
          <w:ilvl w:val="0"/>
          <w:numId w:val="86"/>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Indicar calles, carreras y puntos cardinales.  </w:t>
      </w:r>
    </w:p>
    <w:p w14:paraId="45B39066" w14:textId="77777777" w:rsidR="0080631F" w:rsidRPr="0080631F" w:rsidRDefault="0080631F" w:rsidP="00504279">
      <w:pPr>
        <w:widowControl w:val="0"/>
        <w:tabs>
          <w:tab w:val="left" w:pos="828"/>
        </w:tabs>
        <w:suppressAutoHyphens w:val="0"/>
        <w:autoSpaceDE w:val="0"/>
        <w:autoSpaceDN w:val="0"/>
        <w:spacing w:after="0" w:line="240" w:lineRule="auto"/>
        <w:ind w:left="720"/>
        <w:jc w:val="both"/>
        <w:rPr>
          <w:rFonts w:ascii="Arial" w:hAnsi="Arial" w:cs="Arial"/>
          <w:sz w:val="24"/>
          <w:szCs w:val="24"/>
        </w:rPr>
      </w:pPr>
    </w:p>
    <w:p w14:paraId="3E52F2BF" w14:textId="353ECFB8" w:rsidR="002D7F3B" w:rsidRPr="00AB5F46" w:rsidRDefault="002D7F3B" w:rsidP="00504279">
      <w:pPr>
        <w:pStyle w:val="Prrafodelista"/>
        <w:widowControl w:val="0"/>
        <w:numPr>
          <w:ilvl w:val="1"/>
          <w:numId w:val="85"/>
        </w:numPr>
        <w:tabs>
          <w:tab w:val="left" w:pos="828"/>
        </w:tabs>
        <w:suppressAutoHyphens w:val="0"/>
        <w:autoSpaceDE w:val="0"/>
        <w:autoSpaceDN w:val="0"/>
        <w:spacing w:after="0" w:line="240" w:lineRule="auto"/>
        <w:ind w:left="1440"/>
        <w:jc w:val="both"/>
        <w:rPr>
          <w:rFonts w:ascii="Arial" w:hAnsi="Arial" w:cs="Arial"/>
          <w:sz w:val="24"/>
          <w:szCs w:val="24"/>
        </w:rPr>
      </w:pPr>
      <w:r w:rsidRPr="00AB5F46">
        <w:rPr>
          <w:rFonts w:ascii="Arial" w:hAnsi="Arial" w:cs="Arial"/>
          <w:sz w:val="24"/>
          <w:szCs w:val="24"/>
        </w:rPr>
        <w:t>Diagrama unifilar existente (Si aplica) y proyectado </w:t>
      </w:r>
    </w:p>
    <w:p w14:paraId="548B5904" w14:textId="77777777" w:rsidR="0080631F" w:rsidRPr="0080631F" w:rsidRDefault="0080631F" w:rsidP="00504279">
      <w:pPr>
        <w:widowControl w:val="0"/>
        <w:tabs>
          <w:tab w:val="left" w:pos="828"/>
        </w:tabs>
        <w:suppressAutoHyphens w:val="0"/>
        <w:autoSpaceDE w:val="0"/>
        <w:autoSpaceDN w:val="0"/>
        <w:spacing w:after="0" w:line="240" w:lineRule="auto"/>
        <w:ind w:left="720"/>
        <w:jc w:val="both"/>
        <w:rPr>
          <w:rFonts w:ascii="Arial" w:hAnsi="Arial" w:cs="Arial"/>
          <w:sz w:val="24"/>
          <w:szCs w:val="24"/>
        </w:rPr>
      </w:pPr>
    </w:p>
    <w:p w14:paraId="0F376A33" w14:textId="77777777" w:rsidR="002D7F3B" w:rsidRPr="002D7F3B" w:rsidRDefault="002D7F3B" w:rsidP="00AB5F46">
      <w:pPr>
        <w:widowControl w:val="0"/>
        <w:numPr>
          <w:ilvl w:val="0"/>
          <w:numId w:val="87"/>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Transformador con sus características (Tipo, potencia, Vp/Vs, Número de usuarios por transformador, DPS). </w:t>
      </w:r>
    </w:p>
    <w:p w14:paraId="5BF1CDB7" w14:textId="77777777" w:rsidR="002D7F3B" w:rsidRPr="002D7F3B" w:rsidRDefault="002D7F3B" w:rsidP="00AB5F46">
      <w:pPr>
        <w:widowControl w:val="0"/>
        <w:numPr>
          <w:ilvl w:val="0"/>
          <w:numId w:val="87"/>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Calibres de conductores y su longitud. </w:t>
      </w:r>
    </w:p>
    <w:p w14:paraId="666DBF3E" w14:textId="77777777" w:rsidR="002D7F3B" w:rsidRPr="002D7F3B" w:rsidRDefault="002D7F3B" w:rsidP="00AB5F46">
      <w:pPr>
        <w:widowControl w:val="0"/>
        <w:numPr>
          <w:ilvl w:val="0"/>
          <w:numId w:val="87"/>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Protecciones. </w:t>
      </w:r>
    </w:p>
    <w:p w14:paraId="1B4E9E98" w14:textId="77777777" w:rsidR="002D7F3B" w:rsidRPr="002D7F3B" w:rsidRDefault="002D7F3B" w:rsidP="00AB5F46">
      <w:pPr>
        <w:widowControl w:val="0"/>
        <w:numPr>
          <w:ilvl w:val="0"/>
          <w:numId w:val="87"/>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Grupo de medida. </w:t>
      </w:r>
    </w:p>
    <w:p w14:paraId="1913B800" w14:textId="1B9441FB" w:rsidR="002D7F3B" w:rsidRPr="002D7F3B" w:rsidRDefault="002D7F3B" w:rsidP="00AB5F46">
      <w:pPr>
        <w:widowControl w:val="0"/>
        <w:numPr>
          <w:ilvl w:val="0"/>
          <w:numId w:val="87"/>
        </w:numPr>
        <w:tabs>
          <w:tab w:val="left" w:pos="828"/>
        </w:tabs>
        <w:suppressAutoHyphens w:val="0"/>
        <w:autoSpaceDE w:val="0"/>
        <w:autoSpaceDN w:val="0"/>
        <w:spacing w:after="0"/>
        <w:ind w:left="1740"/>
        <w:jc w:val="both"/>
        <w:rPr>
          <w:rFonts w:ascii="Arial" w:hAnsi="Arial" w:cs="Arial"/>
          <w:sz w:val="24"/>
          <w:szCs w:val="24"/>
        </w:rPr>
      </w:pPr>
      <w:r w:rsidRPr="002D7F3B">
        <w:rPr>
          <w:rFonts w:ascii="Arial" w:hAnsi="Arial" w:cs="Arial"/>
          <w:sz w:val="24"/>
          <w:szCs w:val="24"/>
        </w:rPr>
        <w:t>Sistema de Puesta a Tierra. </w:t>
      </w:r>
    </w:p>
    <w:p w14:paraId="5CCC0903" w14:textId="70E4A7D4" w:rsidR="002D7F3B" w:rsidRPr="002D7F3B" w:rsidRDefault="002D7F3B" w:rsidP="00AB5F46">
      <w:pPr>
        <w:widowControl w:val="0"/>
        <w:tabs>
          <w:tab w:val="left" w:pos="828"/>
        </w:tabs>
        <w:suppressAutoHyphens w:val="0"/>
        <w:autoSpaceDE w:val="0"/>
        <w:autoSpaceDN w:val="0"/>
        <w:spacing w:before="252" w:after="0"/>
        <w:ind w:left="660"/>
        <w:jc w:val="both"/>
        <w:rPr>
          <w:rFonts w:ascii="Arial" w:hAnsi="Arial" w:cs="Arial"/>
          <w:sz w:val="24"/>
          <w:szCs w:val="24"/>
        </w:rPr>
      </w:pPr>
      <w:r w:rsidRPr="002D7F3B">
        <w:rPr>
          <w:rFonts w:ascii="Arial" w:hAnsi="Arial" w:cs="Arial"/>
          <w:sz w:val="24"/>
          <w:szCs w:val="24"/>
        </w:rPr>
        <w:t>En caso de no contar con la descripción detallada de los ítems señalados debido a la naturaleza o condiciones del sistema existente, el diagrama deberá representar como mínimo las condiciones iniciales que sirvieron de base para el dimensionamiento y diseño de la solución propuesta, incluyendo, entre otros, el número de usuarios asociados por transformador. </w:t>
      </w:r>
    </w:p>
    <w:p w14:paraId="1A82971A" w14:textId="39C0F9F5" w:rsidR="002D7F3B" w:rsidRPr="00AB5F46" w:rsidRDefault="002D7F3B" w:rsidP="00504279">
      <w:pPr>
        <w:pStyle w:val="Prrafodelista"/>
        <w:widowControl w:val="0"/>
        <w:numPr>
          <w:ilvl w:val="1"/>
          <w:numId w:val="85"/>
        </w:numPr>
        <w:tabs>
          <w:tab w:val="left" w:pos="828"/>
        </w:tabs>
        <w:suppressAutoHyphens w:val="0"/>
        <w:autoSpaceDE w:val="0"/>
        <w:autoSpaceDN w:val="0"/>
        <w:spacing w:before="252" w:after="0" w:line="240" w:lineRule="auto"/>
        <w:ind w:left="1440"/>
        <w:jc w:val="both"/>
        <w:rPr>
          <w:rFonts w:ascii="Arial" w:hAnsi="Arial" w:cs="Arial"/>
          <w:sz w:val="24"/>
          <w:szCs w:val="24"/>
        </w:rPr>
      </w:pPr>
      <w:r w:rsidRPr="00AB5F46">
        <w:rPr>
          <w:rFonts w:ascii="Arial" w:hAnsi="Arial" w:cs="Arial"/>
          <w:sz w:val="24"/>
          <w:szCs w:val="24"/>
        </w:rPr>
        <w:t>Detalles (cortes horizontales y verticales) </w:t>
      </w:r>
    </w:p>
    <w:p w14:paraId="4BA26132" w14:textId="51609B4D" w:rsidR="002D7F3B" w:rsidRPr="002D7F3B" w:rsidRDefault="00C44656" w:rsidP="00AB5F46">
      <w:pPr>
        <w:widowControl w:val="0"/>
        <w:tabs>
          <w:tab w:val="left" w:pos="828"/>
        </w:tabs>
        <w:suppressAutoHyphens w:val="0"/>
        <w:autoSpaceDE w:val="0"/>
        <w:autoSpaceDN w:val="0"/>
        <w:spacing w:before="252" w:after="0"/>
        <w:ind w:left="660"/>
        <w:jc w:val="both"/>
        <w:rPr>
          <w:rFonts w:ascii="Arial" w:hAnsi="Arial" w:cs="Arial"/>
          <w:sz w:val="24"/>
          <w:szCs w:val="24"/>
        </w:rPr>
      </w:pPr>
      <w:r w:rsidRPr="00C44656">
        <w:rPr>
          <w:rFonts w:ascii="Arial" w:hAnsi="Arial" w:cs="Arial"/>
          <w:sz w:val="24"/>
          <w:szCs w:val="24"/>
        </w:rPr>
        <w:t>Se deberán incluir tanto</w:t>
      </w:r>
      <w:r w:rsidR="00B71992">
        <w:rPr>
          <w:rFonts w:ascii="Arial" w:hAnsi="Arial" w:cs="Arial"/>
          <w:sz w:val="24"/>
          <w:szCs w:val="24"/>
        </w:rPr>
        <w:t>s</w:t>
      </w:r>
      <w:r w:rsidRPr="00C44656">
        <w:rPr>
          <w:rFonts w:ascii="Arial" w:hAnsi="Arial" w:cs="Arial"/>
          <w:sz w:val="24"/>
          <w:szCs w:val="24"/>
        </w:rPr>
        <w:t xml:space="preserve"> cortes (horizontales y verticales) como sean necesarios para visualizar en detalle las distancias de seguridad y de trabajo, así como las dimensiones y el montaje de los equipos garantizando la adecuada comprensión de la instalación a ejecutar.</w:t>
      </w:r>
      <w:r w:rsidR="002D7F3B" w:rsidRPr="002D7F3B">
        <w:rPr>
          <w:rFonts w:ascii="Arial" w:hAnsi="Arial" w:cs="Arial"/>
          <w:sz w:val="24"/>
          <w:szCs w:val="24"/>
        </w:rPr>
        <w:t> </w:t>
      </w:r>
    </w:p>
    <w:p w14:paraId="1BBE4077" w14:textId="05430101" w:rsidR="002D7F3B" w:rsidRPr="002D7F3B" w:rsidRDefault="002D7F3B" w:rsidP="00AB5F46">
      <w:pPr>
        <w:widowControl w:val="0"/>
        <w:numPr>
          <w:ilvl w:val="0"/>
          <w:numId w:val="79"/>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Listado de equipos utilizados en el diseño, indicando norma técnica (deben ser</w:t>
      </w:r>
      <w:r w:rsidR="00C44656">
        <w:rPr>
          <w:rFonts w:ascii="Arial" w:hAnsi="Arial" w:cs="Arial"/>
          <w:sz w:val="24"/>
          <w:szCs w:val="24"/>
        </w:rPr>
        <w:t xml:space="preserve"> </w:t>
      </w:r>
      <w:r w:rsidR="00C44656" w:rsidRPr="00C44656">
        <w:rPr>
          <w:rFonts w:ascii="Arial" w:hAnsi="Arial" w:cs="Arial"/>
          <w:sz w:val="24"/>
          <w:szCs w:val="24"/>
        </w:rPr>
        <w:t>fácilmente localizables en el diagrama unifilar, en la localización general de redes de M.T y B.T entre otros)</w:t>
      </w:r>
    </w:p>
    <w:p w14:paraId="7E627324" w14:textId="3ABBAD21" w:rsidR="002D7F3B" w:rsidRPr="002D7F3B" w:rsidRDefault="002D7F3B" w:rsidP="00AB5F46">
      <w:pPr>
        <w:widowControl w:val="0"/>
        <w:numPr>
          <w:ilvl w:val="0"/>
          <w:numId w:val="80"/>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Aporte </w:t>
      </w:r>
      <w:r w:rsidR="00845C3B" w:rsidRPr="00845C3B">
        <w:rPr>
          <w:rFonts w:ascii="Arial" w:hAnsi="Arial" w:cs="Arial"/>
          <w:sz w:val="24"/>
          <w:szCs w:val="24"/>
        </w:rPr>
        <w:t xml:space="preserve">a título gratuito al Ministerio de Minas y Energía </w:t>
      </w:r>
      <w:r w:rsidR="00B71992">
        <w:rPr>
          <w:rFonts w:ascii="Arial" w:hAnsi="Arial" w:cs="Arial"/>
          <w:sz w:val="24"/>
          <w:szCs w:val="24"/>
        </w:rPr>
        <w:t xml:space="preserve">de </w:t>
      </w:r>
      <w:r w:rsidR="00845C3B" w:rsidRPr="00845C3B">
        <w:rPr>
          <w:rFonts w:ascii="Arial" w:hAnsi="Arial" w:cs="Arial"/>
          <w:sz w:val="24"/>
          <w:szCs w:val="24"/>
        </w:rPr>
        <w:t>todos los diseños</w:t>
      </w:r>
      <w:r w:rsidR="0087350A">
        <w:rPr>
          <w:rFonts w:ascii="Arial" w:hAnsi="Arial" w:cs="Arial"/>
          <w:sz w:val="24"/>
          <w:szCs w:val="24"/>
        </w:rPr>
        <w:t xml:space="preserve"> eléctricos</w:t>
      </w:r>
      <w:r w:rsidR="00845C3B" w:rsidRPr="00845C3B">
        <w:rPr>
          <w:rFonts w:ascii="Arial" w:hAnsi="Arial" w:cs="Arial"/>
          <w:sz w:val="24"/>
          <w:szCs w:val="24"/>
        </w:rPr>
        <w:t xml:space="preserve"> realizados, los cuales deben incluir el nombre completo del profesional y especialistas encargados, cedula de ciudadanía, </w:t>
      </w:r>
      <w:r w:rsidR="00B71992" w:rsidRPr="002D7F3B">
        <w:rPr>
          <w:rFonts w:ascii="Arial" w:hAnsi="Arial" w:cs="Arial"/>
          <w:sz w:val="24"/>
          <w:szCs w:val="24"/>
        </w:rPr>
        <w:t>certificado de vigencia</w:t>
      </w:r>
      <w:r w:rsidR="00B3682D">
        <w:rPr>
          <w:rFonts w:ascii="Arial" w:hAnsi="Arial" w:cs="Arial"/>
          <w:sz w:val="24"/>
          <w:szCs w:val="24"/>
        </w:rPr>
        <w:t xml:space="preserve"> no mayor a seis (6) meses de presentado el proyecto,</w:t>
      </w:r>
      <w:r w:rsidR="00B71992" w:rsidRPr="002D7F3B">
        <w:rPr>
          <w:rFonts w:ascii="Arial" w:hAnsi="Arial" w:cs="Arial"/>
          <w:sz w:val="24"/>
          <w:szCs w:val="24"/>
        </w:rPr>
        <w:t xml:space="preserve"> de</w:t>
      </w:r>
      <w:r w:rsidR="00B3682D">
        <w:rPr>
          <w:rFonts w:ascii="Arial" w:hAnsi="Arial" w:cs="Arial"/>
          <w:sz w:val="24"/>
          <w:szCs w:val="24"/>
        </w:rPr>
        <w:t xml:space="preserve"> </w:t>
      </w:r>
      <w:r w:rsidR="00B71992" w:rsidRPr="002D7F3B">
        <w:rPr>
          <w:rFonts w:ascii="Arial" w:hAnsi="Arial" w:cs="Arial"/>
          <w:sz w:val="24"/>
          <w:szCs w:val="24"/>
        </w:rPr>
        <w:t>l</w:t>
      </w:r>
      <w:r w:rsidR="00B3682D">
        <w:rPr>
          <w:rFonts w:ascii="Arial" w:hAnsi="Arial" w:cs="Arial"/>
          <w:sz w:val="24"/>
          <w:szCs w:val="24"/>
        </w:rPr>
        <w:t>a tarjeta profesional del</w:t>
      </w:r>
      <w:r w:rsidR="00B71992" w:rsidRPr="002D7F3B">
        <w:rPr>
          <w:rFonts w:ascii="Arial" w:hAnsi="Arial" w:cs="Arial"/>
          <w:sz w:val="24"/>
          <w:szCs w:val="24"/>
        </w:rPr>
        <w:t xml:space="preserve"> ingeniero diseñador del</w:t>
      </w:r>
      <w:r w:rsidR="00B71992">
        <w:rPr>
          <w:rFonts w:ascii="Arial" w:hAnsi="Arial" w:cs="Arial"/>
          <w:sz w:val="24"/>
          <w:szCs w:val="24"/>
        </w:rPr>
        <w:t xml:space="preserve"> p</w:t>
      </w:r>
      <w:r w:rsidR="00B71992" w:rsidRPr="00C44656">
        <w:rPr>
          <w:rFonts w:ascii="Arial" w:hAnsi="Arial" w:cs="Arial"/>
          <w:sz w:val="24"/>
          <w:szCs w:val="24"/>
        </w:rPr>
        <w:t>royecto</w:t>
      </w:r>
      <w:r w:rsidR="00845C3B" w:rsidRPr="00845C3B">
        <w:rPr>
          <w:rFonts w:ascii="Arial" w:hAnsi="Arial" w:cs="Arial"/>
          <w:sz w:val="24"/>
          <w:szCs w:val="24"/>
        </w:rPr>
        <w:t xml:space="preserve">, firma, dirección, datos de contacto y correo electrónico del profesional ingeniero diseñador, el </w:t>
      </w:r>
      <w:r w:rsidR="00B3682D">
        <w:rPr>
          <w:rFonts w:ascii="Arial" w:hAnsi="Arial" w:cs="Arial"/>
          <w:sz w:val="24"/>
          <w:szCs w:val="24"/>
        </w:rPr>
        <w:t>cual</w:t>
      </w:r>
      <w:r w:rsidR="00845C3B" w:rsidRPr="00845C3B">
        <w:rPr>
          <w:rFonts w:ascii="Arial" w:hAnsi="Arial" w:cs="Arial"/>
          <w:sz w:val="24"/>
          <w:szCs w:val="24"/>
        </w:rPr>
        <w:t xml:space="preserve"> debe especificar la ciudad y fecha exacta en que se expide</w:t>
      </w:r>
      <w:r w:rsidR="00B3682D">
        <w:rPr>
          <w:rFonts w:ascii="Arial" w:hAnsi="Arial" w:cs="Arial"/>
          <w:sz w:val="24"/>
          <w:szCs w:val="24"/>
        </w:rPr>
        <w:t>.</w:t>
      </w:r>
      <w:r w:rsidR="00845C3B" w:rsidRPr="00845C3B">
        <w:rPr>
          <w:rFonts w:ascii="Arial" w:hAnsi="Arial" w:cs="Arial"/>
          <w:sz w:val="24"/>
          <w:szCs w:val="24"/>
        </w:rPr>
        <w:t xml:space="preserve"> </w:t>
      </w:r>
      <w:r w:rsidR="00B3682D">
        <w:rPr>
          <w:rFonts w:ascii="Arial" w:hAnsi="Arial" w:cs="Arial"/>
          <w:sz w:val="24"/>
          <w:szCs w:val="24"/>
        </w:rPr>
        <w:t>É</w:t>
      </w:r>
      <w:r w:rsidR="00845C3B" w:rsidRPr="00845C3B">
        <w:rPr>
          <w:rFonts w:ascii="Arial" w:hAnsi="Arial" w:cs="Arial"/>
          <w:sz w:val="24"/>
          <w:szCs w:val="24"/>
        </w:rPr>
        <w:t>st</w:t>
      </w:r>
      <w:r w:rsidR="00B3682D">
        <w:rPr>
          <w:rFonts w:ascii="Arial" w:hAnsi="Arial" w:cs="Arial"/>
          <w:sz w:val="24"/>
          <w:szCs w:val="24"/>
        </w:rPr>
        <w:t>e</w:t>
      </w:r>
      <w:r w:rsidR="00845C3B" w:rsidRPr="00845C3B">
        <w:rPr>
          <w:rFonts w:ascii="Arial" w:hAnsi="Arial" w:cs="Arial"/>
          <w:sz w:val="24"/>
          <w:szCs w:val="24"/>
        </w:rPr>
        <w:t xml:space="preserve"> debe estar acompañado del memorial de responsabilidad de los especialistas que participaron en los diseños con sus respectivos anexos y dentro del cual se especifiquen las normas técnicas vigentes bajo las cuales fueron elaborados.</w:t>
      </w:r>
    </w:p>
    <w:p w14:paraId="6FA59B83" w14:textId="6CBACB2C" w:rsidR="00A54536" w:rsidRPr="00A22AF2" w:rsidRDefault="002D7F3B" w:rsidP="00AB5F46">
      <w:pPr>
        <w:widowControl w:val="0"/>
        <w:numPr>
          <w:ilvl w:val="0"/>
          <w:numId w:val="82"/>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Declaración </w:t>
      </w:r>
      <w:r w:rsidR="00A22AF2" w:rsidRPr="00A22AF2">
        <w:rPr>
          <w:rFonts w:ascii="Arial" w:hAnsi="Arial" w:cs="Arial"/>
          <w:sz w:val="24"/>
          <w:szCs w:val="24"/>
        </w:rPr>
        <w:t xml:space="preserve">de cumplimiento por parte del ingeniero diseñador, en la que conste </w:t>
      </w:r>
      <w:r w:rsidR="00A22AF2" w:rsidRPr="00A22AF2">
        <w:rPr>
          <w:rFonts w:ascii="Arial" w:hAnsi="Arial" w:cs="Arial"/>
          <w:sz w:val="24"/>
          <w:szCs w:val="24"/>
        </w:rPr>
        <w:lastRenderedPageBreak/>
        <w:t>que el proyecto cumple con lo establecido en el Reglamento Técnico de Instalaciones Eléctricas - RETIE, expedido en su última versión mediante la Resolución 40117 del 2 de abril de 2024 o aquella que lo modifique</w:t>
      </w:r>
      <w:r w:rsidR="00A54536" w:rsidRPr="00A54536">
        <w:rPr>
          <w:rFonts w:ascii="Arial" w:hAnsi="Arial" w:cs="Arial"/>
          <w:sz w:val="24"/>
          <w:szCs w:val="24"/>
        </w:rPr>
        <w:t>.</w:t>
      </w:r>
    </w:p>
    <w:p w14:paraId="7154CDAC" w14:textId="080189FA" w:rsidR="002D7F3B" w:rsidRPr="002D7F3B" w:rsidRDefault="002D7F3B" w:rsidP="00AB5F46">
      <w:pPr>
        <w:widowControl w:val="0"/>
        <w:numPr>
          <w:ilvl w:val="0"/>
          <w:numId w:val="82"/>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 xml:space="preserve">Descripción de los sistemas de medición del consumo de energía a utilizar, los cuales deben dar cumplimiento a lo dispuesto en la </w:t>
      </w:r>
      <w:r w:rsidR="00DF77C6">
        <w:rPr>
          <w:rFonts w:ascii="Arial" w:hAnsi="Arial" w:cs="Arial"/>
          <w:sz w:val="24"/>
          <w:szCs w:val="24"/>
        </w:rPr>
        <w:t>R</w:t>
      </w:r>
      <w:r w:rsidRPr="002D7F3B">
        <w:rPr>
          <w:rFonts w:ascii="Arial" w:hAnsi="Arial" w:cs="Arial"/>
          <w:sz w:val="24"/>
          <w:szCs w:val="24"/>
        </w:rPr>
        <w:t>esoluci</w:t>
      </w:r>
      <w:r w:rsidR="00B3682D">
        <w:rPr>
          <w:rFonts w:ascii="Arial" w:hAnsi="Arial" w:cs="Arial"/>
          <w:sz w:val="24"/>
          <w:szCs w:val="24"/>
        </w:rPr>
        <w:t>ó</w:t>
      </w:r>
      <w:r w:rsidRPr="002D7F3B">
        <w:rPr>
          <w:rFonts w:ascii="Arial" w:hAnsi="Arial" w:cs="Arial"/>
          <w:sz w:val="24"/>
          <w:szCs w:val="24"/>
        </w:rPr>
        <w:t xml:space="preserve">n del Ministerio de Minas y Energía 40072 del 29 de enero de 2018, </w:t>
      </w:r>
      <w:r w:rsidR="00B3682D">
        <w:rPr>
          <w:rFonts w:ascii="Arial" w:hAnsi="Arial" w:cs="Arial"/>
          <w:sz w:val="24"/>
          <w:szCs w:val="24"/>
        </w:rPr>
        <w:t>R</w:t>
      </w:r>
      <w:r w:rsidR="00B3682D" w:rsidRPr="00B3682D">
        <w:rPr>
          <w:rFonts w:ascii="Arial" w:hAnsi="Arial" w:cs="Arial"/>
          <w:sz w:val="24"/>
          <w:szCs w:val="24"/>
        </w:rPr>
        <w:t xml:space="preserve">esolución </w:t>
      </w:r>
      <w:r w:rsidR="00B3682D">
        <w:rPr>
          <w:rFonts w:ascii="Arial" w:hAnsi="Arial" w:cs="Arial"/>
          <w:sz w:val="24"/>
          <w:szCs w:val="24"/>
        </w:rPr>
        <w:t xml:space="preserve">CREG </w:t>
      </w:r>
      <w:r w:rsidR="00B3682D" w:rsidRPr="00B3682D">
        <w:rPr>
          <w:rFonts w:ascii="Arial" w:hAnsi="Arial" w:cs="Arial"/>
          <w:sz w:val="24"/>
          <w:szCs w:val="24"/>
        </w:rPr>
        <w:t xml:space="preserve">101 001 </w:t>
      </w:r>
      <w:r w:rsidR="00B3682D">
        <w:rPr>
          <w:rFonts w:ascii="Arial" w:hAnsi="Arial" w:cs="Arial"/>
          <w:sz w:val="24"/>
          <w:szCs w:val="24"/>
        </w:rPr>
        <w:t>de</w:t>
      </w:r>
      <w:r w:rsidR="00B3682D" w:rsidRPr="00B3682D">
        <w:rPr>
          <w:rFonts w:ascii="Arial" w:hAnsi="Arial" w:cs="Arial"/>
          <w:sz w:val="24"/>
          <w:szCs w:val="24"/>
        </w:rPr>
        <w:t xml:space="preserve"> 2022</w:t>
      </w:r>
      <w:r w:rsidR="00B3682D">
        <w:rPr>
          <w:rFonts w:ascii="Arial" w:hAnsi="Arial" w:cs="Arial"/>
          <w:sz w:val="24"/>
          <w:szCs w:val="24"/>
        </w:rPr>
        <w:t xml:space="preserve">, </w:t>
      </w:r>
      <w:r w:rsidR="00DF77C6">
        <w:rPr>
          <w:rFonts w:ascii="Arial" w:hAnsi="Arial" w:cs="Arial"/>
          <w:sz w:val="24"/>
          <w:szCs w:val="24"/>
        </w:rPr>
        <w:t>que</w:t>
      </w:r>
      <w:r w:rsidR="00B3682D">
        <w:rPr>
          <w:rFonts w:ascii="Arial" w:hAnsi="Arial" w:cs="Arial"/>
          <w:sz w:val="24"/>
          <w:szCs w:val="24"/>
        </w:rPr>
        <w:t xml:space="preserve"> establece “</w:t>
      </w:r>
      <w:r w:rsidR="00B3682D" w:rsidRPr="00B3682D">
        <w:rPr>
          <w:rFonts w:ascii="Arial" w:hAnsi="Arial" w:cs="Arial"/>
          <w:sz w:val="24"/>
          <w:szCs w:val="24"/>
        </w:rPr>
        <w:t>las condiciones para la implementación de la infraestructura de medición avanzada en el SIN</w:t>
      </w:r>
      <w:r w:rsidR="00B3682D">
        <w:rPr>
          <w:rFonts w:ascii="Arial" w:hAnsi="Arial" w:cs="Arial"/>
          <w:sz w:val="24"/>
          <w:szCs w:val="24"/>
        </w:rPr>
        <w:t>”</w:t>
      </w:r>
      <w:r w:rsidR="00B3682D" w:rsidRPr="00B3682D">
        <w:rPr>
          <w:rFonts w:ascii="Arial" w:hAnsi="Arial" w:cs="Arial"/>
          <w:sz w:val="24"/>
          <w:szCs w:val="24"/>
        </w:rPr>
        <w:t xml:space="preserve"> </w:t>
      </w:r>
      <w:r w:rsidR="00B3682D">
        <w:rPr>
          <w:rFonts w:ascii="Arial" w:hAnsi="Arial" w:cs="Arial"/>
          <w:sz w:val="24"/>
          <w:szCs w:val="24"/>
        </w:rPr>
        <w:t xml:space="preserve">y aquellas que las modifiquen o adicionen </w:t>
      </w:r>
      <w:r w:rsidRPr="002D7F3B">
        <w:rPr>
          <w:rFonts w:ascii="Arial" w:hAnsi="Arial" w:cs="Arial"/>
          <w:sz w:val="24"/>
          <w:szCs w:val="24"/>
        </w:rPr>
        <w:t>(si aplica). </w:t>
      </w:r>
    </w:p>
    <w:p w14:paraId="5D632DA1" w14:textId="77777777" w:rsidR="002D7F3B" w:rsidRPr="002D7F3B" w:rsidRDefault="002D7F3B" w:rsidP="00AB5F46">
      <w:pPr>
        <w:widowControl w:val="0"/>
        <w:numPr>
          <w:ilvl w:val="0"/>
          <w:numId w:val="83"/>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lang w:val="es-ES"/>
        </w:rPr>
        <w:t>Análisis de Riesgos: Se debe presentar documento o archivo en el que se identifiquen los principales riesgos del proyecto, incluyendo, entre otros aspectos, una matriz de probabilidad y valoración del riesgo – consecuencia y las acciones de manejo, así como la inclusión del análisis de riesgos de desastres, de conformidad con lo establecido en el artículo 38 de la ley 1523 de 2012.</w:t>
      </w:r>
      <w:r w:rsidRPr="002D7F3B">
        <w:rPr>
          <w:rFonts w:ascii="Arial" w:hAnsi="Arial" w:cs="Arial"/>
          <w:sz w:val="24"/>
          <w:szCs w:val="24"/>
        </w:rPr>
        <w:t> </w:t>
      </w:r>
    </w:p>
    <w:p w14:paraId="40DA53ED" w14:textId="77777777" w:rsidR="002D7F3B" w:rsidRDefault="002D7F3B"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2D7F3B">
        <w:rPr>
          <w:rFonts w:ascii="Arial" w:hAnsi="Arial" w:cs="Arial"/>
          <w:sz w:val="24"/>
          <w:szCs w:val="24"/>
          <w:lang w:val="es-ES"/>
        </w:rPr>
        <w:t>En la matriz se debe consignar lo siguiente:</w:t>
      </w:r>
      <w:r w:rsidRPr="002D7F3B">
        <w:rPr>
          <w:rFonts w:ascii="Arial" w:hAnsi="Arial" w:cs="Arial"/>
          <w:sz w:val="24"/>
          <w:szCs w:val="24"/>
        </w:rPr>
        <w:t> </w:t>
      </w:r>
    </w:p>
    <w:p w14:paraId="1C4819F7" w14:textId="77777777" w:rsidR="009B6FCD" w:rsidRPr="002D7F3B" w:rsidRDefault="009B6FCD" w:rsidP="00AB5F46">
      <w:pPr>
        <w:widowControl w:val="0"/>
        <w:tabs>
          <w:tab w:val="left" w:pos="828"/>
        </w:tabs>
        <w:suppressAutoHyphens w:val="0"/>
        <w:autoSpaceDE w:val="0"/>
        <w:autoSpaceDN w:val="0"/>
        <w:spacing w:after="0"/>
        <w:jc w:val="both"/>
        <w:rPr>
          <w:rFonts w:ascii="Arial" w:hAnsi="Arial" w:cs="Arial"/>
          <w:sz w:val="24"/>
          <w:szCs w:val="24"/>
        </w:rPr>
      </w:pPr>
    </w:p>
    <w:p w14:paraId="12D28E28" w14:textId="7CAB7E61" w:rsidR="002D7F3B" w:rsidRPr="002D7F3B" w:rsidRDefault="009E3284" w:rsidP="00AB5F46">
      <w:pPr>
        <w:widowControl w:val="0"/>
        <w:numPr>
          <w:ilvl w:val="0"/>
          <w:numId w:val="88"/>
        </w:numPr>
        <w:tabs>
          <w:tab w:val="left" w:pos="828"/>
        </w:tabs>
        <w:suppressAutoHyphens w:val="0"/>
        <w:autoSpaceDE w:val="0"/>
        <w:autoSpaceDN w:val="0"/>
        <w:spacing w:after="0"/>
        <w:jc w:val="both"/>
        <w:rPr>
          <w:rFonts w:ascii="Arial" w:hAnsi="Arial" w:cs="Arial"/>
          <w:sz w:val="24"/>
          <w:szCs w:val="24"/>
        </w:rPr>
      </w:pPr>
      <w:r>
        <w:rPr>
          <w:rFonts w:ascii="Arial" w:hAnsi="Arial" w:cs="Arial"/>
          <w:sz w:val="24"/>
          <w:szCs w:val="24"/>
          <w:lang w:val="es-ES"/>
        </w:rPr>
        <w:t>L</w:t>
      </w:r>
      <w:r w:rsidR="002D7F3B" w:rsidRPr="002D7F3B">
        <w:rPr>
          <w:rFonts w:ascii="Arial" w:hAnsi="Arial" w:cs="Arial"/>
          <w:sz w:val="24"/>
          <w:szCs w:val="24"/>
          <w:lang w:val="es-ES"/>
        </w:rPr>
        <w:t>a frecuencia o posibilidad de que ocurra cada riesgo identificado.</w:t>
      </w:r>
      <w:r w:rsidR="002D7F3B" w:rsidRPr="002D7F3B">
        <w:rPr>
          <w:rFonts w:ascii="Arial" w:hAnsi="Arial" w:cs="Arial"/>
          <w:sz w:val="24"/>
          <w:szCs w:val="24"/>
        </w:rPr>
        <w:t> </w:t>
      </w:r>
    </w:p>
    <w:p w14:paraId="32A44CF4" w14:textId="067F65A5" w:rsidR="002D7F3B" w:rsidRPr="002D7F3B" w:rsidRDefault="009E3284" w:rsidP="00AB5F46">
      <w:pPr>
        <w:widowControl w:val="0"/>
        <w:numPr>
          <w:ilvl w:val="0"/>
          <w:numId w:val="88"/>
        </w:numPr>
        <w:tabs>
          <w:tab w:val="left" w:pos="828"/>
        </w:tabs>
        <w:suppressAutoHyphens w:val="0"/>
        <w:autoSpaceDE w:val="0"/>
        <w:autoSpaceDN w:val="0"/>
        <w:spacing w:after="0"/>
        <w:jc w:val="both"/>
        <w:rPr>
          <w:rFonts w:ascii="Arial" w:hAnsi="Arial" w:cs="Arial"/>
          <w:sz w:val="24"/>
          <w:szCs w:val="24"/>
        </w:rPr>
      </w:pPr>
      <w:r>
        <w:rPr>
          <w:rFonts w:ascii="Arial" w:hAnsi="Arial" w:cs="Arial"/>
          <w:sz w:val="24"/>
          <w:szCs w:val="24"/>
          <w:lang w:val="es-ES"/>
        </w:rPr>
        <w:t>L</w:t>
      </w:r>
      <w:r w:rsidR="002D7F3B" w:rsidRPr="002D7F3B">
        <w:rPr>
          <w:rFonts w:ascii="Arial" w:hAnsi="Arial" w:cs="Arial"/>
          <w:sz w:val="24"/>
          <w:szCs w:val="24"/>
          <w:lang w:val="es-ES"/>
        </w:rPr>
        <w:t>a gravedad de las consecuencias si el riesgo se materializa.</w:t>
      </w:r>
      <w:r w:rsidR="002D7F3B" w:rsidRPr="002D7F3B">
        <w:rPr>
          <w:rFonts w:ascii="Arial" w:hAnsi="Arial" w:cs="Arial"/>
          <w:sz w:val="24"/>
          <w:szCs w:val="24"/>
        </w:rPr>
        <w:t> </w:t>
      </w:r>
    </w:p>
    <w:p w14:paraId="6428FDDC" w14:textId="4CC1ABB0" w:rsidR="002D7F3B" w:rsidRPr="002D7F3B" w:rsidRDefault="009E3284" w:rsidP="00AB5F46">
      <w:pPr>
        <w:widowControl w:val="0"/>
        <w:numPr>
          <w:ilvl w:val="0"/>
          <w:numId w:val="88"/>
        </w:numPr>
        <w:tabs>
          <w:tab w:val="left" w:pos="828"/>
        </w:tabs>
        <w:suppressAutoHyphens w:val="0"/>
        <w:autoSpaceDE w:val="0"/>
        <w:autoSpaceDN w:val="0"/>
        <w:spacing w:after="0"/>
        <w:jc w:val="both"/>
        <w:rPr>
          <w:rFonts w:ascii="Arial" w:hAnsi="Arial" w:cs="Arial"/>
          <w:sz w:val="24"/>
          <w:szCs w:val="24"/>
        </w:rPr>
      </w:pPr>
      <w:r>
        <w:rPr>
          <w:rFonts w:ascii="Arial" w:hAnsi="Arial" w:cs="Arial"/>
          <w:sz w:val="24"/>
          <w:szCs w:val="24"/>
          <w:lang w:val="es-ES"/>
        </w:rPr>
        <w:t>La m</w:t>
      </w:r>
      <w:r w:rsidR="002D7F3B" w:rsidRPr="002D7F3B">
        <w:rPr>
          <w:rFonts w:ascii="Arial" w:hAnsi="Arial" w:cs="Arial"/>
          <w:sz w:val="24"/>
          <w:szCs w:val="24"/>
          <w:lang w:val="es-ES"/>
        </w:rPr>
        <w:t>atriz de evaluación de riesgos (baja, media, alta) basada en la probabilidad de impacto.</w:t>
      </w:r>
      <w:r w:rsidR="002D7F3B" w:rsidRPr="002D7F3B">
        <w:rPr>
          <w:rFonts w:ascii="Arial" w:hAnsi="Arial" w:cs="Arial"/>
          <w:sz w:val="24"/>
          <w:szCs w:val="24"/>
        </w:rPr>
        <w:t> </w:t>
      </w:r>
    </w:p>
    <w:p w14:paraId="76F6E105" w14:textId="5C074759" w:rsidR="002D7F3B" w:rsidRPr="002D7F3B" w:rsidRDefault="009E3284" w:rsidP="00AB5F46">
      <w:pPr>
        <w:widowControl w:val="0"/>
        <w:numPr>
          <w:ilvl w:val="0"/>
          <w:numId w:val="88"/>
        </w:numPr>
        <w:tabs>
          <w:tab w:val="left" w:pos="828"/>
        </w:tabs>
        <w:suppressAutoHyphens w:val="0"/>
        <w:autoSpaceDE w:val="0"/>
        <w:autoSpaceDN w:val="0"/>
        <w:spacing w:after="0"/>
        <w:jc w:val="both"/>
        <w:rPr>
          <w:rFonts w:ascii="Arial" w:hAnsi="Arial" w:cs="Arial"/>
          <w:sz w:val="24"/>
          <w:szCs w:val="24"/>
        </w:rPr>
      </w:pPr>
      <w:r>
        <w:rPr>
          <w:rFonts w:ascii="Arial" w:hAnsi="Arial" w:cs="Arial"/>
          <w:sz w:val="24"/>
          <w:szCs w:val="24"/>
          <w:lang w:val="es-ES"/>
        </w:rPr>
        <w:t>El a</w:t>
      </w:r>
      <w:r w:rsidR="002D7F3B" w:rsidRPr="002D7F3B">
        <w:rPr>
          <w:rFonts w:ascii="Arial" w:hAnsi="Arial" w:cs="Arial"/>
          <w:sz w:val="24"/>
          <w:szCs w:val="24"/>
          <w:lang w:val="es-ES"/>
        </w:rPr>
        <w:t>nálisis cualitativo y cuantitativo con el uso de metodologías para evaluar los riesgos en términos económicos y de seguridad.</w:t>
      </w:r>
      <w:r w:rsidR="002D7F3B" w:rsidRPr="002D7F3B">
        <w:rPr>
          <w:rFonts w:ascii="Arial" w:hAnsi="Arial" w:cs="Arial"/>
          <w:sz w:val="24"/>
          <w:szCs w:val="24"/>
        </w:rPr>
        <w:t> </w:t>
      </w:r>
    </w:p>
    <w:p w14:paraId="24D6C651" w14:textId="77777777" w:rsidR="003026A4" w:rsidRDefault="002D7F3B" w:rsidP="00AB5F46">
      <w:pPr>
        <w:widowControl w:val="0"/>
        <w:numPr>
          <w:ilvl w:val="0"/>
          <w:numId w:val="84"/>
        </w:numPr>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Análisis y certificación de selección de la mejor alternativa: El estructurador del proyecto deberá presentar el análisis de alternativas correspondiente y certificar que la opción propuesta constituye la mejor solución para atender el problema identificado, conforme a criterios técnicos, económicos, sociales y ambientales debidamente sustentados. </w:t>
      </w:r>
    </w:p>
    <w:p w14:paraId="6BADE91D" w14:textId="77777777" w:rsidR="00D46D65" w:rsidRDefault="002D7F3B" w:rsidP="00AB5F46">
      <w:pPr>
        <w:widowControl w:val="0"/>
        <w:tabs>
          <w:tab w:val="left" w:pos="828"/>
        </w:tabs>
        <w:suppressAutoHyphens w:val="0"/>
        <w:autoSpaceDE w:val="0"/>
        <w:autoSpaceDN w:val="0"/>
        <w:spacing w:before="252" w:after="0"/>
        <w:ind w:left="720"/>
        <w:jc w:val="both"/>
        <w:rPr>
          <w:rFonts w:ascii="Arial" w:hAnsi="Arial" w:cs="Arial"/>
          <w:sz w:val="24"/>
          <w:szCs w:val="24"/>
        </w:rPr>
      </w:pPr>
      <w:r w:rsidRPr="002D7F3B">
        <w:rPr>
          <w:rFonts w:ascii="Arial" w:hAnsi="Arial" w:cs="Arial"/>
          <w:sz w:val="24"/>
          <w:szCs w:val="24"/>
        </w:rPr>
        <w:t xml:space="preserve">El análisis deberá contemplar, como mínimo, la evaluación comparativa de </w:t>
      </w:r>
      <w:r w:rsidR="00A6152A">
        <w:rPr>
          <w:rFonts w:ascii="Arial" w:hAnsi="Arial" w:cs="Arial"/>
          <w:sz w:val="24"/>
          <w:szCs w:val="24"/>
        </w:rPr>
        <w:t>tres</w:t>
      </w:r>
      <w:r w:rsidRPr="002D7F3B">
        <w:rPr>
          <w:rFonts w:ascii="Arial" w:hAnsi="Arial" w:cs="Arial"/>
          <w:sz w:val="24"/>
          <w:szCs w:val="24"/>
        </w:rPr>
        <w:t xml:space="preserve"> (</w:t>
      </w:r>
      <w:r w:rsidR="00A6152A">
        <w:rPr>
          <w:rFonts w:ascii="Arial" w:hAnsi="Arial" w:cs="Arial"/>
          <w:sz w:val="24"/>
          <w:szCs w:val="24"/>
        </w:rPr>
        <w:t>3</w:t>
      </w:r>
      <w:r w:rsidRPr="002D7F3B">
        <w:rPr>
          <w:rFonts w:ascii="Arial" w:hAnsi="Arial" w:cs="Arial"/>
          <w:sz w:val="24"/>
          <w:szCs w:val="24"/>
        </w:rPr>
        <w:t>) alternativas, en las que se identifiquen y desarrollen las variables determinantes para la selección de la opción más conveniente, de acuerdo con la tipología del proyecto. </w:t>
      </w:r>
    </w:p>
    <w:p w14:paraId="6455CD6F" w14:textId="442CD352" w:rsidR="002D7F3B" w:rsidRPr="002D7F3B" w:rsidRDefault="002D7F3B" w:rsidP="00AB5F46">
      <w:pPr>
        <w:widowControl w:val="0"/>
        <w:tabs>
          <w:tab w:val="left" w:pos="828"/>
        </w:tabs>
        <w:suppressAutoHyphens w:val="0"/>
        <w:autoSpaceDE w:val="0"/>
        <w:autoSpaceDN w:val="0"/>
        <w:spacing w:before="252" w:after="0"/>
        <w:ind w:left="720"/>
        <w:jc w:val="both"/>
        <w:rPr>
          <w:rFonts w:ascii="Arial" w:hAnsi="Arial" w:cs="Arial"/>
          <w:sz w:val="24"/>
          <w:szCs w:val="24"/>
        </w:rPr>
      </w:pPr>
      <w:r w:rsidRPr="002D7F3B">
        <w:rPr>
          <w:rFonts w:ascii="Arial" w:hAnsi="Arial" w:cs="Arial"/>
          <w:sz w:val="24"/>
          <w:szCs w:val="24"/>
        </w:rPr>
        <w:t xml:space="preserve">Entre los criterios a considerar, según corresponda, se podrá incluir: distancia de los usuarios respecto a las redes del STR o SDL y su nivel de dispersión, costo nivelado de energía (LCOE), variables sociales y ambientales, condiciones de operación y mantenimiento, y un horizonte mínimo de evaluación asociado a una vida útil no inferior a </w:t>
      </w:r>
      <w:r w:rsidR="00D46D65">
        <w:rPr>
          <w:rFonts w:ascii="Arial" w:hAnsi="Arial" w:cs="Arial"/>
          <w:sz w:val="24"/>
          <w:szCs w:val="24"/>
        </w:rPr>
        <w:t>diez</w:t>
      </w:r>
      <w:r w:rsidRPr="002D7F3B">
        <w:rPr>
          <w:rFonts w:ascii="Arial" w:hAnsi="Arial" w:cs="Arial"/>
          <w:sz w:val="24"/>
          <w:szCs w:val="24"/>
        </w:rPr>
        <w:t xml:space="preserve"> (1</w:t>
      </w:r>
      <w:r w:rsidR="00614B9F">
        <w:rPr>
          <w:rFonts w:ascii="Arial" w:hAnsi="Arial" w:cs="Arial"/>
          <w:sz w:val="24"/>
          <w:szCs w:val="24"/>
        </w:rPr>
        <w:t>0</w:t>
      </w:r>
      <w:r w:rsidRPr="002D7F3B">
        <w:rPr>
          <w:rFonts w:ascii="Arial" w:hAnsi="Arial" w:cs="Arial"/>
          <w:sz w:val="24"/>
          <w:szCs w:val="24"/>
        </w:rPr>
        <w:t>) años</w:t>
      </w:r>
      <w:r w:rsidR="00614B9F">
        <w:rPr>
          <w:rFonts w:ascii="Arial" w:hAnsi="Arial" w:cs="Arial"/>
          <w:sz w:val="24"/>
          <w:szCs w:val="24"/>
        </w:rPr>
        <w:t xml:space="preserve"> para el caso de </w:t>
      </w:r>
      <w:r w:rsidR="00B74B5B">
        <w:rPr>
          <w:rFonts w:ascii="Arial" w:hAnsi="Arial" w:cs="Arial"/>
          <w:sz w:val="24"/>
          <w:szCs w:val="24"/>
        </w:rPr>
        <w:t xml:space="preserve">soluciones energéticas individuales </w:t>
      </w:r>
      <w:r w:rsidR="00F566BA">
        <w:rPr>
          <w:rFonts w:ascii="Arial" w:hAnsi="Arial" w:cs="Arial"/>
          <w:sz w:val="24"/>
          <w:szCs w:val="24"/>
        </w:rPr>
        <w:t>o veinte (20) años para otro tipo de proyectos</w:t>
      </w:r>
      <w:r w:rsidRPr="002D7F3B">
        <w:rPr>
          <w:rFonts w:ascii="Arial" w:hAnsi="Arial" w:cs="Arial"/>
          <w:sz w:val="24"/>
          <w:szCs w:val="24"/>
        </w:rPr>
        <w:t>, entre otros que resulten pertinentes. </w:t>
      </w:r>
    </w:p>
    <w:p w14:paraId="4AB704E6" w14:textId="16E93C2C" w:rsidR="002D7F3B" w:rsidRDefault="002D7F3B" w:rsidP="00AB5F46">
      <w:pPr>
        <w:widowControl w:val="0"/>
        <w:tabs>
          <w:tab w:val="left" w:pos="828"/>
        </w:tabs>
        <w:suppressAutoHyphens w:val="0"/>
        <w:autoSpaceDE w:val="0"/>
        <w:autoSpaceDN w:val="0"/>
        <w:spacing w:before="252" w:after="0"/>
        <w:jc w:val="both"/>
        <w:rPr>
          <w:rFonts w:ascii="Arial" w:hAnsi="Arial" w:cs="Arial"/>
          <w:sz w:val="24"/>
          <w:szCs w:val="24"/>
        </w:rPr>
      </w:pPr>
      <w:r w:rsidRPr="002D7F3B">
        <w:rPr>
          <w:rFonts w:ascii="Arial" w:hAnsi="Arial" w:cs="Arial"/>
          <w:sz w:val="24"/>
          <w:szCs w:val="24"/>
        </w:rPr>
        <w:t>En caso de que algún requisito no resulte aplicable según la naturaleza o alcance del proyecto, deberá indicarse expresamente que </w:t>
      </w:r>
      <w:r w:rsidRPr="002D7F3B">
        <w:rPr>
          <w:rFonts w:ascii="Arial" w:hAnsi="Arial" w:cs="Arial"/>
          <w:b/>
          <w:bCs/>
          <w:sz w:val="24"/>
          <w:szCs w:val="24"/>
        </w:rPr>
        <w:t>“NO APLICA”</w:t>
      </w:r>
      <w:r w:rsidR="00F566BA" w:rsidRPr="00F566BA">
        <w:rPr>
          <w:rFonts w:ascii="Arial" w:hAnsi="Arial" w:cs="Arial"/>
          <w:sz w:val="24"/>
          <w:szCs w:val="24"/>
        </w:rPr>
        <w:t xml:space="preserve"> incluyendo su respectiva justificación</w:t>
      </w:r>
      <w:r w:rsidRPr="002D7F3B">
        <w:rPr>
          <w:rFonts w:ascii="Arial" w:hAnsi="Arial" w:cs="Arial"/>
          <w:b/>
          <w:bCs/>
          <w:sz w:val="24"/>
          <w:szCs w:val="24"/>
        </w:rPr>
        <w:t>.</w:t>
      </w:r>
      <w:r w:rsidRPr="002D7F3B">
        <w:rPr>
          <w:rFonts w:ascii="Arial" w:hAnsi="Arial" w:cs="Arial"/>
          <w:sz w:val="24"/>
          <w:szCs w:val="24"/>
        </w:rPr>
        <w:t> </w:t>
      </w:r>
    </w:p>
    <w:p w14:paraId="0DA7A15E" w14:textId="77777777" w:rsidR="00CC3B76" w:rsidRDefault="00CC3B76" w:rsidP="00B03685">
      <w:pPr>
        <w:widowControl w:val="0"/>
        <w:tabs>
          <w:tab w:val="left" w:pos="828"/>
        </w:tabs>
        <w:suppressAutoHyphens w:val="0"/>
        <w:autoSpaceDE w:val="0"/>
        <w:autoSpaceDN w:val="0"/>
        <w:spacing w:before="252" w:after="0" w:line="240" w:lineRule="auto"/>
        <w:jc w:val="both"/>
        <w:rPr>
          <w:rFonts w:ascii="Arial" w:hAnsi="Arial" w:cs="Arial"/>
          <w:sz w:val="24"/>
          <w:szCs w:val="24"/>
        </w:rPr>
      </w:pPr>
    </w:p>
    <w:p w14:paraId="624B030A" w14:textId="71B30ED3" w:rsidR="00CC3B76" w:rsidRPr="009F4A4B" w:rsidRDefault="00192174" w:rsidP="009F4A4B">
      <w:pPr>
        <w:pStyle w:val="Ttulo6"/>
        <w:ind w:left="1152" w:hanging="1152"/>
        <w:rPr>
          <w:bCs/>
        </w:rPr>
      </w:pPr>
      <w:r w:rsidRPr="00682DFD">
        <w:rPr>
          <w:bCs/>
        </w:rPr>
        <w:lastRenderedPageBreak/>
        <w:t>III-2.</w:t>
      </w:r>
      <w:r w:rsidR="009E3284">
        <w:rPr>
          <w:bCs/>
        </w:rPr>
        <w:t>3</w:t>
      </w:r>
      <w:r w:rsidRPr="00682DFD">
        <w:rPr>
          <w:bCs/>
        </w:rPr>
        <w:t>.2.3</w:t>
      </w:r>
      <w:r w:rsidR="00682DFD" w:rsidRPr="00682DFD">
        <w:rPr>
          <w:bCs/>
        </w:rPr>
        <w:t xml:space="preserve"> </w:t>
      </w:r>
      <w:r w:rsidR="00CC3B76" w:rsidRPr="009F4A4B">
        <w:rPr>
          <w:bCs/>
        </w:rPr>
        <w:t>Documentación Financiera</w:t>
      </w:r>
    </w:p>
    <w:p w14:paraId="368656D0" w14:textId="77777777" w:rsidR="00192174" w:rsidRDefault="00192174" w:rsidP="000E6251">
      <w:pPr>
        <w:spacing w:after="0"/>
      </w:pPr>
    </w:p>
    <w:p w14:paraId="1705779C" w14:textId="4FEDF364" w:rsidR="00833028" w:rsidRDefault="002D1803" w:rsidP="000E6251">
      <w:pPr>
        <w:spacing w:after="0"/>
        <w:jc w:val="both"/>
        <w:rPr>
          <w:rFonts w:ascii="Arial" w:hAnsi="Arial" w:cs="Arial"/>
          <w:sz w:val="24"/>
          <w:szCs w:val="24"/>
        </w:rPr>
      </w:pPr>
      <w:r>
        <w:rPr>
          <w:rFonts w:ascii="Arial" w:hAnsi="Arial" w:cs="Arial"/>
          <w:sz w:val="24"/>
          <w:szCs w:val="24"/>
        </w:rPr>
        <w:t xml:space="preserve">El </w:t>
      </w:r>
      <w:r w:rsidR="00CC401B">
        <w:rPr>
          <w:rFonts w:ascii="Arial" w:hAnsi="Arial" w:cs="Arial"/>
          <w:sz w:val="24"/>
          <w:szCs w:val="24"/>
        </w:rPr>
        <w:t>p</w:t>
      </w:r>
      <w:r w:rsidR="3ED9EF5A" w:rsidRPr="00F23EDC">
        <w:rPr>
          <w:rFonts w:ascii="Arial" w:hAnsi="Arial" w:cs="Arial"/>
          <w:sz w:val="24"/>
          <w:szCs w:val="24"/>
        </w:rPr>
        <w:t>royecto</w:t>
      </w:r>
      <w:r w:rsidR="3ED9EF5A" w:rsidRPr="5D146CA7">
        <w:rPr>
          <w:rFonts w:ascii="Arial" w:hAnsi="Arial" w:cs="Arial"/>
          <w:sz w:val="24"/>
          <w:szCs w:val="24"/>
        </w:rPr>
        <w:t xml:space="preserve"> </w:t>
      </w:r>
      <w:r w:rsidR="00E8193E">
        <w:rPr>
          <w:rFonts w:ascii="Arial" w:hAnsi="Arial" w:cs="Arial"/>
          <w:sz w:val="24"/>
          <w:szCs w:val="24"/>
        </w:rPr>
        <w:t xml:space="preserve">deberá </w:t>
      </w:r>
      <w:r w:rsidR="3ED9EF5A" w:rsidRPr="00F23EDC">
        <w:rPr>
          <w:rFonts w:ascii="Arial" w:hAnsi="Arial" w:cs="Arial"/>
          <w:sz w:val="24"/>
          <w:szCs w:val="24"/>
        </w:rPr>
        <w:t>entrega</w:t>
      </w:r>
      <w:r w:rsidR="00E8193E">
        <w:rPr>
          <w:rFonts w:ascii="Arial" w:hAnsi="Arial" w:cs="Arial"/>
          <w:sz w:val="24"/>
          <w:szCs w:val="24"/>
        </w:rPr>
        <w:t>rse</w:t>
      </w:r>
      <w:r w:rsidR="3ED9EF5A" w:rsidRPr="5D146CA7">
        <w:rPr>
          <w:rFonts w:ascii="Arial" w:hAnsi="Arial" w:cs="Arial"/>
          <w:sz w:val="24"/>
          <w:szCs w:val="24"/>
        </w:rPr>
        <w:t xml:space="preserve"> conforme a la </w:t>
      </w:r>
      <w:r w:rsidR="3ED9EF5A" w:rsidRPr="0032180E">
        <w:rPr>
          <w:rFonts w:ascii="Arial" w:hAnsi="Arial" w:cs="Arial"/>
          <w:b/>
          <w:sz w:val="24"/>
          <w:szCs w:val="24"/>
        </w:rPr>
        <w:t>Metodología General Ajustada (MGA)</w:t>
      </w:r>
      <w:r w:rsidR="00BE39F9" w:rsidRPr="5D146CA7">
        <w:rPr>
          <w:rFonts w:ascii="Arial" w:hAnsi="Arial" w:cs="Arial"/>
          <w:sz w:val="24"/>
          <w:szCs w:val="24"/>
        </w:rPr>
        <w:t xml:space="preserve"> adoptada por el DNP</w:t>
      </w:r>
      <w:r w:rsidR="3ED9EF5A" w:rsidRPr="5D146CA7">
        <w:rPr>
          <w:rFonts w:ascii="Arial" w:hAnsi="Arial" w:cs="Arial"/>
          <w:sz w:val="24"/>
          <w:szCs w:val="24"/>
        </w:rPr>
        <w:t xml:space="preserve">, </w:t>
      </w:r>
      <w:r w:rsidR="00C5758C">
        <w:rPr>
          <w:rFonts w:ascii="Arial" w:hAnsi="Arial" w:cs="Arial"/>
          <w:sz w:val="24"/>
          <w:szCs w:val="24"/>
        </w:rPr>
        <w:t>de modo que</w:t>
      </w:r>
      <w:r w:rsidR="3ED9EF5A" w:rsidRPr="5D146CA7">
        <w:rPr>
          <w:rFonts w:ascii="Arial" w:hAnsi="Arial" w:cs="Arial"/>
          <w:sz w:val="24"/>
          <w:szCs w:val="24"/>
        </w:rPr>
        <w:t xml:space="preserve"> los valores registrados en la cadena de valor coincidan con las subactividades presentadas en el presupuesto general</w:t>
      </w:r>
      <w:r w:rsidR="7C22E3AD" w:rsidRPr="5D146CA7">
        <w:rPr>
          <w:rFonts w:ascii="Arial" w:hAnsi="Arial" w:cs="Arial"/>
          <w:sz w:val="24"/>
          <w:szCs w:val="24"/>
        </w:rPr>
        <w:t>, l</w:t>
      </w:r>
      <w:r w:rsidR="3ED9EF5A" w:rsidRPr="5D146CA7">
        <w:rPr>
          <w:rFonts w:ascii="Arial" w:hAnsi="Arial" w:cs="Arial"/>
          <w:sz w:val="24"/>
          <w:szCs w:val="24"/>
        </w:rPr>
        <w:t xml:space="preserve">a </w:t>
      </w:r>
      <w:r w:rsidR="0D6943DC" w:rsidRPr="5D146CA7">
        <w:rPr>
          <w:rFonts w:ascii="Arial" w:hAnsi="Arial" w:cs="Arial"/>
          <w:sz w:val="24"/>
          <w:szCs w:val="24"/>
        </w:rPr>
        <w:t>cual</w:t>
      </w:r>
      <w:r w:rsidR="3ED9EF5A" w:rsidRPr="5D146CA7">
        <w:rPr>
          <w:rFonts w:ascii="Arial" w:hAnsi="Arial" w:cs="Arial"/>
          <w:sz w:val="24"/>
          <w:szCs w:val="24"/>
        </w:rPr>
        <w:t xml:space="preserve"> deberá ser concordante con los demás documentos exigidos en el presente </w:t>
      </w:r>
      <w:r w:rsidR="009E3284">
        <w:rPr>
          <w:rFonts w:ascii="Arial" w:hAnsi="Arial" w:cs="Arial"/>
          <w:sz w:val="24"/>
          <w:szCs w:val="24"/>
        </w:rPr>
        <w:t>M</w:t>
      </w:r>
      <w:r w:rsidR="3ED9EF5A" w:rsidRPr="5D146CA7">
        <w:rPr>
          <w:rFonts w:ascii="Arial" w:hAnsi="Arial" w:cs="Arial"/>
          <w:sz w:val="24"/>
          <w:szCs w:val="24"/>
        </w:rPr>
        <w:t>anual.</w:t>
      </w:r>
    </w:p>
    <w:p w14:paraId="224A366F" w14:textId="1BA7FF9A" w:rsidR="00312454" w:rsidRPr="0025042F" w:rsidRDefault="3ED9EF5A" w:rsidP="000E6251">
      <w:pPr>
        <w:spacing w:after="0"/>
        <w:jc w:val="both"/>
        <w:rPr>
          <w:rFonts w:ascii="Arial" w:hAnsi="Arial" w:cs="Arial"/>
          <w:sz w:val="24"/>
          <w:szCs w:val="24"/>
        </w:rPr>
      </w:pPr>
      <w:r w:rsidRPr="5D146CA7">
        <w:rPr>
          <w:rFonts w:ascii="Arial" w:hAnsi="Arial" w:cs="Arial"/>
          <w:sz w:val="24"/>
          <w:szCs w:val="24"/>
        </w:rPr>
        <w:t> </w:t>
      </w:r>
    </w:p>
    <w:p w14:paraId="44F40AD7" w14:textId="01C052F3" w:rsidR="00534453" w:rsidRPr="00DB6142" w:rsidRDefault="00EB7452" w:rsidP="00DB6142">
      <w:pPr>
        <w:pStyle w:val="Ttulo6"/>
        <w:ind w:left="1152" w:hanging="1152"/>
        <w:rPr>
          <w:bCs/>
        </w:rPr>
      </w:pPr>
      <w:r w:rsidRPr="00DB6142">
        <w:rPr>
          <w:bCs/>
        </w:rPr>
        <w:t>III-2.</w:t>
      </w:r>
      <w:r w:rsidR="009E3284">
        <w:rPr>
          <w:bCs/>
        </w:rPr>
        <w:t>3</w:t>
      </w:r>
      <w:r w:rsidRPr="00DB6142">
        <w:rPr>
          <w:bCs/>
        </w:rPr>
        <w:t xml:space="preserve">.2.3.1 </w:t>
      </w:r>
      <w:r w:rsidR="5331EA93" w:rsidRPr="00DB6142">
        <w:rPr>
          <w:bCs/>
        </w:rPr>
        <w:t xml:space="preserve">Análisis de </w:t>
      </w:r>
      <w:r w:rsidR="25AEDCCA" w:rsidRPr="00DB6142">
        <w:rPr>
          <w:bCs/>
        </w:rPr>
        <w:t>Costo</w:t>
      </w:r>
      <w:r w:rsidR="5331EA93" w:rsidRPr="00DB6142">
        <w:rPr>
          <w:bCs/>
        </w:rPr>
        <w:t>s y Presupuesto</w:t>
      </w:r>
    </w:p>
    <w:p w14:paraId="497332CD" w14:textId="77777777" w:rsidR="00EB7452" w:rsidRPr="00EB7452" w:rsidRDefault="00EB7452" w:rsidP="00EB7452">
      <w:pPr>
        <w:spacing w:after="0"/>
        <w:jc w:val="both"/>
        <w:rPr>
          <w:rFonts w:ascii="Arial" w:hAnsi="Arial" w:cs="Arial"/>
          <w:b/>
          <w:bCs/>
          <w:sz w:val="24"/>
          <w:szCs w:val="24"/>
        </w:rPr>
      </w:pPr>
    </w:p>
    <w:p w14:paraId="2895AC64" w14:textId="13E4633C" w:rsidR="004078CF" w:rsidRDefault="004078CF" w:rsidP="00810DFA">
      <w:pPr>
        <w:spacing w:after="0"/>
        <w:jc w:val="both"/>
        <w:rPr>
          <w:rFonts w:ascii="Arial" w:hAnsi="Arial" w:cs="Arial"/>
          <w:sz w:val="24"/>
          <w:szCs w:val="24"/>
        </w:rPr>
      </w:pPr>
      <w:r w:rsidRPr="004078CF">
        <w:rPr>
          <w:rFonts w:ascii="Arial" w:hAnsi="Arial" w:cs="Arial"/>
          <w:sz w:val="24"/>
          <w:szCs w:val="24"/>
        </w:rPr>
        <w:t>Se debe presentar el presupuesto general y el Análisis de Precios Unitarios (APU), en el cual se desglosen los ítems, actividades y demás componentes correspondientes (Equipo, herramientas, materiales, mano de obra y transporte). Así mismo se tendrán en cuenta los siguientes requerimientos: </w:t>
      </w:r>
    </w:p>
    <w:p w14:paraId="5376520A" w14:textId="77777777" w:rsidR="009E3284" w:rsidRPr="004078CF" w:rsidRDefault="009E3284" w:rsidP="009E3284">
      <w:pPr>
        <w:spacing w:after="0"/>
        <w:ind w:left="720"/>
        <w:jc w:val="both"/>
        <w:rPr>
          <w:rFonts w:ascii="Arial" w:hAnsi="Arial" w:cs="Arial"/>
          <w:sz w:val="24"/>
          <w:szCs w:val="24"/>
        </w:rPr>
      </w:pPr>
    </w:p>
    <w:p w14:paraId="110332B3"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El tipo de cable, transformadores, sistemas de generación y/o demás elementos de la solución debe estar especificado en los planos y coincidir con lo presentado en la memoria de cálculo. </w:t>
      </w:r>
    </w:p>
    <w:p w14:paraId="42BCC39C"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Debe existir relación técnica y coherencia de cantidades, así como los precios ajustados a precios del mercado según la ejecución del proyecto. </w:t>
      </w:r>
    </w:p>
    <w:p w14:paraId="5EA9158E"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Los sistemas de medición y el plan de acción de responsabilidad social deben desagregarse como ítem de actividades. </w:t>
      </w:r>
    </w:p>
    <w:p w14:paraId="17ACD948"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Los valores de cada APU deben coincidir con el presupuesto general. </w:t>
      </w:r>
    </w:p>
    <w:p w14:paraId="3EA8BDD8" w14:textId="16D0D85B" w:rsidR="7F16BD29" w:rsidRDefault="7F16BD29" w:rsidP="00B320D0">
      <w:pPr>
        <w:numPr>
          <w:ilvl w:val="0"/>
          <w:numId w:val="90"/>
        </w:numPr>
        <w:spacing w:after="0"/>
        <w:jc w:val="both"/>
        <w:rPr>
          <w:rFonts w:ascii="Arial" w:hAnsi="Arial" w:cs="Arial"/>
          <w:sz w:val="24"/>
          <w:szCs w:val="24"/>
        </w:rPr>
      </w:pPr>
      <w:r w:rsidRPr="3B8C8C19">
        <w:rPr>
          <w:rFonts w:ascii="Arial" w:hAnsi="Arial" w:cs="Arial"/>
          <w:sz w:val="24"/>
          <w:szCs w:val="24"/>
        </w:rPr>
        <w:t>La suma de los porcentajes de Administración, Imprevistos y Utilidad (AIU), no debe ser mayor al 25%</w:t>
      </w:r>
      <w:r w:rsidR="12635FDF" w:rsidRPr="3B8C8C19">
        <w:rPr>
          <w:rFonts w:ascii="Arial" w:hAnsi="Arial" w:cs="Arial"/>
          <w:sz w:val="24"/>
          <w:szCs w:val="24"/>
        </w:rPr>
        <w:t xml:space="preserve"> de los costos directos del proyecto</w:t>
      </w:r>
      <w:r w:rsidRPr="3B8C8C19">
        <w:rPr>
          <w:rFonts w:ascii="Arial" w:hAnsi="Arial" w:cs="Arial"/>
          <w:sz w:val="24"/>
          <w:szCs w:val="24"/>
        </w:rPr>
        <w:t> y debe guardar congruencia con el tipo de proyecto estructurado y dispersión de usuarios. </w:t>
      </w:r>
    </w:p>
    <w:p w14:paraId="0A3AD61D"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El porcentaje de servicio RETIE no debe ser mayor al 2% del valor total de los costos directos del proyecto. </w:t>
      </w:r>
    </w:p>
    <w:p w14:paraId="0E34BD93"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El plan de acción de responsabilidad social no debe ser superior al 3%, el cual está incluido dentro del valor total del proyecto. </w:t>
      </w:r>
    </w:p>
    <w:p w14:paraId="18597C3C"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El valor del proyecto indicando las actividades a ejecutar, AIU, y análisis de precios unitarios deberán presentarse en números enteros. </w:t>
      </w:r>
    </w:p>
    <w:p w14:paraId="3BFFB661" w14:textId="77777777" w:rsidR="004078CF" w:rsidRP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El valor de la interventoría el cual será hasta el 7% de los costos directos. </w:t>
      </w:r>
    </w:p>
    <w:p w14:paraId="5C048400" w14:textId="77777777" w:rsidR="004078CF" w:rsidRDefault="004078CF" w:rsidP="00B320D0">
      <w:pPr>
        <w:numPr>
          <w:ilvl w:val="0"/>
          <w:numId w:val="90"/>
        </w:numPr>
        <w:spacing w:after="0"/>
        <w:jc w:val="both"/>
        <w:rPr>
          <w:rFonts w:ascii="Arial" w:hAnsi="Arial" w:cs="Arial"/>
          <w:sz w:val="24"/>
          <w:szCs w:val="24"/>
        </w:rPr>
      </w:pPr>
      <w:r w:rsidRPr="004078CF">
        <w:rPr>
          <w:rFonts w:ascii="Arial" w:hAnsi="Arial" w:cs="Arial"/>
          <w:sz w:val="24"/>
          <w:szCs w:val="24"/>
        </w:rPr>
        <w:t>Se deberá consignar la información relacionada con el número de familias beneficiadas con el proyecto, especificando cuales corresponden a suscriptores potenciales (nuevos) y cuáles son usuarios que cuentan con el servicio de energía eléctrica. </w:t>
      </w:r>
    </w:p>
    <w:p w14:paraId="06C507BA" w14:textId="3B2DC664" w:rsidR="00535E81" w:rsidRPr="004078CF" w:rsidRDefault="00535E81" w:rsidP="00B320D0">
      <w:pPr>
        <w:numPr>
          <w:ilvl w:val="0"/>
          <w:numId w:val="90"/>
        </w:numPr>
        <w:spacing w:after="0"/>
        <w:jc w:val="both"/>
        <w:rPr>
          <w:rFonts w:ascii="Arial" w:hAnsi="Arial" w:cs="Arial"/>
          <w:sz w:val="24"/>
          <w:szCs w:val="24"/>
        </w:rPr>
      </w:pPr>
      <w:r w:rsidRPr="00535E81">
        <w:rPr>
          <w:rFonts w:ascii="Arial" w:hAnsi="Arial" w:cs="Arial"/>
          <w:sz w:val="24"/>
          <w:szCs w:val="24"/>
        </w:rPr>
        <w:t>En el evento en el que se presenten proyectos de generación en ZNI, se debe incluir los costos de los equipos de medición inteligente, la plataforma de gestión (recaudo), entre otros equipos, necesarios para garantizar la calidad y continuidad del servicio de energía (si aplica). </w:t>
      </w:r>
    </w:p>
    <w:p w14:paraId="2DA262EA" w14:textId="06CD3625" w:rsidR="00D272D3" w:rsidRPr="00D272D3" w:rsidRDefault="00D272D3" w:rsidP="00AB5F46">
      <w:pPr>
        <w:widowControl w:val="0"/>
        <w:tabs>
          <w:tab w:val="left" w:pos="828"/>
        </w:tabs>
        <w:suppressAutoHyphens w:val="0"/>
        <w:autoSpaceDE w:val="0"/>
        <w:autoSpaceDN w:val="0"/>
        <w:spacing w:before="252" w:after="0"/>
        <w:jc w:val="both"/>
        <w:rPr>
          <w:rFonts w:ascii="Arial" w:hAnsi="Arial" w:cs="Arial"/>
          <w:sz w:val="24"/>
          <w:szCs w:val="24"/>
        </w:rPr>
      </w:pPr>
      <w:r w:rsidRPr="00D272D3">
        <w:rPr>
          <w:rFonts w:ascii="Arial" w:hAnsi="Arial" w:cs="Arial"/>
          <w:b/>
          <w:bCs/>
          <w:sz w:val="24"/>
          <w:szCs w:val="24"/>
        </w:rPr>
        <w:t>Nota</w:t>
      </w:r>
      <w:r w:rsidR="00B579B9">
        <w:rPr>
          <w:rFonts w:ascii="Arial" w:hAnsi="Arial" w:cs="Arial"/>
          <w:b/>
          <w:bCs/>
          <w:sz w:val="24"/>
          <w:szCs w:val="24"/>
        </w:rPr>
        <w:t xml:space="preserve"> Especial</w:t>
      </w:r>
      <w:r w:rsidR="007F38BB">
        <w:rPr>
          <w:rFonts w:ascii="Arial" w:hAnsi="Arial" w:cs="Arial"/>
          <w:b/>
          <w:bCs/>
          <w:sz w:val="24"/>
          <w:szCs w:val="24"/>
        </w:rPr>
        <w:t xml:space="preserve"> 5</w:t>
      </w:r>
      <w:r w:rsidRPr="00D272D3">
        <w:rPr>
          <w:rFonts w:ascii="Arial" w:hAnsi="Arial" w:cs="Arial"/>
          <w:b/>
          <w:bCs/>
          <w:sz w:val="24"/>
          <w:szCs w:val="24"/>
        </w:rPr>
        <w:t>: </w:t>
      </w:r>
      <w:r w:rsidRPr="00D272D3">
        <w:rPr>
          <w:rFonts w:ascii="Arial" w:hAnsi="Arial" w:cs="Arial"/>
          <w:sz w:val="24"/>
          <w:szCs w:val="24"/>
        </w:rPr>
        <w:t xml:space="preserve">Los valores de los materiales, mano de obra, equipos y herramientas deberán ser soportados con el estudio de mercado adelantado por el </w:t>
      </w:r>
      <w:r w:rsidR="009E3284">
        <w:rPr>
          <w:rFonts w:ascii="Arial" w:hAnsi="Arial" w:cs="Arial"/>
          <w:sz w:val="24"/>
          <w:szCs w:val="24"/>
        </w:rPr>
        <w:t>Estructurador</w:t>
      </w:r>
      <w:r w:rsidRPr="00D272D3">
        <w:rPr>
          <w:rFonts w:ascii="Arial" w:hAnsi="Arial" w:cs="Arial"/>
          <w:sz w:val="24"/>
          <w:szCs w:val="24"/>
        </w:rPr>
        <w:t xml:space="preserve"> para los precios referidos. </w:t>
      </w:r>
    </w:p>
    <w:p w14:paraId="1D7065DE" w14:textId="77777777" w:rsidR="00AB5F46" w:rsidRDefault="00AB5F46" w:rsidP="00AB5F46">
      <w:pPr>
        <w:widowControl w:val="0"/>
        <w:tabs>
          <w:tab w:val="left" w:pos="828"/>
        </w:tabs>
        <w:suppressAutoHyphens w:val="0"/>
        <w:autoSpaceDE w:val="0"/>
        <w:autoSpaceDN w:val="0"/>
        <w:spacing w:after="0"/>
        <w:jc w:val="both"/>
        <w:rPr>
          <w:rFonts w:ascii="Arial" w:hAnsi="Arial" w:cs="Arial"/>
          <w:sz w:val="24"/>
          <w:szCs w:val="24"/>
        </w:rPr>
      </w:pPr>
    </w:p>
    <w:p w14:paraId="50F09538" w14:textId="3A9C68E1" w:rsidR="002B0662" w:rsidRPr="00D272D3" w:rsidRDefault="00D272D3" w:rsidP="00AB5F46">
      <w:pPr>
        <w:widowControl w:val="0"/>
        <w:tabs>
          <w:tab w:val="left" w:pos="828"/>
        </w:tabs>
        <w:suppressAutoHyphens w:val="0"/>
        <w:autoSpaceDE w:val="0"/>
        <w:autoSpaceDN w:val="0"/>
        <w:spacing w:after="0"/>
        <w:jc w:val="both"/>
        <w:rPr>
          <w:rFonts w:ascii="Arial" w:hAnsi="Arial" w:cs="Arial"/>
          <w:sz w:val="24"/>
          <w:szCs w:val="24"/>
        </w:rPr>
      </w:pPr>
      <w:r w:rsidRPr="00D272D3">
        <w:rPr>
          <w:rFonts w:ascii="Arial" w:hAnsi="Arial" w:cs="Arial"/>
          <w:sz w:val="24"/>
          <w:szCs w:val="24"/>
        </w:rPr>
        <w:t>En los archivos digitales presentados se debe incluir el presupuesto en formato Excel editable (formulado) y PDF firmado. </w:t>
      </w:r>
    </w:p>
    <w:p w14:paraId="394F454B" w14:textId="77777777" w:rsidR="007F38BB" w:rsidRPr="00D272D3" w:rsidRDefault="007F38BB" w:rsidP="00810DFA">
      <w:pPr>
        <w:widowControl w:val="0"/>
        <w:tabs>
          <w:tab w:val="left" w:pos="828"/>
        </w:tabs>
        <w:suppressAutoHyphens w:val="0"/>
        <w:autoSpaceDE w:val="0"/>
        <w:autoSpaceDN w:val="0"/>
        <w:spacing w:after="0" w:line="240" w:lineRule="auto"/>
        <w:jc w:val="both"/>
        <w:rPr>
          <w:rFonts w:ascii="Arial" w:hAnsi="Arial" w:cs="Arial"/>
          <w:sz w:val="24"/>
          <w:szCs w:val="24"/>
        </w:rPr>
      </w:pPr>
    </w:p>
    <w:p w14:paraId="23AEBF87" w14:textId="2FA80F24" w:rsidR="002B0662" w:rsidRDefault="00810DFA" w:rsidP="00810DFA">
      <w:pPr>
        <w:pStyle w:val="Ttulo7"/>
      </w:pPr>
      <w:r w:rsidRPr="00810DFA">
        <w:lastRenderedPageBreak/>
        <w:t>III-2.3.2.3.1</w:t>
      </w:r>
      <w:r>
        <w:t>.1</w:t>
      </w:r>
      <w:r w:rsidRPr="00810DFA">
        <w:t xml:space="preserve"> </w:t>
      </w:r>
      <w:r w:rsidR="00D272D3" w:rsidRPr="00D272D3">
        <w:t xml:space="preserve">Estructura </w:t>
      </w:r>
      <w:r w:rsidR="00D272D3" w:rsidRPr="00810DFA">
        <w:t>del</w:t>
      </w:r>
      <w:r w:rsidR="00D272D3" w:rsidRPr="00D272D3">
        <w:t xml:space="preserve"> presupuesto: </w:t>
      </w:r>
    </w:p>
    <w:p w14:paraId="65FA9AF0" w14:textId="77777777" w:rsidR="002B0662" w:rsidRPr="002B0662" w:rsidRDefault="002B0662" w:rsidP="00810DFA">
      <w:pPr>
        <w:widowControl w:val="0"/>
        <w:tabs>
          <w:tab w:val="left" w:pos="828"/>
        </w:tabs>
        <w:suppressAutoHyphens w:val="0"/>
        <w:autoSpaceDE w:val="0"/>
        <w:autoSpaceDN w:val="0"/>
        <w:spacing w:after="0" w:line="240" w:lineRule="auto"/>
        <w:jc w:val="both"/>
        <w:rPr>
          <w:rFonts w:ascii="Arial" w:hAnsi="Arial" w:cs="Arial"/>
          <w:sz w:val="24"/>
          <w:szCs w:val="24"/>
        </w:rPr>
      </w:pPr>
    </w:p>
    <w:p w14:paraId="6D6C6787" w14:textId="01F66E85" w:rsidR="00D272D3" w:rsidRPr="00D272D3" w:rsidRDefault="00D272D3" w:rsidP="00AB5F46">
      <w:pPr>
        <w:widowControl w:val="0"/>
        <w:tabs>
          <w:tab w:val="left" w:pos="828"/>
        </w:tabs>
        <w:suppressAutoHyphens w:val="0"/>
        <w:autoSpaceDE w:val="0"/>
        <w:autoSpaceDN w:val="0"/>
        <w:spacing w:after="0"/>
        <w:jc w:val="both"/>
        <w:rPr>
          <w:rFonts w:ascii="Arial" w:hAnsi="Arial" w:cs="Arial"/>
          <w:sz w:val="24"/>
          <w:szCs w:val="24"/>
        </w:rPr>
      </w:pPr>
      <w:r w:rsidRPr="00D272D3">
        <w:rPr>
          <w:rFonts w:ascii="Arial" w:hAnsi="Arial" w:cs="Arial"/>
          <w:sz w:val="24"/>
          <w:szCs w:val="24"/>
        </w:rPr>
        <w:t>La estructura del presupuesto deberá incluir actividades generales que permitan la determinación de subtotales, así como el desagregado de actividades específicas y detalladas, de acuerdo con la solución energética que se pretenda implementar. </w:t>
      </w:r>
    </w:p>
    <w:p w14:paraId="4DE9F0C8" w14:textId="0437A03A" w:rsidR="00810DFA" w:rsidRDefault="00D272D3" w:rsidP="00AB5F46">
      <w:pPr>
        <w:widowControl w:val="0"/>
        <w:tabs>
          <w:tab w:val="left" w:pos="828"/>
        </w:tabs>
        <w:suppressAutoHyphens w:val="0"/>
        <w:autoSpaceDE w:val="0"/>
        <w:autoSpaceDN w:val="0"/>
        <w:spacing w:before="252" w:after="0"/>
        <w:jc w:val="both"/>
        <w:rPr>
          <w:rFonts w:ascii="Arial" w:hAnsi="Arial" w:cs="Arial"/>
          <w:sz w:val="24"/>
          <w:szCs w:val="24"/>
        </w:rPr>
      </w:pPr>
      <w:r w:rsidRPr="00D272D3">
        <w:rPr>
          <w:rFonts w:ascii="Arial" w:hAnsi="Arial" w:cs="Arial"/>
          <w:sz w:val="24"/>
          <w:szCs w:val="24"/>
        </w:rPr>
        <w:t>Las actividades deben contener Numeración, Nombre de la actividad, unidad de medida, cantidad, valor unitario y valor total</w:t>
      </w:r>
      <w:r w:rsidR="00810DFA">
        <w:rPr>
          <w:rFonts w:ascii="Arial" w:hAnsi="Arial" w:cs="Arial"/>
          <w:sz w:val="24"/>
          <w:szCs w:val="24"/>
        </w:rPr>
        <w:t>.</w:t>
      </w:r>
    </w:p>
    <w:p w14:paraId="4552C7FB" w14:textId="77777777" w:rsidR="00810DFA" w:rsidRPr="00810DFA" w:rsidRDefault="00810DFA" w:rsidP="00810DFA">
      <w:pPr>
        <w:widowControl w:val="0"/>
        <w:tabs>
          <w:tab w:val="left" w:pos="828"/>
        </w:tabs>
        <w:suppressAutoHyphens w:val="0"/>
        <w:autoSpaceDE w:val="0"/>
        <w:autoSpaceDN w:val="0"/>
        <w:spacing w:before="252" w:after="0" w:line="240" w:lineRule="auto"/>
        <w:jc w:val="both"/>
        <w:rPr>
          <w:rFonts w:ascii="Arial" w:hAnsi="Arial" w:cs="Arial"/>
          <w:sz w:val="24"/>
          <w:szCs w:val="24"/>
        </w:rPr>
      </w:pPr>
    </w:p>
    <w:p w14:paraId="2D4C9081" w14:textId="316C549D" w:rsidR="00D272D3" w:rsidRPr="00D272D3" w:rsidRDefault="00810DFA" w:rsidP="00810DFA">
      <w:pPr>
        <w:pStyle w:val="Ttulo8"/>
      </w:pPr>
      <w:r w:rsidRPr="00810DFA">
        <w:t>III-2.3.2.3.1</w:t>
      </w:r>
      <w:r>
        <w:t xml:space="preserve">.1.1 </w:t>
      </w:r>
      <w:r w:rsidR="00D272D3" w:rsidRPr="00D272D3">
        <w:t>Análisis de Precios Unitarios (APU) </w:t>
      </w:r>
    </w:p>
    <w:p w14:paraId="6D506C6B" w14:textId="77777777" w:rsidR="00D272D3" w:rsidRPr="00D272D3" w:rsidRDefault="00D272D3" w:rsidP="00810DFA">
      <w:pPr>
        <w:widowControl w:val="0"/>
        <w:tabs>
          <w:tab w:val="left" w:pos="828"/>
        </w:tabs>
        <w:suppressAutoHyphens w:val="0"/>
        <w:autoSpaceDE w:val="0"/>
        <w:autoSpaceDN w:val="0"/>
        <w:spacing w:before="252" w:after="0" w:line="240" w:lineRule="auto"/>
        <w:jc w:val="both"/>
        <w:rPr>
          <w:rFonts w:ascii="Arial" w:hAnsi="Arial" w:cs="Arial"/>
          <w:sz w:val="24"/>
          <w:szCs w:val="24"/>
        </w:rPr>
      </w:pPr>
      <w:r w:rsidRPr="00D272D3">
        <w:rPr>
          <w:rFonts w:ascii="Arial" w:hAnsi="Arial" w:cs="Arial"/>
          <w:sz w:val="24"/>
          <w:szCs w:val="24"/>
        </w:rPr>
        <w:t>Cada actividad debe contar con su APU, incluyendo. Equipos y herramientas, materiales, mano de obra y transporte. </w:t>
      </w:r>
    </w:p>
    <w:p w14:paraId="74A17A01" w14:textId="2C1214CE" w:rsidR="00810DFA" w:rsidRDefault="00D272D3" w:rsidP="00810DFA">
      <w:pPr>
        <w:widowControl w:val="0"/>
        <w:tabs>
          <w:tab w:val="left" w:pos="828"/>
        </w:tabs>
        <w:suppressAutoHyphens w:val="0"/>
        <w:autoSpaceDE w:val="0"/>
        <w:autoSpaceDN w:val="0"/>
        <w:spacing w:before="252" w:after="0" w:line="240" w:lineRule="auto"/>
        <w:jc w:val="both"/>
        <w:rPr>
          <w:rFonts w:ascii="Arial" w:hAnsi="Arial" w:cs="Arial"/>
          <w:sz w:val="24"/>
          <w:szCs w:val="24"/>
        </w:rPr>
      </w:pPr>
      <w:r w:rsidRPr="00D272D3">
        <w:rPr>
          <w:rFonts w:ascii="Arial" w:hAnsi="Arial" w:cs="Arial"/>
          <w:sz w:val="24"/>
          <w:szCs w:val="24"/>
        </w:rPr>
        <w:t>Se debe presentar en formato editable</w:t>
      </w:r>
      <w:r w:rsidR="009251FA">
        <w:rPr>
          <w:rFonts w:ascii="Arial" w:hAnsi="Arial" w:cs="Arial"/>
          <w:sz w:val="24"/>
          <w:szCs w:val="24"/>
        </w:rPr>
        <w:t>,</w:t>
      </w:r>
      <w:r w:rsidRPr="00D272D3">
        <w:rPr>
          <w:rFonts w:ascii="Arial" w:hAnsi="Arial" w:cs="Arial"/>
          <w:sz w:val="24"/>
          <w:szCs w:val="24"/>
        </w:rPr>
        <w:t xml:space="preserve"> formulado</w:t>
      </w:r>
      <w:r w:rsidR="00810DFA">
        <w:rPr>
          <w:rFonts w:ascii="Arial" w:hAnsi="Arial" w:cs="Arial"/>
          <w:sz w:val="24"/>
          <w:szCs w:val="24"/>
        </w:rPr>
        <w:t xml:space="preserve"> y según los siguientes componentes:</w:t>
      </w:r>
    </w:p>
    <w:p w14:paraId="08C1FF09" w14:textId="67B70E03" w:rsidR="00D272D3" w:rsidRPr="00810DFA" w:rsidRDefault="00D272D3" w:rsidP="00810DFA">
      <w:pPr>
        <w:pStyle w:val="Prrafodelista"/>
        <w:widowControl w:val="0"/>
        <w:numPr>
          <w:ilvl w:val="0"/>
          <w:numId w:val="149"/>
        </w:numPr>
        <w:tabs>
          <w:tab w:val="left" w:pos="828"/>
        </w:tabs>
        <w:suppressAutoHyphens w:val="0"/>
        <w:autoSpaceDE w:val="0"/>
        <w:autoSpaceDN w:val="0"/>
        <w:spacing w:before="252" w:after="0" w:line="240" w:lineRule="auto"/>
        <w:jc w:val="both"/>
        <w:rPr>
          <w:rFonts w:ascii="Arial" w:hAnsi="Arial" w:cs="Arial"/>
          <w:sz w:val="24"/>
          <w:szCs w:val="24"/>
        </w:rPr>
      </w:pPr>
      <w:r w:rsidRPr="00810DFA">
        <w:rPr>
          <w:rFonts w:ascii="Arial" w:hAnsi="Arial" w:cs="Arial"/>
          <w:b/>
          <w:sz w:val="24"/>
          <w:szCs w:val="24"/>
        </w:rPr>
        <w:t>Equipos y Herramientas:</w:t>
      </w:r>
      <w:r w:rsidRPr="00810DFA">
        <w:rPr>
          <w:rFonts w:ascii="Arial" w:hAnsi="Arial" w:cs="Arial"/>
          <w:sz w:val="24"/>
          <w:szCs w:val="24"/>
        </w:rPr>
        <w:t> </w:t>
      </w:r>
    </w:p>
    <w:p w14:paraId="1561A363" w14:textId="77777777" w:rsidR="00D272D3" w:rsidRPr="00D272D3" w:rsidRDefault="00D272D3"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D272D3">
        <w:rPr>
          <w:rFonts w:ascii="Arial" w:hAnsi="Arial" w:cs="Arial"/>
          <w:sz w:val="24"/>
          <w:szCs w:val="24"/>
        </w:rPr>
        <w:t>Debe especificarse claramente la herramienta a utilizar en cada APU, incluyendo descripción, valor unitario, cantidad, rendimiento y valor total de cada herramienta y valor total del ítem de herramientas. </w:t>
      </w:r>
    </w:p>
    <w:p w14:paraId="5DC5B965" w14:textId="77777777" w:rsidR="00D272D3" w:rsidRPr="00D272D3" w:rsidRDefault="00D272D3"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D272D3">
        <w:rPr>
          <w:rFonts w:ascii="Arial" w:hAnsi="Arial" w:cs="Arial"/>
          <w:sz w:val="24"/>
          <w:szCs w:val="24"/>
        </w:rPr>
        <w:t>Los rendimientos deben ser consistentes con los de la mano de obra. </w:t>
      </w:r>
    </w:p>
    <w:p w14:paraId="05664CE2" w14:textId="77777777" w:rsidR="00D272D3" w:rsidRDefault="00D272D3"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D272D3">
        <w:rPr>
          <w:rFonts w:ascii="Arial" w:hAnsi="Arial" w:cs="Arial"/>
          <w:sz w:val="24"/>
          <w:szCs w:val="24"/>
        </w:rPr>
        <w:t>Herramientas Especiales: aquellas con altos costos (telurómetro, grúa, equipo topográfico, GPS, etc) deben contar con soportes de cotización. </w:t>
      </w:r>
    </w:p>
    <w:p w14:paraId="3042F93F" w14:textId="77777777" w:rsidR="00810DFA" w:rsidRPr="00D272D3" w:rsidRDefault="00810DFA" w:rsidP="00810DFA">
      <w:pPr>
        <w:widowControl w:val="0"/>
        <w:tabs>
          <w:tab w:val="left" w:pos="828"/>
        </w:tabs>
        <w:suppressAutoHyphens w:val="0"/>
        <w:autoSpaceDE w:val="0"/>
        <w:autoSpaceDN w:val="0"/>
        <w:spacing w:after="0" w:line="240" w:lineRule="auto"/>
        <w:jc w:val="both"/>
        <w:rPr>
          <w:rFonts w:ascii="Arial" w:hAnsi="Arial" w:cs="Arial"/>
          <w:sz w:val="24"/>
          <w:szCs w:val="24"/>
        </w:rPr>
      </w:pPr>
    </w:p>
    <w:p w14:paraId="658A63F6" w14:textId="005D31FE" w:rsidR="00917E91" w:rsidRPr="00810DFA" w:rsidRDefault="00917E91" w:rsidP="00810DFA">
      <w:pPr>
        <w:pStyle w:val="Prrafodelista"/>
        <w:widowControl w:val="0"/>
        <w:numPr>
          <w:ilvl w:val="0"/>
          <w:numId w:val="149"/>
        </w:numPr>
        <w:tabs>
          <w:tab w:val="left" w:pos="828"/>
        </w:tabs>
        <w:suppressAutoHyphens w:val="0"/>
        <w:autoSpaceDE w:val="0"/>
        <w:autoSpaceDN w:val="0"/>
        <w:spacing w:after="0" w:line="240" w:lineRule="auto"/>
        <w:jc w:val="both"/>
        <w:rPr>
          <w:rFonts w:ascii="Arial" w:hAnsi="Arial" w:cs="Arial"/>
          <w:b/>
          <w:sz w:val="24"/>
          <w:szCs w:val="24"/>
        </w:rPr>
      </w:pPr>
      <w:r w:rsidRPr="00810DFA">
        <w:rPr>
          <w:rFonts w:ascii="Arial" w:hAnsi="Arial" w:cs="Arial"/>
          <w:b/>
          <w:sz w:val="24"/>
          <w:szCs w:val="24"/>
        </w:rPr>
        <w:t>Mano de Obra </w:t>
      </w:r>
    </w:p>
    <w:p w14:paraId="0929B866" w14:textId="77777777" w:rsidR="00917E91" w:rsidRPr="00917E91" w:rsidRDefault="00917E91"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917E91">
        <w:rPr>
          <w:rFonts w:ascii="Arial" w:hAnsi="Arial" w:cs="Arial"/>
          <w:sz w:val="24"/>
          <w:szCs w:val="24"/>
        </w:rPr>
        <w:t>Se deberá incluir los diferentes tipos de personal, como ayudante, técnico, liniero, jefe de cuadrilla, supervisor, etc. </w:t>
      </w:r>
    </w:p>
    <w:p w14:paraId="2093E757" w14:textId="77777777" w:rsidR="00917E91" w:rsidRPr="00917E91" w:rsidRDefault="00917E91"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917E91">
        <w:rPr>
          <w:rFonts w:ascii="Arial" w:hAnsi="Arial" w:cs="Arial"/>
          <w:sz w:val="24"/>
          <w:szCs w:val="24"/>
        </w:rPr>
        <w:t>Se debe tomar como referencia inicial el salario mínimo legal vigente para el ayudante, con aumentos progresivos hasta el supervisor. </w:t>
      </w:r>
    </w:p>
    <w:p w14:paraId="651EB69E" w14:textId="77777777" w:rsidR="00917E91" w:rsidRDefault="00917E91" w:rsidP="00AB5F46">
      <w:pPr>
        <w:widowControl w:val="0"/>
        <w:tabs>
          <w:tab w:val="left" w:pos="828"/>
        </w:tabs>
        <w:suppressAutoHyphens w:val="0"/>
        <w:autoSpaceDE w:val="0"/>
        <w:autoSpaceDN w:val="0"/>
        <w:spacing w:before="252" w:after="0"/>
        <w:ind w:left="709"/>
        <w:jc w:val="both"/>
        <w:rPr>
          <w:rFonts w:ascii="Arial" w:hAnsi="Arial" w:cs="Arial"/>
          <w:sz w:val="24"/>
          <w:szCs w:val="24"/>
        </w:rPr>
      </w:pPr>
      <w:r w:rsidRPr="00917E91">
        <w:rPr>
          <w:rFonts w:ascii="Arial" w:hAnsi="Arial" w:cs="Arial"/>
          <w:sz w:val="24"/>
          <w:szCs w:val="24"/>
        </w:rPr>
        <w:t>El desglose de la mano de obra debe incluir el tipo de personal, cantidad, rendimiento, valor unitario y valor total de la mano de obra. </w:t>
      </w:r>
    </w:p>
    <w:p w14:paraId="402D59CE" w14:textId="77777777" w:rsidR="00810DFA" w:rsidRPr="00917E91" w:rsidRDefault="00810DFA" w:rsidP="00810DFA">
      <w:pPr>
        <w:widowControl w:val="0"/>
        <w:tabs>
          <w:tab w:val="left" w:pos="828"/>
        </w:tabs>
        <w:suppressAutoHyphens w:val="0"/>
        <w:autoSpaceDE w:val="0"/>
        <w:autoSpaceDN w:val="0"/>
        <w:spacing w:after="0" w:line="240" w:lineRule="auto"/>
        <w:jc w:val="both"/>
        <w:rPr>
          <w:rFonts w:ascii="Arial" w:hAnsi="Arial" w:cs="Arial"/>
          <w:sz w:val="24"/>
          <w:szCs w:val="24"/>
        </w:rPr>
      </w:pPr>
    </w:p>
    <w:p w14:paraId="665E6B52" w14:textId="0CFCFE5A" w:rsidR="00FA7124" w:rsidRPr="00810DFA" w:rsidRDefault="00FA7124" w:rsidP="00810DFA">
      <w:pPr>
        <w:pStyle w:val="Prrafodelista"/>
        <w:widowControl w:val="0"/>
        <w:numPr>
          <w:ilvl w:val="0"/>
          <w:numId w:val="149"/>
        </w:numPr>
        <w:tabs>
          <w:tab w:val="left" w:pos="828"/>
        </w:tabs>
        <w:suppressAutoHyphens w:val="0"/>
        <w:autoSpaceDE w:val="0"/>
        <w:autoSpaceDN w:val="0"/>
        <w:spacing w:after="0" w:line="240" w:lineRule="auto"/>
        <w:jc w:val="both"/>
        <w:rPr>
          <w:rFonts w:ascii="Arial" w:hAnsi="Arial" w:cs="Arial"/>
          <w:b/>
          <w:sz w:val="24"/>
          <w:szCs w:val="24"/>
        </w:rPr>
      </w:pPr>
      <w:r w:rsidRPr="00810DFA">
        <w:rPr>
          <w:rFonts w:ascii="Arial" w:hAnsi="Arial" w:cs="Arial"/>
          <w:b/>
          <w:sz w:val="24"/>
          <w:szCs w:val="24"/>
        </w:rPr>
        <w:t>Materiales y estudio de mercado </w:t>
      </w:r>
    </w:p>
    <w:p w14:paraId="671CF34A" w14:textId="77777777" w:rsidR="00C7798B" w:rsidRPr="00C7798B" w:rsidRDefault="00C7798B" w:rsidP="00C7798B">
      <w:pPr>
        <w:widowControl w:val="0"/>
        <w:tabs>
          <w:tab w:val="left" w:pos="828"/>
        </w:tabs>
        <w:suppressAutoHyphens w:val="0"/>
        <w:autoSpaceDE w:val="0"/>
        <w:autoSpaceDN w:val="0"/>
        <w:spacing w:after="0" w:line="240" w:lineRule="auto"/>
        <w:ind w:left="360"/>
        <w:jc w:val="both"/>
        <w:rPr>
          <w:rFonts w:ascii="Arial" w:hAnsi="Arial" w:cs="Arial"/>
          <w:sz w:val="24"/>
          <w:szCs w:val="24"/>
        </w:rPr>
      </w:pPr>
    </w:p>
    <w:p w14:paraId="30AA067A" w14:textId="77777777" w:rsidR="00C7798B" w:rsidRDefault="00FA7124" w:rsidP="00AB5F46">
      <w:pPr>
        <w:widowControl w:val="0"/>
        <w:tabs>
          <w:tab w:val="left" w:pos="828"/>
        </w:tabs>
        <w:suppressAutoHyphens w:val="0"/>
        <w:autoSpaceDE w:val="0"/>
        <w:autoSpaceDN w:val="0"/>
        <w:spacing w:after="0"/>
        <w:ind w:left="709"/>
        <w:jc w:val="both"/>
        <w:rPr>
          <w:rFonts w:ascii="Arial" w:hAnsi="Arial" w:cs="Arial"/>
          <w:sz w:val="24"/>
          <w:szCs w:val="24"/>
        </w:rPr>
      </w:pPr>
      <w:r w:rsidRPr="00FA7124">
        <w:rPr>
          <w:rFonts w:ascii="Arial" w:hAnsi="Arial" w:cs="Arial"/>
          <w:sz w:val="24"/>
          <w:szCs w:val="24"/>
        </w:rPr>
        <w:t>Los precios de materiales deben estar sustentados en cotizaciones del mercado</w:t>
      </w:r>
      <w:r w:rsidR="003A6FA6">
        <w:rPr>
          <w:rFonts w:ascii="Arial" w:hAnsi="Arial" w:cs="Arial"/>
          <w:sz w:val="24"/>
          <w:szCs w:val="24"/>
        </w:rPr>
        <w:t xml:space="preserve"> </w:t>
      </w:r>
      <w:r w:rsidR="003A6FA6" w:rsidRPr="003A6FA6">
        <w:rPr>
          <w:rFonts w:ascii="Arial" w:hAnsi="Arial" w:cs="Arial"/>
          <w:sz w:val="24"/>
          <w:szCs w:val="24"/>
        </w:rPr>
        <w:t>que permitan verificar su razonabilidad y correspondencia con los precios vigentes.</w:t>
      </w:r>
    </w:p>
    <w:p w14:paraId="4F481104" w14:textId="31695336" w:rsidR="00FA7124" w:rsidRPr="00FA7124" w:rsidRDefault="00FA7124" w:rsidP="00C7798B">
      <w:pPr>
        <w:widowControl w:val="0"/>
        <w:tabs>
          <w:tab w:val="left" w:pos="828"/>
        </w:tabs>
        <w:suppressAutoHyphens w:val="0"/>
        <w:autoSpaceDE w:val="0"/>
        <w:autoSpaceDN w:val="0"/>
        <w:spacing w:after="0" w:line="240" w:lineRule="auto"/>
        <w:ind w:left="851"/>
        <w:jc w:val="both"/>
        <w:rPr>
          <w:rFonts w:ascii="Arial" w:hAnsi="Arial" w:cs="Arial"/>
          <w:sz w:val="24"/>
          <w:szCs w:val="24"/>
        </w:rPr>
      </w:pPr>
      <w:r w:rsidRPr="00FA7124">
        <w:rPr>
          <w:rFonts w:ascii="Arial" w:hAnsi="Arial" w:cs="Arial"/>
          <w:sz w:val="24"/>
          <w:szCs w:val="24"/>
        </w:rPr>
        <w:t> </w:t>
      </w:r>
    </w:p>
    <w:p w14:paraId="0F6D6C08" w14:textId="593E6E34" w:rsidR="00C7798B" w:rsidRPr="00810DFA" w:rsidRDefault="00810DFA" w:rsidP="00810DFA">
      <w:pPr>
        <w:pStyle w:val="Ttulo6"/>
      </w:pPr>
      <w:r w:rsidRPr="00810DFA">
        <w:t>III-</w:t>
      </w:r>
      <w:r>
        <w:t xml:space="preserve">2.3.2.3.2 </w:t>
      </w:r>
      <w:r w:rsidR="00FA7124" w:rsidRPr="00810DFA">
        <w:t>Flujo de fondos del proyecto</w:t>
      </w:r>
    </w:p>
    <w:p w14:paraId="78708117" w14:textId="77777777" w:rsidR="00C7798B" w:rsidRPr="00C7798B" w:rsidRDefault="00C7798B" w:rsidP="00C7798B">
      <w:pPr>
        <w:widowControl w:val="0"/>
        <w:tabs>
          <w:tab w:val="left" w:pos="828"/>
        </w:tabs>
        <w:suppressAutoHyphens w:val="0"/>
        <w:autoSpaceDE w:val="0"/>
        <w:autoSpaceDN w:val="0"/>
        <w:spacing w:after="0" w:line="240" w:lineRule="auto"/>
        <w:ind w:left="360"/>
        <w:jc w:val="both"/>
        <w:rPr>
          <w:rFonts w:ascii="Arial" w:hAnsi="Arial" w:cs="Arial"/>
          <w:sz w:val="24"/>
          <w:szCs w:val="24"/>
        </w:rPr>
      </w:pPr>
    </w:p>
    <w:p w14:paraId="0F3DE54B" w14:textId="524C18B0" w:rsidR="00FA7124" w:rsidRPr="00810DFA" w:rsidRDefault="009251FA" w:rsidP="00AB5F46">
      <w:pPr>
        <w:widowControl w:val="0"/>
        <w:tabs>
          <w:tab w:val="left" w:pos="828"/>
        </w:tabs>
        <w:suppressAutoHyphens w:val="0"/>
        <w:autoSpaceDE w:val="0"/>
        <w:autoSpaceDN w:val="0"/>
        <w:spacing w:after="0"/>
        <w:jc w:val="both"/>
        <w:rPr>
          <w:rFonts w:ascii="Arial" w:hAnsi="Arial" w:cs="Arial"/>
          <w:sz w:val="24"/>
          <w:szCs w:val="24"/>
        </w:rPr>
      </w:pPr>
      <w:r>
        <w:rPr>
          <w:rFonts w:ascii="Arial" w:hAnsi="Arial" w:cs="Arial"/>
          <w:sz w:val="24"/>
          <w:szCs w:val="24"/>
        </w:rPr>
        <w:t>D</w:t>
      </w:r>
      <w:r w:rsidR="00FA7124" w:rsidRPr="00810DFA">
        <w:rPr>
          <w:rFonts w:ascii="Arial" w:hAnsi="Arial" w:cs="Arial"/>
          <w:sz w:val="24"/>
          <w:szCs w:val="24"/>
        </w:rPr>
        <w:t>etallando los recursos asignados a cada actividad y los tiempos de ejecución, en concordancia con las actividades y fechas establecidas en el cronograma.  </w:t>
      </w:r>
    </w:p>
    <w:p w14:paraId="2BAA41EB" w14:textId="77777777" w:rsidR="002766F4" w:rsidRDefault="002766F4" w:rsidP="002B0662">
      <w:pPr>
        <w:spacing w:after="0"/>
        <w:jc w:val="both"/>
        <w:rPr>
          <w:rFonts w:ascii="Arial" w:hAnsi="Arial" w:cs="Arial"/>
          <w:b/>
          <w:sz w:val="24"/>
          <w:szCs w:val="24"/>
        </w:rPr>
      </w:pPr>
    </w:p>
    <w:p w14:paraId="1BA3D30D" w14:textId="00487A98" w:rsidR="00114ABF" w:rsidRPr="00514DDE" w:rsidRDefault="003B1D87" w:rsidP="00514DDE">
      <w:pPr>
        <w:pStyle w:val="Ttulo6"/>
        <w:ind w:left="1152" w:hanging="1152"/>
        <w:rPr>
          <w:bCs/>
        </w:rPr>
      </w:pPr>
      <w:r w:rsidRPr="00514DDE">
        <w:rPr>
          <w:bCs/>
        </w:rPr>
        <w:t xml:space="preserve">III- </w:t>
      </w:r>
      <w:r w:rsidR="00132FF1" w:rsidRPr="00514DDE">
        <w:rPr>
          <w:bCs/>
        </w:rPr>
        <w:t>2.</w:t>
      </w:r>
      <w:r w:rsidR="00810DFA">
        <w:rPr>
          <w:bCs/>
        </w:rPr>
        <w:t>3</w:t>
      </w:r>
      <w:r w:rsidR="00132FF1" w:rsidRPr="00514DDE">
        <w:rPr>
          <w:bCs/>
        </w:rPr>
        <w:t xml:space="preserve">.2.4 </w:t>
      </w:r>
      <w:r w:rsidR="002766F4" w:rsidRPr="00514DDE">
        <w:rPr>
          <w:bCs/>
        </w:rPr>
        <w:t xml:space="preserve">Esquema de </w:t>
      </w:r>
      <w:r w:rsidR="009251FA">
        <w:rPr>
          <w:bCs/>
        </w:rPr>
        <w:t>s</w:t>
      </w:r>
      <w:r w:rsidR="002766F4" w:rsidRPr="00514DDE">
        <w:rPr>
          <w:bCs/>
        </w:rPr>
        <w:t>ostenibilidad</w:t>
      </w:r>
    </w:p>
    <w:p w14:paraId="165F4EF1" w14:textId="77777777" w:rsidR="002B0662" w:rsidRPr="002B0662" w:rsidRDefault="002B0662" w:rsidP="002B0662">
      <w:pPr>
        <w:spacing w:after="0"/>
        <w:jc w:val="both"/>
        <w:rPr>
          <w:rFonts w:ascii="Arial" w:hAnsi="Arial" w:cs="Arial"/>
          <w:b/>
          <w:bCs/>
          <w:sz w:val="24"/>
          <w:szCs w:val="24"/>
        </w:rPr>
      </w:pPr>
    </w:p>
    <w:p w14:paraId="3D4416B3" w14:textId="77777777" w:rsidR="00087305" w:rsidRDefault="00876975" w:rsidP="00AB5F46">
      <w:pPr>
        <w:pStyle w:val="paragraph"/>
        <w:spacing w:before="0" w:beforeAutospacing="0" w:after="0" w:afterAutospacing="0" w:line="276" w:lineRule="auto"/>
        <w:jc w:val="both"/>
        <w:textAlignment w:val="baseline"/>
        <w:rPr>
          <w:rFonts w:ascii="Arial" w:hAnsi="Arial" w:cs="Arial"/>
        </w:rPr>
      </w:pPr>
      <w:r>
        <w:rPr>
          <w:rStyle w:val="normaltextrun"/>
          <w:rFonts w:ascii="Arial" w:hAnsi="Arial" w:cs="Arial"/>
          <w:lang w:val="es-ES"/>
        </w:rPr>
        <w:lastRenderedPageBreak/>
        <w:t>Para todas las tipologías de proyectos, deberá acreditarse la sostenibilidad financiera, técnica, ambiental y social de la solución propuesta, de conformidad con la normativa vigente aplicable al sector eléctrico.</w:t>
      </w:r>
      <w:r>
        <w:rPr>
          <w:rStyle w:val="eop"/>
          <w:rFonts w:ascii="Arial" w:hAnsi="Arial" w:cs="Arial"/>
        </w:rPr>
        <w:t> </w:t>
      </w:r>
    </w:p>
    <w:p w14:paraId="240101C3" w14:textId="77777777" w:rsidR="00087305" w:rsidRDefault="00087305" w:rsidP="00AB5F46">
      <w:pPr>
        <w:pStyle w:val="paragraph"/>
        <w:spacing w:before="0" w:beforeAutospacing="0" w:after="0" w:afterAutospacing="0" w:line="276" w:lineRule="auto"/>
        <w:ind w:left="709"/>
        <w:jc w:val="both"/>
        <w:textAlignment w:val="baseline"/>
        <w:rPr>
          <w:rStyle w:val="normaltextrun"/>
          <w:rFonts w:ascii="Arial" w:hAnsi="Arial" w:cs="Arial"/>
          <w:lang w:val="es-ES"/>
        </w:rPr>
      </w:pPr>
    </w:p>
    <w:p w14:paraId="15C48A4A" w14:textId="77777777" w:rsidR="00087305" w:rsidRDefault="00876975" w:rsidP="00AB5F46">
      <w:pPr>
        <w:pStyle w:val="paragraph"/>
        <w:spacing w:before="0" w:beforeAutospacing="0" w:after="0" w:afterAutospacing="0" w:line="276" w:lineRule="auto"/>
        <w:jc w:val="both"/>
        <w:textAlignment w:val="baseline"/>
        <w:rPr>
          <w:rStyle w:val="eop"/>
          <w:rFonts w:ascii="Arial" w:hAnsi="Arial" w:cs="Arial"/>
        </w:rPr>
      </w:pPr>
      <w:r w:rsidRPr="00087305">
        <w:rPr>
          <w:rStyle w:val="normaltextrun"/>
          <w:rFonts w:ascii="Arial" w:hAnsi="Arial" w:cs="Arial"/>
          <w:lang w:val="es-ES"/>
        </w:rPr>
        <w:t>El proyecto deberá incorporar un documento de sostenibilidad que demuestre la viabilidad integral de la iniciativa durante su horizonte de vida útil, incluyendo como mínimo: esquema de operación, administración y mantenimiento (AOM), proyección de costos e ingresos, esquema tarifario aplicable, mecanismos de recaudo, gestión ambiental, aceptación social y cumplimiento de estándares técnicos regulatorios.</w:t>
      </w:r>
      <w:r w:rsidRPr="00087305">
        <w:rPr>
          <w:rStyle w:val="eop"/>
          <w:rFonts w:ascii="Arial" w:hAnsi="Arial" w:cs="Arial"/>
        </w:rPr>
        <w:t> </w:t>
      </w:r>
    </w:p>
    <w:p w14:paraId="2094669D" w14:textId="77777777" w:rsidR="00087305" w:rsidRDefault="00087305" w:rsidP="00AB5F46">
      <w:pPr>
        <w:pStyle w:val="paragraph"/>
        <w:spacing w:before="0" w:beforeAutospacing="0" w:after="0" w:afterAutospacing="0" w:line="276" w:lineRule="auto"/>
        <w:ind w:left="709"/>
        <w:jc w:val="both"/>
        <w:textAlignment w:val="baseline"/>
        <w:rPr>
          <w:rStyle w:val="normaltextrun"/>
          <w:rFonts w:ascii="Arial" w:hAnsi="Arial" w:cs="Arial"/>
          <w:b/>
          <w:bCs/>
          <w:lang w:val="es-ES"/>
        </w:rPr>
      </w:pPr>
    </w:p>
    <w:p w14:paraId="000ED7D7" w14:textId="375F65D6" w:rsidR="00087305" w:rsidRDefault="00876975" w:rsidP="00AB5F46">
      <w:pPr>
        <w:pStyle w:val="paragraph"/>
        <w:spacing w:before="0" w:beforeAutospacing="0" w:after="0" w:afterAutospacing="0" w:line="276" w:lineRule="auto"/>
        <w:jc w:val="both"/>
        <w:textAlignment w:val="baseline"/>
        <w:rPr>
          <w:rStyle w:val="eop"/>
          <w:rFonts w:ascii="Arial" w:hAnsi="Arial" w:cs="Arial"/>
        </w:rPr>
      </w:pPr>
      <w:r>
        <w:rPr>
          <w:rStyle w:val="normaltextrun"/>
          <w:rFonts w:ascii="Arial" w:hAnsi="Arial" w:cs="Arial"/>
          <w:lang w:val="es-ES"/>
        </w:rPr>
        <w:t>Dicho documento deberá ser presentado y avalado por la empresa prestadora de servicios públicos de energía que asumirá las actividades de AOM, así mismo</w:t>
      </w:r>
      <w:r w:rsidR="009251FA">
        <w:rPr>
          <w:rStyle w:val="normaltextrun"/>
          <w:rFonts w:ascii="Arial" w:hAnsi="Arial" w:cs="Arial"/>
          <w:lang w:val="es-ES"/>
        </w:rPr>
        <w:t>,</w:t>
      </w:r>
      <w:r>
        <w:rPr>
          <w:rStyle w:val="normaltextrun"/>
          <w:rFonts w:ascii="Arial" w:hAnsi="Arial" w:cs="Arial"/>
          <w:lang w:val="es-ES"/>
        </w:rPr>
        <w:t xml:space="preserve"> esta empresa deberá cumplir con los requisitos establecidos en l</w:t>
      </w:r>
      <w:r w:rsidR="009251FA">
        <w:rPr>
          <w:rStyle w:val="normaltextrun"/>
          <w:rFonts w:ascii="Arial" w:hAnsi="Arial" w:cs="Arial"/>
          <w:lang w:val="es-ES"/>
        </w:rPr>
        <w:t>os numerales III-3.2, III-3.3 y III-3.4 del presente Manual</w:t>
      </w:r>
      <w:r>
        <w:rPr>
          <w:rStyle w:val="normaltextrun"/>
          <w:rFonts w:ascii="Arial" w:hAnsi="Arial" w:cs="Arial"/>
          <w:lang w:val="es-ES"/>
        </w:rPr>
        <w:t xml:space="preserve"> cuando aplique</w:t>
      </w:r>
      <w:r w:rsidR="009251FA">
        <w:rPr>
          <w:rStyle w:val="normaltextrun"/>
          <w:rFonts w:ascii="Arial" w:hAnsi="Arial" w:cs="Arial"/>
          <w:lang w:val="es-ES"/>
        </w:rPr>
        <w:t>.</w:t>
      </w:r>
    </w:p>
    <w:p w14:paraId="0BB8D656" w14:textId="77777777" w:rsidR="00087305" w:rsidRDefault="00087305" w:rsidP="00AB5F46">
      <w:pPr>
        <w:pStyle w:val="paragraph"/>
        <w:spacing w:before="0" w:beforeAutospacing="0" w:after="0" w:afterAutospacing="0" w:line="276" w:lineRule="auto"/>
        <w:ind w:left="709"/>
        <w:jc w:val="both"/>
        <w:textAlignment w:val="baseline"/>
        <w:rPr>
          <w:rStyle w:val="eop"/>
          <w:rFonts w:ascii="Arial" w:hAnsi="Arial" w:cs="Arial"/>
        </w:rPr>
      </w:pPr>
    </w:p>
    <w:p w14:paraId="3F6E2FCB" w14:textId="547AF293" w:rsidR="00876975" w:rsidRDefault="00876975" w:rsidP="00AB5F46">
      <w:pPr>
        <w:pStyle w:val="paragraph"/>
        <w:spacing w:before="0" w:beforeAutospacing="0" w:after="0" w:afterAutospacing="0" w:line="276" w:lineRule="auto"/>
        <w:jc w:val="both"/>
        <w:textAlignment w:val="baseline"/>
        <w:rPr>
          <w:rStyle w:val="eop"/>
          <w:rFonts w:ascii="Arial" w:hAnsi="Arial" w:cs="Arial"/>
        </w:rPr>
      </w:pPr>
      <w:r>
        <w:rPr>
          <w:rStyle w:val="normaltextrun"/>
          <w:rFonts w:ascii="Arial" w:hAnsi="Arial" w:cs="Arial"/>
          <w:lang w:val="es-ES"/>
        </w:rPr>
        <w:t>En el caso de proyectos a desarrollarse en el Sistema Interconectado Nacional (SIN) o en Zonas No Interconectadas (ZNI), la estructuración deberá observar la regulación tarifaria y las disposiciones vigentes expedidas por la CREG en materia de remuneración, subsidios, contribuciones y mecanismos de recaudo, en su versión más actualizada. Para proyectos en ZNI, deberá considerarse además el marco normativo aplicable a subsidios del Gobierno Nacional y las metodologías vigentes que resulten pertinentes.</w:t>
      </w:r>
      <w:r>
        <w:rPr>
          <w:rStyle w:val="eop"/>
          <w:rFonts w:ascii="Arial" w:hAnsi="Arial" w:cs="Arial"/>
        </w:rPr>
        <w:t> </w:t>
      </w:r>
    </w:p>
    <w:p w14:paraId="1072955C" w14:textId="77777777" w:rsidR="0053700E" w:rsidRDefault="0053700E" w:rsidP="008E39FD">
      <w:pPr>
        <w:pStyle w:val="paragraph"/>
        <w:spacing w:before="0" w:beforeAutospacing="0" w:after="0" w:afterAutospacing="0"/>
        <w:ind w:left="709"/>
        <w:jc w:val="both"/>
        <w:textAlignment w:val="baseline"/>
        <w:rPr>
          <w:rFonts w:ascii="Segoe UI" w:hAnsi="Segoe UI" w:cs="Segoe UI"/>
          <w:sz w:val="18"/>
          <w:szCs w:val="18"/>
        </w:rPr>
      </w:pPr>
    </w:p>
    <w:p w14:paraId="2EA098A4" w14:textId="3B6A3288" w:rsidR="00114ABF" w:rsidRPr="0050213C" w:rsidRDefault="00100AD4" w:rsidP="0050213C">
      <w:pPr>
        <w:pStyle w:val="Ttulo6"/>
        <w:ind w:left="1152" w:hanging="1152"/>
        <w:rPr>
          <w:bCs/>
        </w:rPr>
      </w:pPr>
      <w:r w:rsidRPr="000D0FE8">
        <w:rPr>
          <w:bCs/>
        </w:rPr>
        <w:t xml:space="preserve">III- </w:t>
      </w:r>
      <w:r w:rsidR="000D0FE8" w:rsidRPr="000D0FE8">
        <w:rPr>
          <w:bCs/>
        </w:rPr>
        <w:t>2.</w:t>
      </w:r>
      <w:r w:rsidR="00CA6BE5">
        <w:rPr>
          <w:bCs/>
        </w:rPr>
        <w:t>3</w:t>
      </w:r>
      <w:r w:rsidR="000D0FE8" w:rsidRPr="000D0FE8">
        <w:rPr>
          <w:bCs/>
        </w:rPr>
        <w:t xml:space="preserve">.2.5 </w:t>
      </w:r>
      <w:r w:rsidR="08492816" w:rsidRPr="0050213C">
        <w:rPr>
          <w:bCs/>
        </w:rPr>
        <w:t xml:space="preserve">Documentos Plan de </w:t>
      </w:r>
      <w:r w:rsidR="013B5C97" w:rsidRPr="0050213C">
        <w:rPr>
          <w:bCs/>
        </w:rPr>
        <w:t>Capacitación</w:t>
      </w:r>
    </w:p>
    <w:p w14:paraId="6D5FBB11" w14:textId="77777777" w:rsidR="000D0FE8" w:rsidRPr="000D0FE8" w:rsidRDefault="000D0FE8" w:rsidP="000D0FE8">
      <w:pPr>
        <w:spacing w:after="0"/>
        <w:jc w:val="both"/>
        <w:rPr>
          <w:rFonts w:ascii="Arial" w:hAnsi="Arial" w:cs="Arial"/>
          <w:b/>
          <w:bCs/>
          <w:sz w:val="24"/>
          <w:szCs w:val="24"/>
        </w:rPr>
      </w:pPr>
    </w:p>
    <w:p w14:paraId="0BC8462A" w14:textId="48209E71" w:rsidR="00DD37F6" w:rsidRDefault="13372EE0" w:rsidP="00AB5F46">
      <w:pPr>
        <w:pStyle w:val="paragraph"/>
        <w:spacing w:before="0" w:beforeAutospacing="0" w:after="0" w:afterAutospacing="0" w:line="276" w:lineRule="auto"/>
        <w:jc w:val="both"/>
        <w:textAlignment w:val="baseline"/>
        <w:rPr>
          <w:rStyle w:val="eop"/>
          <w:rFonts w:ascii="Arial" w:hAnsi="Arial" w:cs="Arial"/>
        </w:rPr>
      </w:pPr>
      <w:r w:rsidRPr="5D146CA7">
        <w:rPr>
          <w:rStyle w:val="normaltextrun"/>
          <w:rFonts w:ascii="Arial" w:hAnsi="Arial" w:cs="Arial"/>
        </w:rPr>
        <w:t>Se deberá presentar un Plan</w:t>
      </w:r>
      <w:r w:rsidR="08FF3CBE" w:rsidRPr="5D146CA7">
        <w:rPr>
          <w:rStyle w:val="normaltextrun"/>
          <w:rFonts w:ascii="Arial" w:hAnsi="Arial" w:cs="Arial"/>
        </w:rPr>
        <w:t xml:space="preserve"> de capacitación</w:t>
      </w:r>
      <w:r w:rsidRPr="5D146CA7">
        <w:rPr>
          <w:rStyle w:val="normaltextrun"/>
          <w:rFonts w:ascii="Arial" w:hAnsi="Arial" w:cs="Arial"/>
        </w:rPr>
        <w:t xml:space="preserve"> asociado al proyecto, en el cual se </w:t>
      </w:r>
      <w:r w:rsidR="00CA6BE5">
        <w:rPr>
          <w:rStyle w:val="normaltextrun"/>
          <w:rFonts w:ascii="Arial" w:hAnsi="Arial" w:cs="Arial"/>
        </w:rPr>
        <w:t>establezcan</w:t>
      </w:r>
      <w:r w:rsidRPr="5D146CA7">
        <w:rPr>
          <w:rStyle w:val="normaltextrun"/>
          <w:rFonts w:ascii="Arial" w:hAnsi="Arial" w:cs="Arial"/>
        </w:rPr>
        <w:t xml:space="preserve"> de manera clara las estrategias, actividades y medidas orientadas a la</w:t>
      </w:r>
      <w:r w:rsidR="00CA6BE5">
        <w:rPr>
          <w:rStyle w:val="normaltextrun"/>
          <w:rFonts w:ascii="Arial" w:hAnsi="Arial" w:cs="Arial"/>
        </w:rPr>
        <w:t xml:space="preserve"> instrucción de las comunidades beneficiarias del respectivo proyecto, en relación con el servicio objeto del proyecto</w:t>
      </w:r>
      <w:r w:rsidRPr="5D146CA7">
        <w:rPr>
          <w:rStyle w:val="normaltextrun"/>
          <w:rFonts w:ascii="Arial" w:hAnsi="Arial" w:cs="Arial"/>
        </w:rPr>
        <w:t>.</w:t>
      </w:r>
      <w:r w:rsidRPr="5D146CA7">
        <w:rPr>
          <w:rStyle w:val="eop"/>
          <w:rFonts w:ascii="Arial" w:hAnsi="Arial" w:cs="Arial"/>
        </w:rPr>
        <w:t> </w:t>
      </w:r>
    </w:p>
    <w:p w14:paraId="63DB1045" w14:textId="77777777" w:rsidR="00D94DD9" w:rsidRPr="00CA6BE5" w:rsidRDefault="00D94DD9" w:rsidP="00AB5F46">
      <w:pPr>
        <w:pStyle w:val="paragraph"/>
        <w:spacing w:before="0" w:beforeAutospacing="0" w:after="0" w:afterAutospacing="0" w:line="276" w:lineRule="auto"/>
        <w:jc w:val="both"/>
        <w:textAlignment w:val="baseline"/>
        <w:rPr>
          <w:rFonts w:ascii="Segoe UI" w:hAnsi="Segoe UI" w:cs="Segoe UI"/>
        </w:rPr>
      </w:pPr>
    </w:p>
    <w:p w14:paraId="4BF6A122" w14:textId="77777777" w:rsidR="000D0FE8" w:rsidRDefault="00DD37F6" w:rsidP="00AB5F46">
      <w:pPr>
        <w:pStyle w:val="paragraph"/>
        <w:spacing w:before="0" w:beforeAutospacing="0" w:after="0" w:afterAutospacing="0" w:line="276" w:lineRule="auto"/>
        <w:jc w:val="both"/>
        <w:textAlignment w:val="baseline"/>
        <w:rPr>
          <w:rStyle w:val="normaltextrun"/>
          <w:rFonts w:ascii="Arial" w:hAnsi="Arial" w:cs="Arial"/>
        </w:rPr>
      </w:pPr>
      <w:r>
        <w:rPr>
          <w:rStyle w:val="normaltextrun"/>
          <w:rFonts w:ascii="Arial" w:hAnsi="Arial" w:cs="Arial"/>
        </w:rPr>
        <w:t>El Plan deberá contener, como mínimo:</w:t>
      </w:r>
    </w:p>
    <w:p w14:paraId="1D38726E" w14:textId="0C985B63" w:rsidR="00DD37F6" w:rsidRDefault="00DD37F6" w:rsidP="00AB5F46">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 </w:t>
      </w:r>
      <w:r>
        <w:rPr>
          <w:rStyle w:val="eop"/>
          <w:rFonts w:ascii="Arial" w:hAnsi="Arial" w:cs="Arial"/>
        </w:rPr>
        <w:t> </w:t>
      </w:r>
    </w:p>
    <w:p w14:paraId="198AB025" w14:textId="3CC3C93B"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 xml:space="preserve">Objetivos y alcance de las acciones </w:t>
      </w:r>
      <w:r w:rsidR="00CA6BE5">
        <w:rPr>
          <w:rStyle w:val="normaltextrun"/>
          <w:rFonts w:ascii="Arial" w:hAnsi="Arial" w:cs="Arial"/>
        </w:rPr>
        <w:t xml:space="preserve">de capacitación </w:t>
      </w:r>
      <w:r>
        <w:rPr>
          <w:rStyle w:val="normaltextrun"/>
          <w:rFonts w:ascii="Arial" w:hAnsi="Arial" w:cs="Arial"/>
        </w:rPr>
        <w:t>propuestas.</w:t>
      </w:r>
      <w:r>
        <w:rPr>
          <w:rStyle w:val="eop"/>
          <w:rFonts w:ascii="Arial" w:hAnsi="Arial" w:cs="Arial"/>
        </w:rPr>
        <w:t> </w:t>
      </w:r>
    </w:p>
    <w:p w14:paraId="7894282C" w14:textId="4D590DDD"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Identificación y caracterización de los actores y comunidades beneficiarias o impactadas.</w:t>
      </w:r>
      <w:r>
        <w:rPr>
          <w:rStyle w:val="eop"/>
          <w:rFonts w:ascii="Arial" w:hAnsi="Arial" w:cs="Arial"/>
        </w:rPr>
        <w:t> </w:t>
      </w:r>
    </w:p>
    <w:p w14:paraId="66D60AAE" w14:textId="6C75AE20"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Metodología del proceso pedagógico para realizar cada uno de los espacios con la comunidad y actores involucrados.</w:t>
      </w:r>
      <w:r>
        <w:rPr>
          <w:rStyle w:val="eop"/>
          <w:rFonts w:ascii="Arial" w:hAnsi="Arial" w:cs="Arial"/>
        </w:rPr>
        <w:t> </w:t>
      </w:r>
    </w:p>
    <w:p w14:paraId="3C64A83A" w14:textId="79A5EF77"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Estrategia para fortalecer la comunicación entre la ciudadanía y el ejecutor la cual debe contar con un sistema para la recepción y respuesta de PQRSF.</w:t>
      </w:r>
      <w:r>
        <w:rPr>
          <w:rStyle w:val="eop"/>
          <w:rFonts w:ascii="Arial" w:hAnsi="Arial" w:cs="Arial"/>
        </w:rPr>
        <w:t> </w:t>
      </w:r>
    </w:p>
    <w:p w14:paraId="7C968BF0" w14:textId="14E52109" w:rsidR="00DD37F6" w:rsidRDefault="00CA6BE5"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E</w:t>
      </w:r>
      <w:r w:rsidR="00DD37F6">
        <w:rPr>
          <w:rStyle w:val="normaltextrun"/>
          <w:rFonts w:ascii="Arial" w:hAnsi="Arial" w:cs="Arial"/>
        </w:rPr>
        <w:t>spacios sobre las generalidades del proyecto y tipología, uso y gestión eficiente de la energía. </w:t>
      </w:r>
      <w:r w:rsidR="00DD37F6">
        <w:rPr>
          <w:rStyle w:val="eop"/>
          <w:rFonts w:ascii="Arial" w:hAnsi="Arial" w:cs="Arial"/>
        </w:rPr>
        <w:t> </w:t>
      </w:r>
    </w:p>
    <w:p w14:paraId="36837258" w14:textId="6053E8EE"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Cronograma de ejecución, especificando las etapas en las que se realizarán cada una de las actividades. </w:t>
      </w:r>
      <w:r>
        <w:rPr>
          <w:rStyle w:val="eop"/>
          <w:rFonts w:ascii="Arial" w:hAnsi="Arial" w:cs="Arial"/>
        </w:rPr>
        <w:t> </w:t>
      </w:r>
    </w:p>
    <w:p w14:paraId="6BC6730E" w14:textId="4ADA80B4"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 xml:space="preserve">Presupuesto estimado, no debe superar el </w:t>
      </w:r>
      <w:r w:rsidR="00CA6BE5">
        <w:rPr>
          <w:rStyle w:val="normaltextrun"/>
          <w:rFonts w:ascii="Arial" w:hAnsi="Arial" w:cs="Arial"/>
        </w:rPr>
        <w:t>1</w:t>
      </w:r>
      <w:r>
        <w:rPr>
          <w:rStyle w:val="normaltextrun"/>
          <w:rFonts w:ascii="Arial" w:hAnsi="Arial" w:cs="Arial"/>
        </w:rPr>
        <w:t xml:space="preserve">% del valor </w:t>
      </w:r>
      <w:r w:rsidR="00A9096D">
        <w:rPr>
          <w:rStyle w:val="normaltextrun"/>
          <w:rFonts w:ascii="Arial" w:hAnsi="Arial" w:cs="Arial"/>
        </w:rPr>
        <w:t>de los costos directos del proyecto</w:t>
      </w:r>
      <w:r>
        <w:rPr>
          <w:rStyle w:val="normaltextrun"/>
          <w:rFonts w:ascii="Arial" w:hAnsi="Arial" w:cs="Arial"/>
        </w:rPr>
        <w:t>. </w:t>
      </w:r>
      <w:r>
        <w:rPr>
          <w:rStyle w:val="eop"/>
          <w:rFonts w:ascii="Arial" w:hAnsi="Arial" w:cs="Arial"/>
        </w:rPr>
        <w:t> </w:t>
      </w:r>
    </w:p>
    <w:p w14:paraId="3738DF2A" w14:textId="5D0BE58A" w:rsidR="00DD37F6" w:rsidRDefault="00DD37F6" w:rsidP="00AB5F46">
      <w:pPr>
        <w:pStyle w:val="paragraph"/>
        <w:numPr>
          <w:ilvl w:val="1"/>
          <w:numId w:val="76"/>
        </w:numPr>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rPr>
        <w:t>Responsables de su implementación.</w:t>
      </w:r>
      <w:r>
        <w:rPr>
          <w:rStyle w:val="eop"/>
          <w:rFonts w:ascii="Arial" w:hAnsi="Arial" w:cs="Arial"/>
        </w:rPr>
        <w:t> </w:t>
      </w:r>
    </w:p>
    <w:p w14:paraId="193B96AB" w14:textId="313B3FA0" w:rsidR="00114ABF" w:rsidRDefault="002E13E4" w:rsidP="00AB5F46">
      <w:pPr>
        <w:widowControl w:val="0"/>
        <w:tabs>
          <w:tab w:val="left" w:pos="828"/>
        </w:tabs>
        <w:suppressAutoHyphens w:val="0"/>
        <w:autoSpaceDE w:val="0"/>
        <w:autoSpaceDN w:val="0"/>
        <w:spacing w:after="0"/>
        <w:jc w:val="both"/>
        <w:rPr>
          <w:rFonts w:ascii="Arial" w:hAnsi="Arial" w:cs="Arial"/>
          <w:sz w:val="24"/>
          <w:szCs w:val="24"/>
        </w:rPr>
      </w:pPr>
      <w:r w:rsidRPr="002E13E4">
        <w:rPr>
          <w:rFonts w:ascii="Arial" w:hAnsi="Arial" w:cs="Arial"/>
          <w:sz w:val="24"/>
          <w:szCs w:val="24"/>
        </w:rPr>
        <w:t xml:space="preserve">Cabe aclarar que, las acciones previstas deberán ser coherentes con la naturaleza y </w:t>
      </w:r>
      <w:r w:rsidRPr="002E13E4">
        <w:rPr>
          <w:rFonts w:ascii="Arial" w:hAnsi="Arial" w:cs="Arial"/>
          <w:sz w:val="24"/>
          <w:szCs w:val="24"/>
        </w:rPr>
        <w:lastRenderedPageBreak/>
        <w:t>alcance del plan, programa o proyecto, y demostrar su contribución al fortalecimiento social, la sostenibilidad y la apropiación comunitaria de la iniciativa. Así mismo, cada una de las actividades que se realicen con la comunidad deberán estar debidamente soportadas con registro fotográfico, listado de usuarios, acta e informe de resultados.</w:t>
      </w:r>
    </w:p>
    <w:p w14:paraId="61361D40" w14:textId="77777777" w:rsidR="00114ABF" w:rsidRDefault="00114ABF" w:rsidP="00AB5F46">
      <w:pPr>
        <w:widowControl w:val="0"/>
        <w:tabs>
          <w:tab w:val="left" w:pos="828"/>
        </w:tabs>
        <w:suppressAutoHyphens w:val="0"/>
        <w:autoSpaceDE w:val="0"/>
        <w:autoSpaceDN w:val="0"/>
        <w:spacing w:after="0" w:line="240" w:lineRule="auto"/>
        <w:jc w:val="both"/>
        <w:rPr>
          <w:rFonts w:ascii="Arial" w:hAnsi="Arial" w:cs="Arial"/>
          <w:sz w:val="24"/>
          <w:szCs w:val="24"/>
        </w:rPr>
      </w:pPr>
    </w:p>
    <w:p w14:paraId="33EB331C" w14:textId="5893CEFF" w:rsidR="00114ABF" w:rsidRPr="00AC10CC" w:rsidRDefault="00EB7E91" w:rsidP="00517B59">
      <w:pPr>
        <w:pStyle w:val="Ttulo6"/>
        <w:ind w:left="1152" w:hanging="1152"/>
        <w:rPr>
          <w:bCs/>
        </w:rPr>
      </w:pPr>
      <w:r w:rsidRPr="00EB7E91">
        <w:rPr>
          <w:bCs/>
        </w:rPr>
        <w:t xml:space="preserve">III-2.4.3 </w:t>
      </w:r>
      <w:r w:rsidR="007E7475" w:rsidRPr="00AC10CC">
        <w:rPr>
          <w:bCs/>
        </w:rPr>
        <w:t>Documentación Especifica</w:t>
      </w:r>
    </w:p>
    <w:p w14:paraId="7651B79A" w14:textId="77777777" w:rsidR="00EB7E91" w:rsidRPr="00EB7E91" w:rsidRDefault="00EB7E91" w:rsidP="00EB7E91">
      <w:pPr>
        <w:spacing w:after="0"/>
        <w:jc w:val="both"/>
        <w:rPr>
          <w:rFonts w:ascii="Arial" w:hAnsi="Arial" w:cs="Arial"/>
          <w:b/>
          <w:bCs/>
          <w:sz w:val="24"/>
          <w:szCs w:val="24"/>
        </w:rPr>
      </w:pPr>
    </w:p>
    <w:p w14:paraId="5FB93FCB" w14:textId="75039487" w:rsidR="007E7475" w:rsidRPr="007E7475" w:rsidRDefault="007E7475" w:rsidP="00AB5F46">
      <w:pPr>
        <w:pStyle w:val="paragraph"/>
        <w:spacing w:before="0" w:beforeAutospacing="0" w:after="0" w:afterAutospacing="0" w:line="276" w:lineRule="auto"/>
        <w:jc w:val="both"/>
        <w:textAlignment w:val="baseline"/>
        <w:rPr>
          <w:rFonts w:ascii="Arial" w:hAnsi="Arial" w:cs="Arial"/>
        </w:rPr>
      </w:pPr>
      <w:r>
        <w:rPr>
          <w:rStyle w:val="normaltextrun"/>
          <w:rFonts w:ascii="Arial" w:hAnsi="Arial" w:cs="Arial"/>
          <w:lang w:val="es-ES"/>
        </w:rPr>
        <w:t>Además de la documentación general señalada anteriormente, los planes, programas o proyectos deberán presentar la documentación específica correspondiente a cada tipología</w:t>
      </w:r>
      <w:r w:rsidR="004A325B">
        <w:rPr>
          <w:rStyle w:val="normaltextrun"/>
          <w:rFonts w:ascii="Arial" w:hAnsi="Arial" w:cs="Arial"/>
          <w:lang w:val="es-ES"/>
        </w:rPr>
        <w:t xml:space="preserve"> de que trata el numeral III-2.2</w:t>
      </w:r>
      <w:r>
        <w:rPr>
          <w:rStyle w:val="normaltextrun"/>
          <w:rFonts w:ascii="Arial" w:hAnsi="Arial" w:cs="Arial"/>
          <w:lang w:val="es-ES"/>
        </w:rPr>
        <w:t>, conforme a los requisitos establecidos en el presente documento.</w:t>
      </w:r>
      <w:r>
        <w:rPr>
          <w:rStyle w:val="eop"/>
          <w:rFonts w:ascii="Arial" w:hAnsi="Arial" w:cs="Arial"/>
        </w:rPr>
        <w:t> </w:t>
      </w:r>
    </w:p>
    <w:p w14:paraId="2C454B6E" w14:textId="77777777" w:rsidR="00EB7E91" w:rsidRDefault="00EB7E91" w:rsidP="00AB5F46">
      <w:pPr>
        <w:pStyle w:val="paragraph"/>
        <w:spacing w:before="0" w:beforeAutospacing="0" w:after="0" w:afterAutospacing="0" w:line="276" w:lineRule="auto"/>
        <w:jc w:val="both"/>
        <w:textAlignment w:val="baseline"/>
        <w:rPr>
          <w:rStyle w:val="normaltextrun"/>
          <w:rFonts w:ascii="Arial" w:hAnsi="Arial" w:cs="Arial"/>
          <w:lang w:val="es-ES"/>
        </w:rPr>
      </w:pPr>
    </w:p>
    <w:p w14:paraId="0364E7DA" w14:textId="19033CEF" w:rsidR="007E7475" w:rsidRDefault="007E7475" w:rsidP="00AB5F46">
      <w:pPr>
        <w:pStyle w:val="paragraph"/>
        <w:spacing w:before="0" w:beforeAutospacing="0" w:after="0" w:afterAutospacing="0" w:line="276" w:lineRule="auto"/>
        <w:jc w:val="both"/>
        <w:textAlignment w:val="baseline"/>
        <w:rPr>
          <w:rFonts w:ascii="Segoe UI" w:hAnsi="Segoe UI" w:cs="Segoe UI"/>
          <w:sz w:val="18"/>
          <w:szCs w:val="18"/>
        </w:rPr>
      </w:pPr>
      <w:r>
        <w:rPr>
          <w:rStyle w:val="normaltextrun"/>
          <w:rFonts w:ascii="Arial" w:hAnsi="Arial" w:cs="Arial"/>
          <w:lang w:val="es-ES"/>
        </w:rPr>
        <w:t>La documentación específica tiene como finalidad acreditar el cumplimiento de las condiciones técnicas, financieras, regulatorias y operativas particulares de cada tipología de proyecto. En consecuencia, cuando una iniciativa contemple más de una tipología, deberá presentarse de manera diferenciada la información exigida para cada una de ellas.</w:t>
      </w:r>
      <w:r>
        <w:rPr>
          <w:rStyle w:val="eop"/>
          <w:rFonts w:ascii="Arial" w:hAnsi="Arial" w:cs="Arial"/>
        </w:rPr>
        <w:t> </w:t>
      </w:r>
    </w:p>
    <w:p w14:paraId="6D41ACCB" w14:textId="4BB79AC5" w:rsidR="00114ABF" w:rsidRDefault="009921C9" w:rsidP="00AB5F46">
      <w:pPr>
        <w:widowControl w:val="0"/>
        <w:tabs>
          <w:tab w:val="left" w:pos="828"/>
        </w:tabs>
        <w:suppressAutoHyphens w:val="0"/>
        <w:autoSpaceDE w:val="0"/>
        <w:autoSpaceDN w:val="0"/>
        <w:spacing w:before="252" w:after="0"/>
        <w:jc w:val="both"/>
        <w:rPr>
          <w:rFonts w:ascii="Arial" w:hAnsi="Arial" w:cs="Arial"/>
          <w:sz w:val="24"/>
          <w:szCs w:val="24"/>
          <w:lang w:val="es-ES"/>
        </w:rPr>
      </w:pPr>
      <w:r w:rsidRPr="009921C9">
        <w:rPr>
          <w:rFonts w:ascii="Arial" w:hAnsi="Arial" w:cs="Arial"/>
          <w:sz w:val="24"/>
          <w:szCs w:val="24"/>
          <w:lang w:val="es-ES"/>
        </w:rPr>
        <w:t>El cumplimiento de estos requisitos será condición necesaria para la evaluación de viabilidad y eventual asignación de recursos.</w:t>
      </w:r>
    </w:p>
    <w:p w14:paraId="7B4FE140" w14:textId="77777777" w:rsidR="00EF22EA" w:rsidRDefault="00EF22EA" w:rsidP="00B03685">
      <w:pPr>
        <w:widowControl w:val="0"/>
        <w:tabs>
          <w:tab w:val="left" w:pos="828"/>
        </w:tabs>
        <w:suppressAutoHyphens w:val="0"/>
        <w:autoSpaceDE w:val="0"/>
        <w:autoSpaceDN w:val="0"/>
        <w:spacing w:before="252" w:after="0" w:line="240" w:lineRule="auto"/>
        <w:jc w:val="both"/>
        <w:rPr>
          <w:rFonts w:ascii="Arial" w:hAnsi="Arial" w:cs="Arial"/>
          <w:sz w:val="24"/>
          <w:szCs w:val="24"/>
        </w:rPr>
      </w:pPr>
    </w:p>
    <w:p w14:paraId="28D3DBB2" w14:textId="03132D93" w:rsidR="00E17ED3" w:rsidRPr="00C3442E" w:rsidRDefault="00910271" w:rsidP="00AB5F46">
      <w:pPr>
        <w:pStyle w:val="Ttulo6"/>
        <w:ind w:left="1152" w:hanging="1152"/>
        <w:jc w:val="both"/>
        <w:rPr>
          <w:bCs/>
        </w:rPr>
      </w:pPr>
      <w:r w:rsidRPr="00910271">
        <w:rPr>
          <w:bCs/>
        </w:rPr>
        <w:t>III-2.</w:t>
      </w:r>
      <w:r w:rsidR="00EF7308">
        <w:rPr>
          <w:bCs/>
        </w:rPr>
        <w:t>4.</w:t>
      </w:r>
      <w:r w:rsidR="00E1759A">
        <w:rPr>
          <w:bCs/>
        </w:rPr>
        <w:t xml:space="preserve">3.1 </w:t>
      </w:r>
      <w:r w:rsidR="007B32DE" w:rsidRPr="00C3442E">
        <w:rPr>
          <w:bCs/>
        </w:rPr>
        <w:t>P</w:t>
      </w:r>
      <w:r w:rsidR="00DA6045" w:rsidRPr="00C3442E">
        <w:rPr>
          <w:bCs/>
        </w:rPr>
        <w:t>royectos de Ampliación de Cobertura</w:t>
      </w:r>
      <w:r w:rsidR="000F46DF">
        <w:rPr>
          <w:bCs/>
        </w:rPr>
        <w:t xml:space="preserve"> en el SIN o ZNI</w:t>
      </w:r>
      <w:r w:rsidR="00DA6045" w:rsidRPr="00C3442E">
        <w:rPr>
          <w:bCs/>
        </w:rPr>
        <w:t>, Mejoramiento/Rehabilitación de la infraestructura</w:t>
      </w:r>
    </w:p>
    <w:p w14:paraId="0384F11E" w14:textId="77777777" w:rsidR="00114ABF" w:rsidRDefault="00114ABF" w:rsidP="004A325B">
      <w:pPr>
        <w:widowControl w:val="0"/>
        <w:tabs>
          <w:tab w:val="left" w:pos="828"/>
        </w:tabs>
        <w:suppressAutoHyphens w:val="0"/>
        <w:autoSpaceDE w:val="0"/>
        <w:autoSpaceDN w:val="0"/>
        <w:spacing w:after="0" w:line="240" w:lineRule="auto"/>
        <w:jc w:val="both"/>
        <w:rPr>
          <w:rFonts w:ascii="Arial" w:hAnsi="Arial" w:cs="Arial"/>
          <w:sz w:val="24"/>
          <w:szCs w:val="24"/>
        </w:rPr>
      </w:pPr>
    </w:p>
    <w:p w14:paraId="3B3C5488" w14:textId="74FA33FB" w:rsidR="00331F00" w:rsidRPr="00910271" w:rsidRDefault="00910271" w:rsidP="00517B59">
      <w:pPr>
        <w:pStyle w:val="Ttulo6"/>
        <w:ind w:left="1152" w:hanging="1152"/>
      </w:pPr>
      <w:r w:rsidRPr="00761FB5">
        <w:rPr>
          <w:bCs/>
        </w:rPr>
        <w:t>III-</w:t>
      </w:r>
      <w:r w:rsidR="00E1759A" w:rsidRPr="00910271">
        <w:rPr>
          <w:bCs/>
        </w:rPr>
        <w:t>2.</w:t>
      </w:r>
      <w:r w:rsidR="00E1759A">
        <w:rPr>
          <w:bCs/>
        </w:rPr>
        <w:t xml:space="preserve">4.3.1.1 </w:t>
      </w:r>
      <w:r w:rsidR="001C0E93" w:rsidRPr="00761FB5">
        <w:rPr>
          <w:bCs/>
        </w:rPr>
        <w:t>Documentación Jurídico – Administrativo Adicional</w:t>
      </w:r>
    </w:p>
    <w:p w14:paraId="6FDBAE7B" w14:textId="1812079A" w:rsidR="00746B37" w:rsidRPr="00746B37" w:rsidRDefault="00746B37" w:rsidP="00AB5F46">
      <w:pPr>
        <w:widowControl w:val="0"/>
        <w:numPr>
          <w:ilvl w:val="0"/>
          <w:numId w:val="91"/>
        </w:numPr>
        <w:tabs>
          <w:tab w:val="left" w:pos="828"/>
        </w:tabs>
        <w:suppressAutoHyphens w:val="0"/>
        <w:autoSpaceDE w:val="0"/>
        <w:autoSpaceDN w:val="0"/>
        <w:spacing w:before="252" w:after="0"/>
        <w:jc w:val="both"/>
        <w:rPr>
          <w:rFonts w:ascii="Arial" w:hAnsi="Arial" w:cs="Arial"/>
          <w:sz w:val="24"/>
          <w:szCs w:val="24"/>
        </w:rPr>
      </w:pPr>
      <w:r w:rsidRPr="00746B37">
        <w:rPr>
          <w:rFonts w:ascii="Arial" w:hAnsi="Arial" w:cs="Arial"/>
          <w:sz w:val="24"/>
          <w:szCs w:val="24"/>
        </w:rPr>
        <w:t>Aval técnico y financiero del Operador de Red o Prestador del Servicio</w:t>
      </w:r>
      <w:r w:rsidR="004A325B">
        <w:rPr>
          <w:rFonts w:ascii="Arial" w:hAnsi="Arial" w:cs="Arial"/>
          <w:sz w:val="24"/>
          <w:szCs w:val="24"/>
        </w:rPr>
        <w:t>:</w:t>
      </w:r>
      <w:r w:rsidRPr="00746B37">
        <w:rPr>
          <w:rFonts w:ascii="Arial" w:hAnsi="Arial" w:cs="Arial"/>
          <w:sz w:val="24"/>
          <w:szCs w:val="24"/>
        </w:rPr>
        <w:t> Documento firmado por el Representante Legal del Operador de Red o Prestador del Servicio sobre la viabilidad técnica y financiera del proyecto de inversión, indicando que el proyecto cumple con las especificaciones y normas técnicas que han sido establecidas para los materiales y equipos, así como para la construcción e instalación de la nueva infraestructura eléctrica, señalando que el Operador de Red o el Prestador del Servicio se obliga a: </w:t>
      </w:r>
    </w:p>
    <w:p w14:paraId="59C194ED" w14:textId="24F3BDCF" w:rsidR="00746B37" w:rsidRPr="00746B37" w:rsidRDefault="00746B37" w:rsidP="00AB5F46">
      <w:pPr>
        <w:widowControl w:val="0"/>
        <w:numPr>
          <w:ilvl w:val="0"/>
          <w:numId w:val="94"/>
        </w:numPr>
        <w:tabs>
          <w:tab w:val="left" w:pos="828"/>
        </w:tabs>
        <w:suppressAutoHyphens w:val="0"/>
        <w:autoSpaceDE w:val="0"/>
        <w:autoSpaceDN w:val="0"/>
        <w:spacing w:before="252" w:after="0"/>
        <w:jc w:val="both"/>
        <w:rPr>
          <w:rFonts w:ascii="Arial" w:hAnsi="Arial" w:cs="Arial"/>
          <w:sz w:val="24"/>
          <w:szCs w:val="24"/>
        </w:rPr>
      </w:pPr>
      <w:r w:rsidRPr="00746B37">
        <w:rPr>
          <w:rFonts w:ascii="Arial" w:hAnsi="Arial" w:cs="Arial"/>
          <w:sz w:val="24"/>
          <w:szCs w:val="24"/>
        </w:rPr>
        <w:t>Autorizar la energización de los activos que se construyan de acuerdo con el proyecto de inversión</w:t>
      </w:r>
      <w:r w:rsidR="00480906">
        <w:rPr>
          <w:rFonts w:ascii="Arial" w:hAnsi="Arial" w:cs="Arial"/>
          <w:sz w:val="24"/>
          <w:szCs w:val="24"/>
        </w:rPr>
        <w:t xml:space="preserve"> (aplica para proyectos en el SIN)</w:t>
      </w:r>
      <w:r w:rsidRPr="00746B37">
        <w:rPr>
          <w:rFonts w:ascii="Arial" w:hAnsi="Arial" w:cs="Arial"/>
          <w:sz w:val="24"/>
          <w:szCs w:val="24"/>
        </w:rPr>
        <w:t>. </w:t>
      </w:r>
    </w:p>
    <w:p w14:paraId="727B25D5" w14:textId="77777777" w:rsidR="00746B37" w:rsidRPr="00746B37" w:rsidRDefault="00746B37" w:rsidP="00AB5F46">
      <w:pPr>
        <w:widowControl w:val="0"/>
        <w:numPr>
          <w:ilvl w:val="0"/>
          <w:numId w:val="94"/>
        </w:numPr>
        <w:tabs>
          <w:tab w:val="left" w:pos="828"/>
        </w:tabs>
        <w:suppressAutoHyphens w:val="0"/>
        <w:autoSpaceDE w:val="0"/>
        <w:autoSpaceDN w:val="0"/>
        <w:spacing w:after="0"/>
        <w:jc w:val="both"/>
        <w:rPr>
          <w:rFonts w:ascii="Arial" w:hAnsi="Arial" w:cs="Arial"/>
          <w:sz w:val="24"/>
          <w:szCs w:val="24"/>
        </w:rPr>
      </w:pPr>
      <w:r w:rsidRPr="00746B37">
        <w:rPr>
          <w:rFonts w:ascii="Arial" w:hAnsi="Arial" w:cs="Arial"/>
          <w:sz w:val="24"/>
          <w:szCs w:val="24"/>
        </w:rPr>
        <w:t>Recibir los activos construidos como resultado de la ejecución del proyecto para efectuar las labores de Administración, Operación y Mantenimiento (AOM). </w:t>
      </w:r>
    </w:p>
    <w:p w14:paraId="79673F22" w14:textId="77777777" w:rsidR="00746B37" w:rsidRPr="00746B37" w:rsidRDefault="00746B37" w:rsidP="00AB5F46">
      <w:pPr>
        <w:widowControl w:val="0"/>
        <w:numPr>
          <w:ilvl w:val="0"/>
          <w:numId w:val="94"/>
        </w:numPr>
        <w:tabs>
          <w:tab w:val="left" w:pos="828"/>
        </w:tabs>
        <w:suppressAutoHyphens w:val="0"/>
        <w:autoSpaceDE w:val="0"/>
        <w:autoSpaceDN w:val="0"/>
        <w:spacing w:after="0"/>
        <w:jc w:val="both"/>
        <w:rPr>
          <w:rFonts w:ascii="Arial" w:hAnsi="Arial" w:cs="Arial"/>
          <w:sz w:val="24"/>
          <w:szCs w:val="24"/>
        </w:rPr>
      </w:pPr>
      <w:r w:rsidRPr="00746B37">
        <w:rPr>
          <w:rFonts w:ascii="Arial" w:hAnsi="Arial" w:cs="Arial"/>
          <w:sz w:val="24"/>
          <w:szCs w:val="24"/>
        </w:rPr>
        <w:t>Efectuar la reposición de los activos cuando sea necesario. </w:t>
      </w:r>
    </w:p>
    <w:p w14:paraId="5992F359" w14:textId="77777777" w:rsidR="002E3DB0" w:rsidRDefault="00746B37" w:rsidP="00AB5F46">
      <w:pPr>
        <w:widowControl w:val="0"/>
        <w:numPr>
          <w:ilvl w:val="0"/>
          <w:numId w:val="94"/>
        </w:numPr>
        <w:tabs>
          <w:tab w:val="left" w:pos="828"/>
        </w:tabs>
        <w:suppressAutoHyphens w:val="0"/>
        <w:autoSpaceDE w:val="0"/>
        <w:autoSpaceDN w:val="0"/>
        <w:spacing w:after="0"/>
        <w:jc w:val="both"/>
        <w:rPr>
          <w:rFonts w:ascii="Arial" w:hAnsi="Arial" w:cs="Arial"/>
          <w:sz w:val="24"/>
          <w:szCs w:val="24"/>
        </w:rPr>
      </w:pPr>
      <w:r w:rsidRPr="00746B37">
        <w:rPr>
          <w:rFonts w:ascii="Arial" w:hAnsi="Arial" w:cs="Arial"/>
          <w:sz w:val="24"/>
          <w:szCs w:val="24"/>
        </w:rPr>
        <w:t>Garantizar la prestación del servicio de energía eléctrica a los suscriptores potenciales, ofreciendo los índices de calidad y continuidad previstos en la regulación</w:t>
      </w:r>
      <w:r w:rsidR="00480906">
        <w:rPr>
          <w:rFonts w:ascii="Arial" w:hAnsi="Arial" w:cs="Arial"/>
          <w:sz w:val="24"/>
          <w:szCs w:val="24"/>
        </w:rPr>
        <w:t xml:space="preserve"> (aplica para proyectos en el SIN)</w:t>
      </w:r>
      <w:r w:rsidR="00480906" w:rsidRPr="00746B37">
        <w:rPr>
          <w:rFonts w:ascii="Arial" w:hAnsi="Arial" w:cs="Arial"/>
          <w:sz w:val="24"/>
          <w:szCs w:val="24"/>
        </w:rPr>
        <w:t>.</w:t>
      </w:r>
    </w:p>
    <w:p w14:paraId="296E6FA6" w14:textId="588AA2C3" w:rsidR="00746B37" w:rsidRPr="00746B37" w:rsidRDefault="00480906" w:rsidP="002E3DB0">
      <w:pPr>
        <w:widowControl w:val="0"/>
        <w:tabs>
          <w:tab w:val="left" w:pos="828"/>
        </w:tabs>
        <w:suppressAutoHyphens w:val="0"/>
        <w:autoSpaceDE w:val="0"/>
        <w:autoSpaceDN w:val="0"/>
        <w:spacing w:after="0"/>
        <w:ind w:left="720"/>
        <w:jc w:val="both"/>
        <w:rPr>
          <w:rFonts w:ascii="Arial" w:hAnsi="Arial" w:cs="Arial"/>
          <w:sz w:val="24"/>
          <w:szCs w:val="24"/>
        </w:rPr>
      </w:pPr>
      <w:r w:rsidRPr="00746B37">
        <w:rPr>
          <w:rFonts w:ascii="Arial" w:hAnsi="Arial" w:cs="Arial"/>
          <w:sz w:val="24"/>
          <w:szCs w:val="24"/>
        </w:rPr>
        <w:t> </w:t>
      </w:r>
    </w:p>
    <w:p w14:paraId="710B419F" w14:textId="5A9BD7D9" w:rsidR="00746B37" w:rsidRDefault="00746B37" w:rsidP="00AB5F46">
      <w:pPr>
        <w:widowControl w:val="0"/>
        <w:numPr>
          <w:ilvl w:val="0"/>
          <w:numId w:val="92"/>
        </w:numPr>
        <w:tabs>
          <w:tab w:val="left" w:pos="828"/>
        </w:tabs>
        <w:suppressAutoHyphens w:val="0"/>
        <w:autoSpaceDE w:val="0"/>
        <w:autoSpaceDN w:val="0"/>
        <w:spacing w:after="0"/>
        <w:jc w:val="both"/>
        <w:rPr>
          <w:rFonts w:ascii="Arial" w:hAnsi="Arial" w:cs="Arial"/>
          <w:sz w:val="24"/>
          <w:szCs w:val="24"/>
        </w:rPr>
      </w:pPr>
      <w:r w:rsidRPr="00746B37">
        <w:rPr>
          <w:rFonts w:ascii="Arial" w:hAnsi="Arial" w:cs="Arial"/>
          <w:sz w:val="24"/>
          <w:szCs w:val="24"/>
        </w:rPr>
        <w:t>Certificado de no</w:t>
      </w:r>
      <w:r w:rsidR="004A325B">
        <w:rPr>
          <w:rFonts w:ascii="Arial" w:hAnsi="Arial" w:cs="Arial"/>
          <w:sz w:val="24"/>
          <w:szCs w:val="24"/>
        </w:rPr>
        <w:t xml:space="preserve"> inclusión en el </w:t>
      </w:r>
      <w:r w:rsidR="004A325B" w:rsidRPr="00746B37">
        <w:rPr>
          <w:rFonts w:ascii="Arial" w:hAnsi="Arial" w:cs="Arial"/>
          <w:sz w:val="24"/>
          <w:szCs w:val="24"/>
        </w:rPr>
        <w:t>Plan de Expansión de Cobertura </w:t>
      </w:r>
      <w:r w:rsidR="004A325B">
        <w:rPr>
          <w:rFonts w:ascii="Arial" w:hAnsi="Arial" w:cs="Arial"/>
          <w:sz w:val="24"/>
          <w:szCs w:val="24"/>
        </w:rPr>
        <w:t>del OR</w:t>
      </w:r>
      <w:r w:rsidRPr="00746B37">
        <w:rPr>
          <w:rFonts w:ascii="Arial" w:hAnsi="Arial" w:cs="Arial"/>
          <w:sz w:val="24"/>
          <w:szCs w:val="24"/>
        </w:rPr>
        <w:t xml:space="preserve">: Cuando se trate de proyectos cercanos a zonas rurales del SIN, certificado del Operador de Red - OR del SIN más cercano que indique que estos usuarios no se encuentran dentro de su Plan de Expansión de Cobertura y no está previsto o no </w:t>
      </w:r>
      <w:r w:rsidRPr="00746B37">
        <w:rPr>
          <w:rFonts w:ascii="Arial" w:hAnsi="Arial" w:cs="Arial"/>
          <w:sz w:val="24"/>
          <w:szCs w:val="24"/>
        </w:rPr>
        <w:lastRenderedPageBreak/>
        <w:t>es viable conectarlos en un horizonte de por lo menos 5 años. </w:t>
      </w:r>
      <w:r w:rsidR="00480906">
        <w:rPr>
          <w:rFonts w:ascii="Arial" w:hAnsi="Arial" w:cs="Arial"/>
          <w:sz w:val="24"/>
          <w:szCs w:val="24"/>
        </w:rPr>
        <w:t>(Aplica para proyectos en el SIN)</w:t>
      </w:r>
    </w:p>
    <w:p w14:paraId="1BFA12B5" w14:textId="77777777" w:rsidR="00AB5F46" w:rsidRDefault="00AB5F46" w:rsidP="00AB5F46">
      <w:pPr>
        <w:widowControl w:val="0"/>
        <w:tabs>
          <w:tab w:val="left" w:pos="828"/>
        </w:tabs>
        <w:suppressAutoHyphens w:val="0"/>
        <w:autoSpaceDE w:val="0"/>
        <w:autoSpaceDN w:val="0"/>
        <w:spacing w:after="0"/>
        <w:ind w:left="360"/>
        <w:jc w:val="both"/>
        <w:rPr>
          <w:rFonts w:ascii="Arial" w:hAnsi="Arial" w:cs="Arial"/>
          <w:sz w:val="24"/>
          <w:szCs w:val="24"/>
        </w:rPr>
      </w:pPr>
    </w:p>
    <w:p w14:paraId="57E15FA8" w14:textId="44DE3AB0" w:rsidR="00746B37" w:rsidRPr="00746B37" w:rsidRDefault="00746B37" w:rsidP="00AB5F46">
      <w:pPr>
        <w:widowControl w:val="0"/>
        <w:numPr>
          <w:ilvl w:val="0"/>
          <w:numId w:val="93"/>
        </w:numPr>
        <w:tabs>
          <w:tab w:val="left" w:pos="828"/>
        </w:tabs>
        <w:suppressAutoHyphens w:val="0"/>
        <w:autoSpaceDE w:val="0"/>
        <w:autoSpaceDN w:val="0"/>
        <w:spacing w:after="0"/>
        <w:jc w:val="both"/>
        <w:rPr>
          <w:rFonts w:ascii="Arial" w:hAnsi="Arial" w:cs="Arial"/>
          <w:sz w:val="24"/>
          <w:szCs w:val="24"/>
        </w:rPr>
      </w:pPr>
      <w:r w:rsidRPr="00746B37">
        <w:rPr>
          <w:rFonts w:ascii="Arial" w:hAnsi="Arial" w:cs="Arial"/>
          <w:sz w:val="24"/>
          <w:szCs w:val="24"/>
        </w:rPr>
        <w:t xml:space="preserve">Certificación de </w:t>
      </w:r>
      <w:r w:rsidR="006D7B56">
        <w:rPr>
          <w:rFonts w:ascii="Arial" w:hAnsi="Arial" w:cs="Arial"/>
          <w:sz w:val="24"/>
          <w:szCs w:val="24"/>
        </w:rPr>
        <w:t>propiedad</w:t>
      </w:r>
      <w:r w:rsidRPr="00746B37">
        <w:rPr>
          <w:rFonts w:ascii="Arial" w:hAnsi="Arial" w:cs="Arial"/>
          <w:sz w:val="24"/>
          <w:szCs w:val="24"/>
        </w:rPr>
        <w:t xml:space="preserve"> de activos existentes</w:t>
      </w:r>
      <w:r w:rsidR="006D7B56">
        <w:rPr>
          <w:rFonts w:ascii="Arial" w:hAnsi="Arial" w:cs="Arial"/>
          <w:sz w:val="24"/>
          <w:szCs w:val="24"/>
        </w:rPr>
        <w:t xml:space="preserve"> por parte del OR:</w:t>
      </w:r>
      <w:r w:rsidRPr="00746B37">
        <w:rPr>
          <w:rFonts w:ascii="Arial" w:hAnsi="Arial" w:cs="Arial"/>
          <w:sz w:val="24"/>
          <w:szCs w:val="24"/>
        </w:rPr>
        <w:t> </w:t>
      </w:r>
      <w:r w:rsidR="006D7B56">
        <w:rPr>
          <w:rFonts w:ascii="Arial" w:hAnsi="Arial" w:cs="Arial"/>
          <w:sz w:val="24"/>
          <w:szCs w:val="24"/>
        </w:rPr>
        <w:t>Este documento deberá ser suscrito por el OR propietario de los activos a intervenir</w:t>
      </w:r>
      <w:r w:rsidRPr="00746B37">
        <w:rPr>
          <w:rFonts w:ascii="Arial" w:hAnsi="Arial" w:cs="Arial"/>
          <w:sz w:val="24"/>
          <w:szCs w:val="24"/>
        </w:rPr>
        <w:t>,</w:t>
      </w:r>
      <w:r w:rsidR="006D7B56">
        <w:rPr>
          <w:rFonts w:ascii="Arial" w:hAnsi="Arial" w:cs="Arial"/>
          <w:sz w:val="24"/>
          <w:szCs w:val="24"/>
        </w:rPr>
        <w:t xml:space="preserve"> el cual señalará</w:t>
      </w:r>
      <w:r w:rsidRPr="00746B37">
        <w:rPr>
          <w:rFonts w:ascii="Arial" w:hAnsi="Arial" w:cs="Arial"/>
          <w:sz w:val="24"/>
          <w:szCs w:val="24"/>
        </w:rPr>
        <w:t xml:space="preserve"> el estado en que estos se encuentran, </w:t>
      </w:r>
      <w:r w:rsidR="006D7B56">
        <w:rPr>
          <w:rFonts w:ascii="Arial" w:hAnsi="Arial" w:cs="Arial"/>
          <w:sz w:val="24"/>
          <w:szCs w:val="24"/>
        </w:rPr>
        <w:t xml:space="preserve">el </w:t>
      </w:r>
      <w:r w:rsidRPr="00746B37">
        <w:rPr>
          <w:rFonts w:ascii="Arial" w:hAnsi="Arial" w:cs="Arial"/>
          <w:sz w:val="24"/>
          <w:szCs w:val="24"/>
        </w:rPr>
        <w:t xml:space="preserve">permiso para su </w:t>
      </w:r>
      <w:r w:rsidR="006D7B56">
        <w:rPr>
          <w:rFonts w:ascii="Arial" w:hAnsi="Arial" w:cs="Arial"/>
          <w:sz w:val="24"/>
          <w:szCs w:val="24"/>
        </w:rPr>
        <w:t>intervención, su destinación final y si</w:t>
      </w:r>
      <w:r w:rsidRPr="00746B37">
        <w:rPr>
          <w:rFonts w:ascii="Arial" w:hAnsi="Arial" w:cs="Arial"/>
          <w:sz w:val="24"/>
          <w:szCs w:val="24"/>
        </w:rPr>
        <w:t xml:space="preserve"> fueron remunerados vía tarifa y hacen parte del inventario de activos reportados a la Comisión de Regulación de Energía y Gas (CREG) en caso de que aplique. </w:t>
      </w:r>
      <w:r w:rsidR="00480906">
        <w:rPr>
          <w:rFonts w:ascii="Arial" w:hAnsi="Arial" w:cs="Arial"/>
          <w:sz w:val="24"/>
          <w:szCs w:val="24"/>
        </w:rPr>
        <w:t>(Aplica para proyectos en el SIN)</w:t>
      </w:r>
    </w:p>
    <w:p w14:paraId="337C956C" w14:textId="77777777" w:rsidR="00114ABF" w:rsidRDefault="00114ABF" w:rsidP="00AB5F46">
      <w:pPr>
        <w:widowControl w:val="0"/>
        <w:tabs>
          <w:tab w:val="left" w:pos="828"/>
        </w:tabs>
        <w:suppressAutoHyphens w:val="0"/>
        <w:autoSpaceDE w:val="0"/>
        <w:autoSpaceDN w:val="0"/>
        <w:spacing w:after="0" w:line="240" w:lineRule="auto"/>
        <w:jc w:val="both"/>
        <w:rPr>
          <w:rFonts w:ascii="Arial" w:hAnsi="Arial" w:cs="Arial"/>
          <w:sz w:val="24"/>
          <w:szCs w:val="24"/>
        </w:rPr>
      </w:pPr>
    </w:p>
    <w:p w14:paraId="54A199A3" w14:textId="1CA46575" w:rsidR="00114ABF" w:rsidRPr="003D47CC" w:rsidRDefault="00C55059" w:rsidP="003D47CC">
      <w:pPr>
        <w:pStyle w:val="Ttulo6"/>
        <w:ind w:left="1152" w:hanging="1152"/>
        <w:rPr>
          <w:bCs/>
        </w:rPr>
      </w:pPr>
      <w:r w:rsidRPr="00C55059">
        <w:rPr>
          <w:bCs/>
        </w:rPr>
        <w:t>III-</w:t>
      </w:r>
      <w:r w:rsidR="00E1759A" w:rsidRPr="00910271">
        <w:rPr>
          <w:bCs/>
        </w:rPr>
        <w:t>2.</w:t>
      </w:r>
      <w:r w:rsidR="00E1759A">
        <w:rPr>
          <w:bCs/>
        </w:rPr>
        <w:t>4.3.2</w:t>
      </w:r>
      <w:r w:rsidRPr="00C55059">
        <w:rPr>
          <w:bCs/>
        </w:rPr>
        <w:t xml:space="preserve"> </w:t>
      </w:r>
      <w:r w:rsidR="009E41A5" w:rsidRPr="003D47CC">
        <w:rPr>
          <w:bCs/>
        </w:rPr>
        <w:t>Proyectos de Normalización de Redes Eléctricas</w:t>
      </w:r>
    </w:p>
    <w:p w14:paraId="5ED05BA8" w14:textId="77777777" w:rsidR="00A62446" w:rsidRPr="00A62446" w:rsidRDefault="00A62446" w:rsidP="008E39FD">
      <w:pPr>
        <w:spacing w:after="0"/>
      </w:pPr>
    </w:p>
    <w:p w14:paraId="670B417D" w14:textId="3A844494" w:rsidR="00114ABF" w:rsidRPr="00056DC5" w:rsidRDefault="004306A1" w:rsidP="00517B59">
      <w:pPr>
        <w:pStyle w:val="Ttulo6"/>
        <w:ind w:left="1152" w:hanging="1152"/>
        <w:rPr>
          <w:bCs/>
        </w:rPr>
      </w:pPr>
      <w:r w:rsidRPr="004306A1">
        <w:rPr>
          <w:bCs/>
        </w:rPr>
        <w:t>III-</w:t>
      </w:r>
      <w:r w:rsidR="00E1759A" w:rsidRPr="00910271">
        <w:rPr>
          <w:bCs/>
        </w:rPr>
        <w:t>2.</w:t>
      </w:r>
      <w:r w:rsidR="00E1759A">
        <w:rPr>
          <w:bCs/>
        </w:rPr>
        <w:t>4.3.2.1</w:t>
      </w:r>
      <w:r w:rsidRPr="004306A1">
        <w:rPr>
          <w:bCs/>
        </w:rPr>
        <w:t xml:space="preserve"> </w:t>
      </w:r>
      <w:r w:rsidR="00A62446" w:rsidRPr="00056DC5">
        <w:rPr>
          <w:bCs/>
        </w:rPr>
        <w:t>Documentación Jurídico – Administrativa Adicional</w:t>
      </w:r>
    </w:p>
    <w:p w14:paraId="598FEE38" w14:textId="11445470" w:rsidR="003B4C1B" w:rsidRPr="003B4C1B" w:rsidRDefault="005F1D1F" w:rsidP="00AB5F46">
      <w:pPr>
        <w:widowControl w:val="0"/>
        <w:numPr>
          <w:ilvl w:val="0"/>
          <w:numId w:val="95"/>
        </w:numPr>
        <w:tabs>
          <w:tab w:val="left" w:pos="828"/>
        </w:tabs>
        <w:suppressAutoHyphens w:val="0"/>
        <w:autoSpaceDE w:val="0"/>
        <w:autoSpaceDN w:val="0"/>
        <w:spacing w:before="252" w:after="0"/>
        <w:jc w:val="both"/>
        <w:rPr>
          <w:rFonts w:ascii="Arial" w:hAnsi="Arial" w:cs="Arial"/>
          <w:sz w:val="24"/>
          <w:szCs w:val="24"/>
        </w:rPr>
      </w:pPr>
      <w:r>
        <w:rPr>
          <w:rFonts w:ascii="Arial" w:hAnsi="Arial" w:cs="Arial"/>
          <w:sz w:val="24"/>
          <w:szCs w:val="24"/>
        </w:rPr>
        <w:t>D</w:t>
      </w:r>
      <w:r w:rsidRPr="003B4C1B">
        <w:rPr>
          <w:rFonts w:ascii="Arial" w:hAnsi="Arial" w:cs="Arial"/>
          <w:sz w:val="24"/>
          <w:szCs w:val="24"/>
        </w:rPr>
        <w:t>ocumento suscrito</w:t>
      </w:r>
      <w:r>
        <w:rPr>
          <w:rFonts w:ascii="Arial" w:hAnsi="Arial" w:cs="Arial"/>
          <w:sz w:val="24"/>
          <w:szCs w:val="24"/>
        </w:rPr>
        <w:t xml:space="preserve"> por el comercializador, en el evento en que </w:t>
      </w:r>
      <w:r w:rsidR="008A6A65">
        <w:rPr>
          <w:rFonts w:ascii="Arial" w:hAnsi="Arial" w:cs="Arial"/>
          <w:sz w:val="24"/>
          <w:szCs w:val="24"/>
        </w:rPr>
        <w:t>é</w:t>
      </w:r>
      <w:r>
        <w:rPr>
          <w:rFonts w:ascii="Arial" w:hAnsi="Arial" w:cs="Arial"/>
          <w:sz w:val="24"/>
          <w:szCs w:val="24"/>
        </w:rPr>
        <w:t>ste no sea el mismo OR</w:t>
      </w:r>
      <w:r w:rsidR="008A6A65">
        <w:rPr>
          <w:rFonts w:ascii="Arial" w:hAnsi="Arial" w:cs="Arial"/>
          <w:sz w:val="24"/>
          <w:szCs w:val="24"/>
        </w:rPr>
        <w:t>, en el que se comprometa a atender a los usuarios normalizados.</w:t>
      </w:r>
    </w:p>
    <w:p w14:paraId="50A96F74" w14:textId="6B7C0907" w:rsidR="003B4C1B" w:rsidRPr="003B4C1B" w:rsidRDefault="003B4C1B" w:rsidP="00AB5F46">
      <w:pPr>
        <w:widowControl w:val="0"/>
        <w:numPr>
          <w:ilvl w:val="0"/>
          <w:numId w:val="96"/>
        </w:numPr>
        <w:tabs>
          <w:tab w:val="left" w:pos="828"/>
        </w:tabs>
        <w:suppressAutoHyphens w:val="0"/>
        <w:autoSpaceDE w:val="0"/>
        <w:autoSpaceDN w:val="0"/>
        <w:spacing w:before="252" w:after="0"/>
        <w:jc w:val="both"/>
        <w:rPr>
          <w:rFonts w:ascii="Arial" w:hAnsi="Arial" w:cs="Arial"/>
          <w:sz w:val="24"/>
          <w:szCs w:val="24"/>
        </w:rPr>
      </w:pPr>
      <w:r w:rsidRPr="003B4C1B">
        <w:rPr>
          <w:rFonts w:ascii="Arial" w:hAnsi="Arial" w:cs="Arial"/>
          <w:sz w:val="24"/>
          <w:szCs w:val="24"/>
          <w:lang w:val="es-ES"/>
        </w:rPr>
        <w:t xml:space="preserve">Certificado del Operador de Red, con el correspondiente membrete y en el </w:t>
      </w:r>
      <w:r w:rsidRPr="008A6A65">
        <w:rPr>
          <w:rFonts w:ascii="Arial" w:hAnsi="Arial" w:cs="Arial"/>
          <w:sz w:val="24"/>
          <w:szCs w:val="24"/>
          <w:highlight w:val="yellow"/>
          <w:lang w:val="es-ES"/>
        </w:rPr>
        <w:t>formato</w:t>
      </w:r>
      <w:r w:rsidRPr="003B4C1B">
        <w:rPr>
          <w:rFonts w:ascii="Arial" w:hAnsi="Arial" w:cs="Arial"/>
          <w:sz w:val="24"/>
          <w:szCs w:val="24"/>
          <w:lang w:val="es-ES"/>
        </w:rPr>
        <w:t xml:space="preserve"> adjunto a esta resolución denominado “Formato Certificación Operador de Red”, en el que se especifique:</w:t>
      </w:r>
      <w:r w:rsidRPr="003B4C1B">
        <w:rPr>
          <w:rFonts w:ascii="Arial" w:hAnsi="Arial" w:cs="Arial"/>
          <w:sz w:val="24"/>
          <w:szCs w:val="24"/>
        </w:rPr>
        <w:t> </w:t>
      </w:r>
    </w:p>
    <w:p w14:paraId="2EA32817" w14:textId="5918D311" w:rsidR="003B4C1B" w:rsidRPr="003B4C1B" w:rsidRDefault="003B4C1B" w:rsidP="00AB5F46">
      <w:pPr>
        <w:widowControl w:val="0"/>
        <w:numPr>
          <w:ilvl w:val="0"/>
          <w:numId w:val="97"/>
        </w:numPr>
        <w:tabs>
          <w:tab w:val="clear" w:pos="720"/>
        </w:tabs>
        <w:suppressAutoHyphens w:val="0"/>
        <w:autoSpaceDE w:val="0"/>
        <w:autoSpaceDN w:val="0"/>
        <w:spacing w:before="252" w:after="0"/>
        <w:ind w:left="1276" w:hanging="349"/>
        <w:jc w:val="both"/>
        <w:rPr>
          <w:rFonts w:ascii="Arial" w:hAnsi="Arial" w:cs="Arial"/>
          <w:sz w:val="24"/>
          <w:szCs w:val="24"/>
        </w:rPr>
      </w:pPr>
      <w:r w:rsidRPr="003B4C1B">
        <w:rPr>
          <w:rFonts w:ascii="Arial" w:hAnsi="Arial" w:cs="Arial"/>
          <w:sz w:val="24"/>
          <w:szCs w:val="24"/>
          <w:lang w:val="es-ES"/>
        </w:rPr>
        <w:t xml:space="preserve">Compromiso de, en caso tal de ejecutar el proyecto, elaborar un listado de usuarios a beneficiar posterior al replanteo y previo al inicio de obras en donde se evidencie: Nombre y apellido del usuario, </w:t>
      </w:r>
      <w:r w:rsidR="008A6A65">
        <w:rPr>
          <w:rFonts w:ascii="Arial" w:hAnsi="Arial" w:cs="Arial"/>
          <w:sz w:val="24"/>
          <w:szCs w:val="24"/>
          <w:lang w:val="es-ES"/>
        </w:rPr>
        <w:t>i</w:t>
      </w:r>
      <w:r w:rsidRPr="003B4C1B">
        <w:rPr>
          <w:rFonts w:ascii="Arial" w:hAnsi="Arial" w:cs="Arial"/>
          <w:sz w:val="24"/>
          <w:szCs w:val="24"/>
          <w:lang w:val="es-ES"/>
        </w:rPr>
        <w:t xml:space="preserve">dentificación, </w:t>
      </w:r>
      <w:r w:rsidR="008A6A65">
        <w:rPr>
          <w:rFonts w:ascii="Arial" w:hAnsi="Arial" w:cs="Arial"/>
          <w:sz w:val="24"/>
          <w:szCs w:val="24"/>
          <w:lang w:val="es-ES"/>
        </w:rPr>
        <w:t>p</w:t>
      </w:r>
      <w:r w:rsidRPr="003B4C1B">
        <w:rPr>
          <w:rFonts w:ascii="Arial" w:hAnsi="Arial" w:cs="Arial"/>
          <w:sz w:val="24"/>
          <w:szCs w:val="24"/>
          <w:lang w:val="es-ES"/>
        </w:rPr>
        <w:t xml:space="preserve">ertenencia étnica, </w:t>
      </w:r>
      <w:r w:rsidR="008A6A65">
        <w:rPr>
          <w:rFonts w:ascii="Arial" w:hAnsi="Arial" w:cs="Arial"/>
          <w:sz w:val="24"/>
          <w:szCs w:val="24"/>
          <w:lang w:val="es-ES"/>
        </w:rPr>
        <w:t>n</w:t>
      </w:r>
      <w:r w:rsidRPr="003B4C1B">
        <w:rPr>
          <w:rFonts w:ascii="Arial" w:hAnsi="Arial" w:cs="Arial"/>
          <w:sz w:val="24"/>
          <w:szCs w:val="24"/>
          <w:lang w:val="es-ES"/>
        </w:rPr>
        <w:t xml:space="preserve">úmero telefónico, </w:t>
      </w:r>
      <w:r w:rsidR="008A6A65">
        <w:rPr>
          <w:rFonts w:ascii="Arial" w:hAnsi="Arial" w:cs="Arial"/>
          <w:sz w:val="24"/>
          <w:szCs w:val="24"/>
          <w:lang w:val="es-ES"/>
        </w:rPr>
        <w:t>u</w:t>
      </w:r>
      <w:r w:rsidRPr="003B4C1B">
        <w:rPr>
          <w:rFonts w:ascii="Arial" w:hAnsi="Arial" w:cs="Arial"/>
          <w:sz w:val="24"/>
          <w:szCs w:val="24"/>
          <w:lang w:val="es-ES"/>
        </w:rPr>
        <w:t xml:space="preserve">bicación - coordenadas en Magna Sirgas origen Bogotá y </w:t>
      </w:r>
      <w:r w:rsidR="008A6A65">
        <w:rPr>
          <w:rFonts w:ascii="Arial" w:hAnsi="Arial" w:cs="Arial"/>
          <w:sz w:val="24"/>
          <w:szCs w:val="24"/>
          <w:lang w:val="es-ES"/>
        </w:rPr>
        <w:t>d</w:t>
      </w:r>
      <w:r w:rsidRPr="003B4C1B">
        <w:rPr>
          <w:rFonts w:ascii="Arial" w:hAnsi="Arial" w:cs="Arial"/>
          <w:sz w:val="24"/>
          <w:szCs w:val="24"/>
          <w:lang w:val="es-ES"/>
        </w:rPr>
        <w:t>irección.</w:t>
      </w:r>
      <w:r w:rsidRPr="003B4C1B">
        <w:rPr>
          <w:rFonts w:ascii="Arial" w:hAnsi="Arial" w:cs="Arial"/>
          <w:sz w:val="24"/>
          <w:szCs w:val="24"/>
        </w:rPr>
        <w:t> </w:t>
      </w:r>
    </w:p>
    <w:p w14:paraId="440A496F" w14:textId="6BD469FB" w:rsidR="003B4C1B" w:rsidRPr="003B4C1B" w:rsidRDefault="003B4C1B" w:rsidP="00AB5F46">
      <w:pPr>
        <w:widowControl w:val="0"/>
        <w:tabs>
          <w:tab w:val="left" w:pos="828"/>
        </w:tabs>
        <w:suppressAutoHyphens w:val="0"/>
        <w:autoSpaceDE w:val="0"/>
        <w:autoSpaceDN w:val="0"/>
        <w:spacing w:before="252" w:after="0"/>
        <w:jc w:val="both"/>
        <w:rPr>
          <w:rFonts w:ascii="Arial" w:hAnsi="Arial" w:cs="Arial"/>
          <w:sz w:val="24"/>
          <w:szCs w:val="24"/>
        </w:rPr>
      </w:pPr>
      <w:r w:rsidRPr="003B4C1B">
        <w:rPr>
          <w:rFonts w:ascii="Arial" w:hAnsi="Arial" w:cs="Arial"/>
          <w:b/>
          <w:bCs/>
          <w:sz w:val="24"/>
          <w:szCs w:val="24"/>
          <w:lang w:val="es-ES"/>
        </w:rPr>
        <w:t>Nota</w:t>
      </w:r>
      <w:r w:rsidR="004306A1">
        <w:rPr>
          <w:rFonts w:ascii="Arial" w:hAnsi="Arial" w:cs="Arial"/>
          <w:b/>
          <w:bCs/>
          <w:sz w:val="24"/>
          <w:szCs w:val="24"/>
          <w:lang w:val="es-ES"/>
        </w:rPr>
        <w:t xml:space="preserve"> Especial</w:t>
      </w:r>
      <w:r w:rsidR="006069D7">
        <w:rPr>
          <w:rFonts w:ascii="Arial" w:hAnsi="Arial" w:cs="Arial"/>
          <w:b/>
          <w:bCs/>
          <w:sz w:val="24"/>
          <w:szCs w:val="24"/>
          <w:lang w:val="es-ES"/>
        </w:rPr>
        <w:t xml:space="preserve"> </w:t>
      </w:r>
      <w:r w:rsidR="00AB5F46">
        <w:rPr>
          <w:rFonts w:ascii="Arial" w:hAnsi="Arial" w:cs="Arial"/>
          <w:b/>
          <w:bCs/>
          <w:sz w:val="24"/>
          <w:szCs w:val="24"/>
          <w:lang w:val="es-ES"/>
        </w:rPr>
        <w:t>6</w:t>
      </w:r>
      <w:r w:rsidRPr="003B4C1B">
        <w:rPr>
          <w:rFonts w:ascii="Arial" w:hAnsi="Arial" w:cs="Arial"/>
          <w:b/>
          <w:bCs/>
          <w:sz w:val="24"/>
          <w:szCs w:val="24"/>
          <w:lang w:val="es-ES"/>
        </w:rPr>
        <w:t>: </w:t>
      </w:r>
      <w:r w:rsidRPr="003B4C1B">
        <w:rPr>
          <w:rFonts w:ascii="Arial" w:hAnsi="Arial" w:cs="Arial"/>
          <w:sz w:val="24"/>
          <w:szCs w:val="24"/>
          <w:lang w:val="es-ES"/>
        </w:rPr>
        <w:t>Cada usuario debe figurar una única vez en el listado a excepción de que estos cuenten con múltiples viviendas</w:t>
      </w:r>
      <w:r w:rsidR="008A6A65">
        <w:rPr>
          <w:rFonts w:ascii="Arial" w:hAnsi="Arial" w:cs="Arial"/>
          <w:sz w:val="24"/>
          <w:szCs w:val="24"/>
          <w:lang w:val="es-ES"/>
        </w:rPr>
        <w:t>.</w:t>
      </w:r>
      <w:r w:rsidRPr="003B4C1B">
        <w:rPr>
          <w:rFonts w:ascii="Arial" w:hAnsi="Arial" w:cs="Arial"/>
          <w:sz w:val="24"/>
          <w:szCs w:val="24"/>
          <w:lang w:val="es-ES"/>
        </w:rPr>
        <w:t xml:space="preserve"> </w:t>
      </w:r>
      <w:r w:rsidR="008A6A65">
        <w:rPr>
          <w:rFonts w:ascii="Arial" w:hAnsi="Arial" w:cs="Arial"/>
          <w:sz w:val="24"/>
          <w:szCs w:val="24"/>
          <w:lang w:val="es-ES"/>
        </w:rPr>
        <w:t>E</w:t>
      </w:r>
      <w:r w:rsidRPr="003B4C1B">
        <w:rPr>
          <w:rFonts w:ascii="Arial" w:hAnsi="Arial" w:cs="Arial"/>
          <w:sz w:val="24"/>
          <w:szCs w:val="24"/>
          <w:lang w:val="es-ES"/>
        </w:rPr>
        <w:t>n caso tal</w:t>
      </w:r>
      <w:r w:rsidR="008A6A65">
        <w:rPr>
          <w:rFonts w:ascii="Arial" w:hAnsi="Arial" w:cs="Arial"/>
          <w:sz w:val="24"/>
          <w:szCs w:val="24"/>
          <w:lang w:val="es-ES"/>
        </w:rPr>
        <w:t>,</w:t>
      </w:r>
      <w:r w:rsidRPr="003B4C1B">
        <w:rPr>
          <w:rFonts w:ascii="Arial" w:hAnsi="Arial" w:cs="Arial"/>
          <w:sz w:val="24"/>
          <w:szCs w:val="24"/>
          <w:lang w:val="es-ES"/>
        </w:rPr>
        <w:t xml:space="preserve"> estos deben especificar claramente la distinción de las viviendas </w:t>
      </w:r>
      <w:r w:rsidR="008A6A65">
        <w:rPr>
          <w:rFonts w:ascii="Arial" w:hAnsi="Arial" w:cs="Arial"/>
          <w:sz w:val="24"/>
          <w:szCs w:val="24"/>
          <w:lang w:val="es-ES"/>
        </w:rPr>
        <w:t>con</w:t>
      </w:r>
      <w:r w:rsidRPr="003B4C1B">
        <w:rPr>
          <w:rFonts w:ascii="Arial" w:hAnsi="Arial" w:cs="Arial"/>
          <w:sz w:val="24"/>
          <w:szCs w:val="24"/>
          <w:lang w:val="es-ES"/>
        </w:rPr>
        <w:t xml:space="preserve"> la dirección, detallando de ser necesario el número del interior. De ninguna otra manera se permitirán duplicidades.</w:t>
      </w:r>
      <w:r w:rsidRPr="003B4C1B">
        <w:rPr>
          <w:rFonts w:ascii="Arial" w:hAnsi="Arial" w:cs="Arial"/>
          <w:sz w:val="24"/>
          <w:szCs w:val="24"/>
        </w:rPr>
        <w:t> </w:t>
      </w:r>
    </w:p>
    <w:p w14:paraId="59AFFE64" w14:textId="64857CFB" w:rsidR="003B4C1B" w:rsidRPr="003B4C1B" w:rsidRDefault="003B4C1B" w:rsidP="00AB5F46">
      <w:pPr>
        <w:widowControl w:val="0"/>
        <w:numPr>
          <w:ilvl w:val="0"/>
          <w:numId w:val="98"/>
        </w:numPr>
        <w:tabs>
          <w:tab w:val="clear" w:pos="720"/>
          <w:tab w:val="left" w:pos="1985"/>
          <w:tab w:val="num" w:pos="2268"/>
        </w:tabs>
        <w:suppressAutoHyphens w:val="0"/>
        <w:autoSpaceDE w:val="0"/>
        <w:autoSpaceDN w:val="0"/>
        <w:spacing w:before="252" w:after="0"/>
        <w:ind w:left="1276"/>
        <w:jc w:val="both"/>
        <w:rPr>
          <w:rFonts w:ascii="Arial" w:hAnsi="Arial" w:cs="Arial"/>
          <w:sz w:val="24"/>
          <w:szCs w:val="24"/>
        </w:rPr>
      </w:pPr>
      <w:r w:rsidRPr="003B4C1B">
        <w:rPr>
          <w:rFonts w:ascii="Arial" w:hAnsi="Arial" w:cs="Arial"/>
          <w:sz w:val="24"/>
          <w:szCs w:val="24"/>
          <w:lang w:val="es-ES"/>
        </w:rPr>
        <w:t xml:space="preserve">Compromiso </w:t>
      </w:r>
      <w:r w:rsidR="008A6A65">
        <w:rPr>
          <w:rFonts w:ascii="Arial" w:hAnsi="Arial" w:cs="Arial"/>
          <w:sz w:val="24"/>
          <w:szCs w:val="24"/>
          <w:lang w:val="es-ES"/>
        </w:rPr>
        <w:t>de</w:t>
      </w:r>
      <w:r w:rsidRPr="003B4C1B">
        <w:rPr>
          <w:rFonts w:ascii="Arial" w:hAnsi="Arial" w:cs="Arial"/>
          <w:sz w:val="24"/>
          <w:szCs w:val="24"/>
          <w:lang w:val="es-ES"/>
        </w:rPr>
        <w:t xml:space="preserve"> </w:t>
      </w:r>
      <w:r w:rsidR="00275D94">
        <w:rPr>
          <w:rFonts w:ascii="Arial" w:hAnsi="Arial" w:cs="Arial"/>
          <w:sz w:val="24"/>
          <w:szCs w:val="24"/>
          <w:lang w:val="es-ES"/>
        </w:rPr>
        <w:t>adelantar</w:t>
      </w:r>
      <w:r w:rsidRPr="003B4C1B">
        <w:rPr>
          <w:rFonts w:ascii="Arial" w:hAnsi="Arial" w:cs="Arial"/>
          <w:sz w:val="24"/>
          <w:szCs w:val="24"/>
          <w:lang w:val="es-ES"/>
        </w:rPr>
        <w:t xml:space="preserve"> la administración, operación, mantenimiento y reposición de la infraestructura normaliza</w:t>
      </w:r>
      <w:r w:rsidR="008A6A65">
        <w:rPr>
          <w:rFonts w:ascii="Arial" w:hAnsi="Arial" w:cs="Arial"/>
          <w:sz w:val="24"/>
          <w:szCs w:val="24"/>
          <w:lang w:val="es-ES"/>
        </w:rPr>
        <w:t>da</w:t>
      </w:r>
      <w:r w:rsidRPr="003B4C1B">
        <w:rPr>
          <w:rFonts w:ascii="Arial" w:hAnsi="Arial" w:cs="Arial"/>
          <w:sz w:val="24"/>
          <w:szCs w:val="24"/>
          <w:lang w:val="es-ES"/>
        </w:rPr>
        <w:t>.</w:t>
      </w:r>
      <w:r w:rsidRPr="003B4C1B">
        <w:rPr>
          <w:rFonts w:ascii="Arial" w:hAnsi="Arial" w:cs="Arial"/>
          <w:sz w:val="24"/>
          <w:szCs w:val="24"/>
        </w:rPr>
        <w:t> </w:t>
      </w:r>
    </w:p>
    <w:p w14:paraId="4FBF1EB7" w14:textId="01331C7F" w:rsidR="003B4C1B" w:rsidRPr="003B4C1B" w:rsidRDefault="003B4C1B" w:rsidP="00AB5F46">
      <w:pPr>
        <w:widowControl w:val="0"/>
        <w:numPr>
          <w:ilvl w:val="0"/>
          <w:numId w:val="99"/>
        </w:numPr>
        <w:tabs>
          <w:tab w:val="clear" w:pos="720"/>
          <w:tab w:val="left" w:pos="1985"/>
          <w:tab w:val="num" w:pos="2268"/>
        </w:tabs>
        <w:suppressAutoHyphens w:val="0"/>
        <w:autoSpaceDE w:val="0"/>
        <w:autoSpaceDN w:val="0"/>
        <w:spacing w:before="252" w:after="0"/>
        <w:ind w:left="1276"/>
        <w:jc w:val="both"/>
        <w:rPr>
          <w:rFonts w:ascii="Arial" w:hAnsi="Arial" w:cs="Arial"/>
          <w:sz w:val="24"/>
          <w:szCs w:val="24"/>
        </w:rPr>
      </w:pPr>
      <w:r w:rsidRPr="003B4C1B">
        <w:rPr>
          <w:rFonts w:ascii="Arial" w:hAnsi="Arial" w:cs="Arial"/>
          <w:sz w:val="24"/>
          <w:szCs w:val="24"/>
          <w:lang w:val="es-ES"/>
        </w:rPr>
        <w:t xml:space="preserve">Compromiso de realizar las socializaciones y acompañamiento social necesarios a las comunidades objeto del proyecto antes y durante su ejecución con el fin de garantizar </w:t>
      </w:r>
      <w:r w:rsidR="008A6A65">
        <w:rPr>
          <w:rFonts w:ascii="Arial" w:hAnsi="Arial" w:cs="Arial"/>
          <w:sz w:val="24"/>
          <w:szCs w:val="24"/>
          <w:lang w:val="es-ES"/>
        </w:rPr>
        <w:t>la</w:t>
      </w:r>
      <w:r w:rsidRPr="003B4C1B">
        <w:rPr>
          <w:rFonts w:ascii="Arial" w:hAnsi="Arial" w:cs="Arial"/>
          <w:sz w:val="24"/>
          <w:szCs w:val="24"/>
          <w:lang w:val="es-ES"/>
        </w:rPr>
        <w:t xml:space="preserve"> participación de estas.</w:t>
      </w:r>
      <w:r w:rsidRPr="003B4C1B">
        <w:rPr>
          <w:rFonts w:ascii="Arial" w:hAnsi="Arial" w:cs="Arial"/>
          <w:sz w:val="24"/>
          <w:szCs w:val="24"/>
        </w:rPr>
        <w:t> </w:t>
      </w:r>
    </w:p>
    <w:p w14:paraId="720A2AE5" w14:textId="07E012A3" w:rsidR="003B4C1B" w:rsidRPr="003B4C1B" w:rsidRDefault="008A6A65" w:rsidP="00AB5F46">
      <w:pPr>
        <w:widowControl w:val="0"/>
        <w:numPr>
          <w:ilvl w:val="0"/>
          <w:numId w:val="100"/>
        </w:numPr>
        <w:tabs>
          <w:tab w:val="clear" w:pos="720"/>
          <w:tab w:val="left" w:pos="1985"/>
          <w:tab w:val="num" w:pos="2268"/>
        </w:tabs>
        <w:suppressAutoHyphens w:val="0"/>
        <w:autoSpaceDE w:val="0"/>
        <w:autoSpaceDN w:val="0"/>
        <w:spacing w:before="252" w:after="0"/>
        <w:ind w:left="1276"/>
        <w:jc w:val="both"/>
        <w:rPr>
          <w:rFonts w:ascii="Arial" w:hAnsi="Arial" w:cs="Arial"/>
          <w:sz w:val="24"/>
          <w:szCs w:val="24"/>
        </w:rPr>
      </w:pPr>
      <w:r>
        <w:rPr>
          <w:rFonts w:ascii="Arial" w:hAnsi="Arial" w:cs="Arial"/>
          <w:sz w:val="24"/>
          <w:szCs w:val="24"/>
          <w:lang w:val="es-ES"/>
        </w:rPr>
        <w:t>Manifestación de</w:t>
      </w:r>
      <w:r w:rsidR="003B4C1B" w:rsidRPr="003B4C1B">
        <w:rPr>
          <w:rFonts w:ascii="Arial" w:hAnsi="Arial" w:cs="Arial"/>
          <w:sz w:val="24"/>
          <w:szCs w:val="24"/>
          <w:lang w:val="es-ES"/>
        </w:rPr>
        <w:t>l representante lega</w:t>
      </w:r>
      <w:r>
        <w:rPr>
          <w:rFonts w:ascii="Arial" w:hAnsi="Arial" w:cs="Arial"/>
          <w:sz w:val="24"/>
          <w:szCs w:val="24"/>
          <w:lang w:val="es-ES"/>
        </w:rPr>
        <w:t>l,</w:t>
      </w:r>
      <w:r w:rsidR="003B4C1B" w:rsidRPr="003B4C1B">
        <w:rPr>
          <w:rFonts w:ascii="Arial" w:hAnsi="Arial" w:cs="Arial"/>
          <w:sz w:val="24"/>
          <w:szCs w:val="24"/>
          <w:lang w:val="es-ES"/>
        </w:rPr>
        <w:t xml:space="preserve"> bajo la gravedad del juramento,</w:t>
      </w:r>
      <w:r>
        <w:rPr>
          <w:rFonts w:ascii="Arial" w:hAnsi="Arial" w:cs="Arial"/>
          <w:sz w:val="24"/>
          <w:szCs w:val="24"/>
          <w:lang w:val="es-ES"/>
        </w:rPr>
        <w:t xml:space="preserve"> el cual se entiende expresado con la firma del respectivo documento, de</w:t>
      </w:r>
      <w:r w:rsidR="003B4C1B" w:rsidRPr="003B4C1B">
        <w:rPr>
          <w:rFonts w:ascii="Arial" w:hAnsi="Arial" w:cs="Arial"/>
          <w:sz w:val="24"/>
          <w:szCs w:val="24"/>
          <w:lang w:val="es-ES"/>
        </w:rPr>
        <w:t xml:space="preserve"> que no se encuentra incurso en inhabilidades o incompatibilidades previstas en la Ley, en especial la 80 de 1993</w:t>
      </w:r>
      <w:r>
        <w:rPr>
          <w:rFonts w:ascii="Arial" w:hAnsi="Arial" w:cs="Arial"/>
          <w:sz w:val="24"/>
          <w:szCs w:val="24"/>
          <w:lang w:val="es-ES"/>
        </w:rPr>
        <w:t>,</w:t>
      </w:r>
      <w:r w:rsidR="003B4C1B" w:rsidRPr="003B4C1B">
        <w:rPr>
          <w:rFonts w:ascii="Arial" w:hAnsi="Arial" w:cs="Arial"/>
          <w:sz w:val="24"/>
          <w:szCs w:val="24"/>
          <w:lang w:val="es-ES"/>
        </w:rPr>
        <w:t xml:space="preserve"> 1150 de 2007</w:t>
      </w:r>
      <w:r>
        <w:rPr>
          <w:rFonts w:ascii="Arial" w:hAnsi="Arial" w:cs="Arial"/>
          <w:sz w:val="24"/>
          <w:szCs w:val="24"/>
          <w:lang w:val="es-ES"/>
        </w:rPr>
        <w:t xml:space="preserve">, 1474 de 2011 y </w:t>
      </w:r>
      <w:r w:rsidRPr="008A6A65">
        <w:rPr>
          <w:rFonts w:ascii="Arial" w:hAnsi="Arial" w:cs="Arial"/>
          <w:sz w:val="24"/>
          <w:szCs w:val="24"/>
          <w:highlight w:val="yellow"/>
          <w:lang w:val="es-ES"/>
        </w:rPr>
        <w:t>1952 de 2019</w:t>
      </w:r>
      <w:r w:rsidR="003B4C1B" w:rsidRPr="003B4C1B">
        <w:rPr>
          <w:rFonts w:ascii="Arial" w:hAnsi="Arial" w:cs="Arial"/>
          <w:sz w:val="24"/>
          <w:szCs w:val="24"/>
          <w:lang w:val="es-ES"/>
        </w:rPr>
        <w:t>.</w:t>
      </w:r>
      <w:r w:rsidR="003B4C1B" w:rsidRPr="003B4C1B">
        <w:rPr>
          <w:rFonts w:ascii="Arial" w:hAnsi="Arial" w:cs="Arial"/>
          <w:sz w:val="24"/>
          <w:szCs w:val="24"/>
        </w:rPr>
        <w:t> </w:t>
      </w:r>
    </w:p>
    <w:p w14:paraId="0B1C79EC" w14:textId="0D2D8301" w:rsidR="003B4C1B" w:rsidRPr="003B4C1B" w:rsidRDefault="00275D94" w:rsidP="00AB5F46">
      <w:pPr>
        <w:widowControl w:val="0"/>
        <w:numPr>
          <w:ilvl w:val="0"/>
          <w:numId w:val="101"/>
        </w:numPr>
        <w:tabs>
          <w:tab w:val="clear" w:pos="720"/>
          <w:tab w:val="left" w:pos="1985"/>
          <w:tab w:val="num" w:pos="2268"/>
        </w:tabs>
        <w:suppressAutoHyphens w:val="0"/>
        <w:autoSpaceDE w:val="0"/>
        <w:autoSpaceDN w:val="0"/>
        <w:spacing w:before="252" w:after="0"/>
        <w:ind w:left="1276"/>
        <w:jc w:val="both"/>
        <w:rPr>
          <w:rFonts w:ascii="Arial" w:hAnsi="Arial" w:cs="Arial"/>
          <w:sz w:val="24"/>
          <w:szCs w:val="24"/>
        </w:rPr>
      </w:pPr>
      <w:r>
        <w:rPr>
          <w:rFonts w:ascii="Arial" w:hAnsi="Arial" w:cs="Arial"/>
          <w:sz w:val="24"/>
          <w:szCs w:val="24"/>
          <w:lang w:val="es-ES"/>
        </w:rPr>
        <w:t>C</w:t>
      </w:r>
      <w:r w:rsidR="003B4C1B" w:rsidRPr="003B4C1B">
        <w:rPr>
          <w:rFonts w:ascii="Arial" w:hAnsi="Arial" w:cs="Arial"/>
          <w:sz w:val="24"/>
          <w:szCs w:val="24"/>
          <w:lang w:val="es-ES"/>
        </w:rPr>
        <w:t>ompromiso de asumir costos adicionales que puedan ser requeridos dentro de la ejecución del proyecto.</w:t>
      </w:r>
      <w:r w:rsidR="003B4C1B" w:rsidRPr="003B4C1B">
        <w:rPr>
          <w:rFonts w:ascii="Arial" w:hAnsi="Arial" w:cs="Arial"/>
          <w:sz w:val="24"/>
          <w:szCs w:val="24"/>
        </w:rPr>
        <w:t> </w:t>
      </w:r>
    </w:p>
    <w:p w14:paraId="260DE986" w14:textId="2972FCA6" w:rsidR="003B4C1B" w:rsidRPr="003B4C1B" w:rsidRDefault="003B4C1B" w:rsidP="002E3DB0">
      <w:pPr>
        <w:widowControl w:val="0"/>
        <w:tabs>
          <w:tab w:val="left" w:pos="828"/>
        </w:tabs>
        <w:suppressAutoHyphens w:val="0"/>
        <w:autoSpaceDE w:val="0"/>
        <w:autoSpaceDN w:val="0"/>
        <w:spacing w:before="252" w:after="0"/>
        <w:jc w:val="both"/>
        <w:rPr>
          <w:rFonts w:ascii="Arial" w:hAnsi="Arial" w:cs="Arial"/>
          <w:sz w:val="24"/>
          <w:szCs w:val="24"/>
        </w:rPr>
      </w:pPr>
      <w:r w:rsidRPr="003B4C1B">
        <w:rPr>
          <w:rFonts w:ascii="Arial" w:hAnsi="Arial" w:cs="Arial"/>
          <w:sz w:val="24"/>
          <w:szCs w:val="24"/>
          <w:lang w:val="es-ES"/>
        </w:rPr>
        <w:t xml:space="preserve">El </w:t>
      </w:r>
      <w:r w:rsidRPr="002E3DB0">
        <w:rPr>
          <w:rFonts w:ascii="Arial" w:hAnsi="Arial" w:cs="Arial"/>
          <w:sz w:val="24"/>
          <w:szCs w:val="24"/>
          <w:highlight w:val="yellow"/>
          <w:lang w:val="es-ES"/>
        </w:rPr>
        <w:t>formato</w:t>
      </w:r>
      <w:r w:rsidRPr="003B4C1B">
        <w:rPr>
          <w:rFonts w:ascii="Arial" w:hAnsi="Arial" w:cs="Arial"/>
          <w:sz w:val="24"/>
          <w:szCs w:val="24"/>
          <w:lang w:val="es-ES"/>
        </w:rPr>
        <w:t xml:space="preserve"> no deberá presentar enmendaduras y/o tachones que no permitan su lectura de forma correcta, de lo contrario deberá ser subsanado.</w:t>
      </w:r>
      <w:r w:rsidRPr="003B4C1B">
        <w:rPr>
          <w:rFonts w:ascii="Arial" w:hAnsi="Arial" w:cs="Arial"/>
          <w:sz w:val="24"/>
          <w:szCs w:val="24"/>
        </w:rPr>
        <w:t> </w:t>
      </w:r>
    </w:p>
    <w:p w14:paraId="1914EDAF" w14:textId="631B8CF7" w:rsidR="008419CB" w:rsidRPr="008419CB" w:rsidRDefault="008419CB" w:rsidP="002E3DB0">
      <w:pPr>
        <w:widowControl w:val="0"/>
        <w:numPr>
          <w:ilvl w:val="0"/>
          <w:numId w:val="103"/>
        </w:numPr>
        <w:tabs>
          <w:tab w:val="left" w:pos="828"/>
        </w:tabs>
        <w:suppressAutoHyphens w:val="0"/>
        <w:autoSpaceDE w:val="0"/>
        <w:autoSpaceDN w:val="0"/>
        <w:spacing w:before="252" w:after="0"/>
        <w:jc w:val="both"/>
        <w:rPr>
          <w:rFonts w:ascii="Arial" w:hAnsi="Arial" w:cs="Arial"/>
          <w:sz w:val="24"/>
          <w:szCs w:val="24"/>
        </w:rPr>
      </w:pPr>
      <w:r w:rsidRPr="008419CB">
        <w:rPr>
          <w:rFonts w:ascii="Arial" w:hAnsi="Arial" w:cs="Arial"/>
          <w:sz w:val="24"/>
          <w:szCs w:val="24"/>
          <w:lang w:val="es-ES"/>
        </w:rPr>
        <w:lastRenderedPageBreak/>
        <w:t xml:space="preserve">Oficio expedido por la Superintendencia de Servicios Públicos Domiciliarios -SSPD </w:t>
      </w:r>
      <w:r w:rsidR="00275D94">
        <w:rPr>
          <w:rFonts w:ascii="Arial" w:hAnsi="Arial" w:cs="Arial"/>
          <w:sz w:val="24"/>
          <w:szCs w:val="24"/>
          <w:lang w:val="es-ES"/>
        </w:rPr>
        <w:t>en la</w:t>
      </w:r>
      <w:r w:rsidRPr="008419CB">
        <w:rPr>
          <w:rFonts w:ascii="Arial" w:hAnsi="Arial" w:cs="Arial"/>
          <w:sz w:val="24"/>
          <w:szCs w:val="24"/>
          <w:lang w:val="es-ES"/>
        </w:rPr>
        <w:t xml:space="preserve"> vigencia en que se presenta el proyecto para viabilización, </w:t>
      </w:r>
      <w:r w:rsidR="00275D94">
        <w:rPr>
          <w:rFonts w:ascii="Arial" w:hAnsi="Arial" w:cs="Arial"/>
          <w:sz w:val="24"/>
          <w:szCs w:val="24"/>
          <w:lang w:val="es-ES"/>
        </w:rPr>
        <w:t xml:space="preserve">en el que se señale </w:t>
      </w:r>
      <w:r w:rsidRPr="008419CB">
        <w:rPr>
          <w:rFonts w:ascii="Arial" w:hAnsi="Arial" w:cs="Arial"/>
          <w:sz w:val="24"/>
          <w:szCs w:val="24"/>
          <w:lang w:val="es-ES"/>
        </w:rPr>
        <w:t>el registro del(los) barrio(s) subnormal(es) del Proyecto en el Sistema Único de Información (SUI). Dicho documento deberá relacionar el(los) nombre(s) del(los) barrio(s) subnormal(es) con su respectivo código SUI y número de usuarios registrados por barrio.</w:t>
      </w:r>
      <w:r w:rsidRPr="008419CB">
        <w:rPr>
          <w:rFonts w:ascii="Arial" w:hAnsi="Arial" w:cs="Arial"/>
          <w:sz w:val="24"/>
          <w:szCs w:val="24"/>
        </w:rPr>
        <w:t> </w:t>
      </w:r>
    </w:p>
    <w:p w14:paraId="35C53E09" w14:textId="2C25CCC3" w:rsidR="008419CB" w:rsidRPr="00275D94" w:rsidRDefault="008419CB" w:rsidP="002E3DB0">
      <w:pPr>
        <w:widowControl w:val="0"/>
        <w:numPr>
          <w:ilvl w:val="0"/>
          <w:numId w:val="104"/>
        </w:numPr>
        <w:tabs>
          <w:tab w:val="left" w:pos="828"/>
        </w:tabs>
        <w:suppressAutoHyphens w:val="0"/>
        <w:autoSpaceDE w:val="0"/>
        <w:autoSpaceDN w:val="0"/>
        <w:spacing w:before="252" w:after="0"/>
        <w:jc w:val="both"/>
        <w:rPr>
          <w:rFonts w:ascii="Arial" w:hAnsi="Arial" w:cs="Arial"/>
          <w:sz w:val="24"/>
          <w:szCs w:val="24"/>
        </w:rPr>
      </w:pPr>
      <w:r w:rsidRPr="00275D94">
        <w:rPr>
          <w:rFonts w:ascii="Arial" w:hAnsi="Arial" w:cs="Arial"/>
          <w:sz w:val="24"/>
          <w:szCs w:val="24"/>
          <w:lang w:val="es-ES"/>
        </w:rPr>
        <w:t>Documento en el que se indique si el proyecto que se presenta es cofinanciado, indicando el porcentaje de cofinanciación</w:t>
      </w:r>
      <w:r w:rsidR="00275D94">
        <w:rPr>
          <w:rFonts w:ascii="Arial" w:hAnsi="Arial" w:cs="Arial"/>
          <w:sz w:val="24"/>
          <w:szCs w:val="24"/>
          <w:lang w:val="es-ES"/>
        </w:rPr>
        <w:t xml:space="preserve"> y monto</w:t>
      </w:r>
      <w:r w:rsidR="00275D94" w:rsidRPr="00275D94">
        <w:rPr>
          <w:rFonts w:ascii="Arial" w:hAnsi="Arial" w:cs="Arial"/>
          <w:sz w:val="24"/>
          <w:szCs w:val="24"/>
          <w:lang w:val="es-ES"/>
        </w:rPr>
        <w:t>,</w:t>
      </w:r>
      <w:r w:rsidRPr="00275D94">
        <w:rPr>
          <w:rFonts w:ascii="Arial" w:hAnsi="Arial" w:cs="Arial"/>
          <w:sz w:val="24"/>
          <w:szCs w:val="24"/>
          <w:lang w:val="es-ES"/>
        </w:rPr>
        <w:t xml:space="preserve"> el cual debe estar entre el </w:t>
      </w:r>
      <w:r w:rsidR="00D46DE7" w:rsidRPr="00275D94">
        <w:rPr>
          <w:rFonts w:ascii="Arial" w:hAnsi="Arial" w:cs="Arial"/>
          <w:sz w:val="24"/>
          <w:szCs w:val="24"/>
          <w:lang w:val="es-ES"/>
        </w:rPr>
        <w:t>quince</w:t>
      </w:r>
      <w:r w:rsidRPr="00275D94">
        <w:rPr>
          <w:rFonts w:ascii="Arial" w:hAnsi="Arial" w:cs="Arial"/>
          <w:sz w:val="24"/>
          <w:szCs w:val="24"/>
          <w:lang w:val="es-ES"/>
        </w:rPr>
        <w:t xml:space="preserve"> por ciento (</w:t>
      </w:r>
      <w:r w:rsidR="00B10CCA" w:rsidRPr="00275D94">
        <w:rPr>
          <w:rFonts w:ascii="Arial" w:hAnsi="Arial" w:cs="Arial"/>
          <w:sz w:val="24"/>
          <w:szCs w:val="24"/>
          <w:lang w:val="es-ES"/>
        </w:rPr>
        <w:t>1</w:t>
      </w:r>
      <w:r w:rsidR="00D46DE7" w:rsidRPr="00275D94">
        <w:rPr>
          <w:rFonts w:ascii="Arial" w:hAnsi="Arial" w:cs="Arial"/>
          <w:sz w:val="24"/>
          <w:szCs w:val="24"/>
          <w:lang w:val="es-ES"/>
        </w:rPr>
        <w:t>5</w:t>
      </w:r>
      <w:r w:rsidRPr="00275D94">
        <w:rPr>
          <w:rFonts w:ascii="Arial" w:hAnsi="Arial" w:cs="Arial"/>
          <w:sz w:val="24"/>
          <w:szCs w:val="24"/>
          <w:lang w:val="es-ES"/>
        </w:rPr>
        <w:t>%) y noventa por ciento (90%) del valor total asociado a normalización</w:t>
      </w:r>
      <w:r w:rsidR="00275D94" w:rsidRPr="00275D94">
        <w:rPr>
          <w:rFonts w:ascii="Arial" w:hAnsi="Arial" w:cs="Arial"/>
          <w:sz w:val="24"/>
          <w:szCs w:val="24"/>
          <w:lang w:val="es-ES"/>
        </w:rPr>
        <w:t xml:space="preserve">, en cuyo evento deberá </w:t>
      </w:r>
      <w:r w:rsidRPr="00275D94">
        <w:rPr>
          <w:rFonts w:ascii="Arial" w:hAnsi="Arial" w:cs="Arial"/>
          <w:sz w:val="24"/>
          <w:szCs w:val="24"/>
          <w:lang w:val="es-ES"/>
        </w:rPr>
        <w:t>adjuntar los siguientes documentos:</w:t>
      </w:r>
      <w:r w:rsidRPr="00275D94">
        <w:rPr>
          <w:rFonts w:ascii="Arial" w:hAnsi="Arial" w:cs="Arial"/>
          <w:sz w:val="24"/>
          <w:szCs w:val="24"/>
        </w:rPr>
        <w:t> </w:t>
      </w:r>
    </w:p>
    <w:p w14:paraId="21754F9B" w14:textId="2FC36DED" w:rsidR="008419CB" w:rsidRPr="008419CB" w:rsidRDefault="008419CB" w:rsidP="002E3DB0">
      <w:pPr>
        <w:widowControl w:val="0"/>
        <w:numPr>
          <w:ilvl w:val="0"/>
          <w:numId w:val="105"/>
        </w:numPr>
        <w:tabs>
          <w:tab w:val="clear" w:pos="720"/>
          <w:tab w:val="left" w:pos="3261"/>
        </w:tabs>
        <w:suppressAutoHyphens w:val="0"/>
        <w:autoSpaceDE w:val="0"/>
        <w:autoSpaceDN w:val="0"/>
        <w:spacing w:before="252" w:after="0"/>
        <w:ind w:left="1418"/>
        <w:jc w:val="both"/>
        <w:rPr>
          <w:rFonts w:ascii="Arial" w:hAnsi="Arial" w:cs="Arial"/>
          <w:sz w:val="24"/>
          <w:szCs w:val="24"/>
        </w:rPr>
      </w:pPr>
      <w:r w:rsidRPr="008419CB">
        <w:rPr>
          <w:rFonts w:ascii="Arial" w:hAnsi="Arial" w:cs="Arial"/>
          <w:sz w:val="24"/>
          <w:szCs w:val="24"/>
          <w:lang w:val="es-ES"/>
        </w:rPr>
        <w:t>Registro único de proponentes (RUP)</w:t>
      </w:r>
      <w:r w:rsidRPr="008419CB">
        <w:rPr>
          <w:rFonts w:ascii="Arial" w:hAnsi="Arial" w:cs="Arial"/>
          <w:sz w:val="24"/>
          <w:szCs w:val="24"/>
        </w:rPr>
        <w:t> </w:t>
      </w:r>
    </w:p>
    <w:p w14:paraId="22FE5534" w14:textId="09504802" w:rsidR="008419CB" w:rsidRPr="008419CB" w:rsidRDefault="008419CB" w:rsidP="002E3DB0">
      <w:pPr>
        <w:widowControl w:val="0"/>
        <w:numPr>
          <w:ilvl w:val="0"/>
          <w:numId w:val="106"/>
        </w:numPr>
        <w:tabs>
          <w:tab w:val="clear" w:pos="720"/>
          <w:tab w:val="left" w:pos="3261"/>
        </w:tabs>
        <w:suppressAutoHyphens w:val="0"/>
        <w:autoSpaceDE w:val="0"/>
        <w:autoSpaceDN w:val="0"/>
        <w:spacing w:after="0"/>
        <w:ind w:left="1418"/>
        <w:jc w:val="both"/>
        <w:rPr>
          <w:rFonts w:ascii="Arial" w:hAnsi="Arial" w:cs="Arial"/>
          <w:sz w:val="24"/>
          <w:szCs w:val="24"/>
        </w:rPr>
      </w:pPr>
      <w:r w:rsidRPr="008419CB">
        <w:rPr>
          <w:rFonts w:ascii="Arial" w:hAnsi="Arial" w:cs="Arial"/>
          <w:sz w:val="24"/>
          <w:szCs w:val="24"/>
          <w:lang w:val="es-ES"/>
        </w:rPr>
        <w:t>Estado financiero o Balance General, debidamente certificado y firmado por un contador público, con corte a 31 de diciembre del año anterior al que se presenta el proyecto a viabilización.</w:t>
      </w:r>
      <w:r w:rsidRPr="008419CB">
        <w:rPr>
          <w:rFonts w:ascii="Arial" w:hAnsi="Arial" w:cs="Arial"/>
          <w:sz w:val="24"/>
          <w:szCs w:val="24"/>
        </w:rPr>
        <w:t> </w:t>
      </w:r>
    </w:p>
    <w:p w14:paraId="28FF84CD" w14:textId="19B5C63D" w:rsidR="008419CB" w:rsidRDefault="008419CB" w:rsidP="002E3DB0">
      <w:pPr>
        <w:widowControl w:val="0"/>
        <w:numPr>
          <w:ilvl w:val="0"/>
          <w:numId w:val="107"/>
        </w:numPr>
        <w:tabs>
          <w:tab w:val="clear" w:pos="720"/>
          <w:tab w:val="left" w:pos="3261"/>
        </w:tabs>
        <w:suppressAutoHyphens w:val="0"/>
        <w:autoSpaceDE w:val="0"/>
        <w:autoSpaceDN w:val="0"/>
        <w:spacing w:after="0"/>
        <w:ind w:left="1418"/>
        <w:jc w:val="both"/>
        <w:rPr>
          <w:rFonts w:ascii="Arial" w:hAnsi="Arial" w:cs="Arial"/>
          <w:sz w:val="24"/>
          <w:szCs w:val="24"/>
        </w:rPr>
      </w:pPr>
      <w:r w:rsidRPr="008419CB">
        <w:rPr>
          <w:rFonts w:ascii="Arial" w:hAnsi="Arial" w:cs="Arial"/>
          <w:sz w:val="24"/>
          <w:szCs w:val="24"/>
          <w:lang w:val="es-ES"/>
        </w:rPr>
        <w:t>Documento que demuestre que el operador tiene líneas de crédito preaprobadas con entidades financieras por el monto de la cofinanciación ofrecida.</w:t>
      </w:r>
      <w:r w:rsidRPr="008419CB">
        <w:rPr>
          <w:rFonts w:ascii="Arial" w:hAnsi="Arial" w:cs="Arial"/>
          <w:sz w:val="24"/>
          <w:szCs w:val="24"/>
        </w:rPr>
        <w:t> </w:t>
      </w:r>
    </w:p>
    <w:p w14:paraId="60B3770B" w14:textId="77777777" w:rsidR="00114ABF" w:rsidRDefault="00114ABF" w:rsidP="0079175D">
      <w:pPr>
        <w:widowControl w:val="0"/>
        <w:tabs>
          <w:tab w:val="left" w:pos="3261"/>
        </w:tabs>
        <w:suppressAutoHyphens w:val="0"/>
        <w:autoSpaceDE w:val="0"/>
        <w:autoSpaceDN w:val="0"/>
        <w:spacing w:after="0" w:line="240" w:lineRule="auto"/>
        <w:jc w:val="both"/>
        <w:rPr>
          <w:rFonts w:ascii="Arial" w:hAnsi="Arial" w:cs="Arial"/>
          <w:sz w:val="24"/>
          <w:szCs w:val="24"/>
        </w:rPr>
      </w:pPr>
    </w:p>
    <w:p w14:paraId="04308AE0" w14:textId="4CF30FD6" w:rsidR="003A30F4" w:rsidRPr="000A7AD0" w:rsidRDefault="0079175D" w:rsidP="00517B59">
      <w:pPr>
        <w:pStyle w:val="Ttulo6"/>
        <w:ind w:left="1152" w:hanging="1152"/>
        <w:rPr>
          <w:bCs/>
        </w:rPr>
      </w:pPr>
      <w:r w:rsidRPr="000A7AD0">
        <w:rPr>
          <w:bCs/>
        </w:rPr>
        <w:t xml:space="preserve">III- </w:t>
      </w:r>
      <w:r w:rsidR="00E1759A" w:rsidRPr="00910271">
        <w:rPr>
          <w:bCs/>
        </w:rPr>
        <w:t>2.</w:t>
      </w:r>
      <w:r w:rsidR="00E1759A">
        <w:rPr>
          <w:bCs/>
        </w:rPr>
        <w:t>4.3.2.2</w:t>
      </w:r>
      <w:r w:rsidRPr="000A7AD0">
        <w:rPr>
          <w:bCs/>
        </w:rPr>
        <w:t xml:space="preserve"> Documentación financiera </w:t>
      </w:r>
      <w:r w:rsidR="00D31F29" w:rsidRPr="000A7AD0">
        <w:rPr>
          <w:bCs/>
        </w:rPr>
        <w:t>adicional</w:t>
      </w:r>
    </w:p>
    <w:p w14:paraId="2C2523D6" w14:textId="4D4C539D" w:rsidR="00FC1C5D" w:rsidRPr="00FC1C5D" w:rsidRDefault="00D31F29" w:rsidP="00436A6A">
      <w:pPr>
        <w:widowControl w:val="0"/>
        <w:tabs>
          <w:tab w:val="left" w:pos="3261"/>
        </w:tabs>
        <w:suppressAutoHyphens w:val="0"/>
        <w:autoSpaceDE w:val="0"/>
        <w:autoSpaceDN w:val="0"/>
        <w:spacing w:after="0" w:line="240" w:lineRule="auto"/>
        <w:jc w:val="both"/>
      </w:pPr>
      <w:r>
        <w:rPr>
          <w:rFonts w:ascii="Arial" w:hAnsi="Arial" w:cs="Arial"/>
          <w:b/>
          <w:bCs/>
          <w:sz w:val="24"/>
          <w:szCs w:val="24"/>
        </w:rPr>
        <w:t xml:space="preserve"> </w:t>
      </w:r>
    </w:p>
    <w:p w14:paraId="6A83AED8" w14:textId="3BEF0696" w:rsidR="00FC1C5D" w:rsidRDefault="00FC1C5D" w:rsidP="007C659E">
      <w:pPr>
        <w:pStyle w:val="paragraph"/>
        <w:spacing w:before="0" w:beforeAutospacing="0" w:after="0" w:afterAutospacing="0"/>
        <w:jc w:val="both"/>
        <w:textAlignment w:val="baseline"/>
        <w:rPr>
          <w:rStyle w:val="eop"/>
          <w:rFonts w:ascii="Arial" w:hAnsi="Arial" w:cs="Arial"/>
        </w:rPr>
      </w:pPr>
      <w:commentRangeStart w:id="137"/>
      <w:r w:rsidRPr="000E7C59">
        <w:rPr>
          <w:rStyle w:val="normaltextrun"/>
          <w:rFonts w:ascii="Arial" w:hAnsi="Arial" w:cs="Arial"/>
          <w:highlight w:val="yellow"/>
        </w:rPr>
        <w:t>Plan de inversiones quinquenales con recursos del Operador de </w:t>
      </w:r>
      <w:r w:rsidR="00031AAB" w:rsidRPr="000E7C59">
        <w:rPr>
          <w:rStyle w:val="normaltextrun"/>
          <w:rFonts w:ascii="Arial" w:hAnsi="Arial" w:cs="Arial"/>
          <w:highlight w:val="yellow"/>
        </w:rPr>
        <w:t>Red (</w:t>
      </w:r>
      <w:r w:rsidRPr="000E7C59">
        <w:rPr>
          <w:rStyle w:val="normaltextrun"/>
          <w:rFonts w:ascii="Arial" w:hAnsi="Arial" w:cs="Arial"/>
          <w:highlight w:val="yellow"/>
        </w:rPr>
        <w:t>cuando exista cofinanciación).</w:t>
      </w:r>
      <w:r>
        <w:rPr>
          <w:rStyle w:val="eop"/>
          <w:rFonts w:ascii="Arial" w:hAnsi="Arial" w:cs="Arial"/>
        </w:rPr>
        <w:t> </w:t>
      </w:r>
      <w:commentRangeEnd w:id="137"/>
      <w:r w:rsidR="000E7C59">
        <w:rPr>
          <w:rStyle w:val="Refdecomentario"/>
          <w:rFonts w:ascii="Arial" w:hAnsi="Arial" w:cs="Arial"/>
          <w:sz w:val="24"/>
          <w:szCs w:val="24"/>
        </w:rPr>
        <w:commentReference w:id="137"/>
      </w:r>
    </w:p>
    <w:p w14:paraId="242D8819" w14:textId="77777777" w:rsidR="00031AAB" w:rsidRDefault="00031AAB" w:rsidP="008E39FD">
      <w:pPr>
        <w:pStyle w:val="paragraph"/>
        <w:spacing w:before="0" w:beforeAutospacing="0" w:after="0" w:afterAutospacing="0"/>
        <w:jc w:val="both"/>
        <w:textAlignment w:val="baseline"/>
        <w:rPr>
          <w:rFonts w:ascii="Arial" w:hAnsi="Arial" w:cs="Arial"/>
        </w:rPr>
      </w:pPr>
    </w:p>
    <w:p w14:paraId="3510AD98" w14:textId="30763640" w:rsidR="00031AAB" w:rsidRPr="00296EFC" w:rsidRDefault="00B51299" w:rsidP="00296EFC">
      <w:pPr>
        <w:pStyle w:val="Ttulo6"/>
        <w:ind w:left="1152" w:hanging="1152"/>
        <w:rPr>
          <w:bCs/>
        </w:rPr>
      </w:pPr>
      <w:r w:rsidRPr="00B51299">
        <w:rPr>
          <w:bCs/>
        </w:rPr>
        <w:t>III-</w:t>
      </w:r>
      <w:r w:rsidR="00E14F32" w:rsidRPr="00C55059">
        <w:rPr>
          <w:bCs/>
        </w:rPr>
        <w:t>-</w:t>
      </w:r>
      <w:r w:rsidR="00E14F32" w:rsidRPr="00910271">
        <w:rPr>
          <w:bCs/>
        </w:rPr>
        <w:t>2.</w:t>
      </w:r>
      <w:r w:rsidR="00E14F32">
        <w:rPr>
          <w:bCs/>
        </w:rPr>
        <w:t>4.3.3</w:t>
      </w:r>
      <w:r w:rsidR="00E14F32" w:rsidRPr="00C55059">
        <w:rPr>
          <w:bCs/>
        </w:rPr>
        <w:t xml:space="preserve"> </w:t>
      </w:r>
      <w:r w:rsidR="00031AAB" w:rsidRPr="00296EFC">
        <w:rPr>
          <w:bCs/>
        </w:rPr>
        <w:t xml:space="preserve">Proyectos de Generación </w:t>
      </w:r>
      <w:r w:rsidR="003448CA" w:rsidRPr="00296EFC">
        <w:rPr>
          <w:bCs/>
        </w:rPr>
        <w:t>de Energía hasta 5MW</w:t>
      </w:r>
    </w:p>
    <w:p w14:paraId="2118ACE7" w14:textId="60086C8C" w:rsidR="009912C4" w:rsidRDefault="00FC1C5D" w:rsidP="008E39FD">
      <w:pPr>
        <w:pStyle w:val="paragraph"/>
        <w:spacing w:before="0" w:beforeAutospacing="0" w:after="0" w:afterAutospacing="0"/>
        <w:ind w:left="720"/>
        <w:jc w:val="both"/>
        <w:textAlignment w:val="baseline"/>
        <w:rPr>
          <w:rStyle w:val="eop"/>
          <w:rFonts w:ascii="Arial" w:hAnsi="Arial" w:cs="Arial"/>
        </w:rPr>
      </w:pPr>
      <w:r>
        <w:rPr>
          <w:rStyle w:val="eop"/>
          <w:rFonts w:ascii="Arial" w:hAnsi="Arial" w:cs="Arial"/>
        </w:rPr>
        <w:t> </w:t>
      </w:r>
    </w:p>
    <w:p w14:paraId="31AC4D63" w14:textId="7363B171" w:rsidR="009912C4" w:rsidRPr="00296EFC" w:rsidRDefault="00B51299" w:rsidP="00517B59">
      <w:pPr>
        <w:pStyle w:val="Ttulo6"/>
        <w:ind w:left="1152" w:hanging="1152"/>
        <w:rPr>
          <w:bCs/>
        </w:rPr>
      </w:pPr>
      <w:r w:rsidRPr="00296EFC">
        <w:rPr>
          <w:bCs/>
        </w:rPr>
        <w:t>III-</w:t>
      </w:r>
      <w:r w:rsidR="00E14F32" w:rsidRPr="00910271">
        <w:rPr>
          <w:bCs/>
        </w:rPr>
        <w:t>2.</w:t>
      </w:r>
      <w:r w:rsidR="00E14F32">
        <w:rPr>
          <w:bCs/>
        </w:rPr>
        <w:t xml:space="preserve">4.3.3.1 </w:t>
      </w:r>
      <w:r w:rsidR="009912C4" w:rsidRPr="00296EFC">
        <w:rPr>
          <w:bCs/>
        </w:rPr>
        <w:t>Do</w:t>
      </w:r>
      <w:r w:rsidR="00A373AB" w:rsidRPr="00296EFC">
        <w:rPr>
          <w:bCs/>
        </w:rPr>
        <w:t>cumentación Jurídico – Administrativa Adicional </w:t>
      </w:r>
    </w:p>
    <w:p w14:paraId="4BB34F13" w14:textId="477694D8" w:rsidR="001D6DAA" w:rsidRPr="001D6DAA" w:rsidRDefault="001D6DAA" w:rsidP="002E3DB0">
      <w:pPr>
        <w:widowControl w:val="0"/>
        <w:numPr>
          <w:ilvl w:val="0"/>
          <w:numId w:val="108"/>
        </w:numPr>
        <w:tabs>
          <w:tab w:val="left" w:pos="828"/>
        </w:tabs>
        <w:suppressAutoHyphens w:val="0"/>
        <w:autoSpaceDE w:val="0"/>
        <w:autoSpaceDN w:val="0"/>
        <w:spacing w:before="252" w:after="0"/>
        <w:jc w:val="both"/>
        <w:rPr>
          <w:rFonts w:ascii="Arial" w:hAnsi="Arial" w:cs="Arial"/>
          <w:sz w:val="24"/>
          <w:szCs w:val="24"/>
        </w:rPr>
      </w:pPr>
      <w:r w:rsidRPr="001D6DAA">
        <w:rPr>
          <w:rFonts w:ascii="Arial" w:hAnsi="Arial" w:cs="Arial"/>
          <w:sz w:val="24"/>
          <w:szCs w:val="24"/>
        </w:rPr>
        <w:t xml:space="preserve">Aval técnico y financiero </w:t>
      </w:r>
      <w:r w:rsidR="006501E0">
        <w:rPr>
          <w:rFonts w:ascii="Arial" w:hAnsi="Arial" w:cs="Arial"/>
          <w:sz w:val="24"/>
          <w:szCs w:val="24"/>
        </w:rPr>
        <w:t xml:space="preserve">expedido </w:t>
      </w:r>
      <w:r w:rsidR="00C55EB3">
        <w:rPr>
          <w:rFonts w:ascii="Arial" w:hAnsi="Arial" w:cs="Arial"/>
          <w:sz w:val="24"/>
          <w:szCs w:val="24"/>
        </w:rPr>
        <w:t xml:space="preserve">por </w:t>
      </w:r>
      <w:r w:rsidR="006501E0">
        <w:rPr>
          <w:rFonts w:ascii="Arial" w:hAnsi="Arial" w:cs="Arial"/>
          <w:sz w:val="24"/>
          <w:szCs w:val="24"/>
        </w:rPr>
        <w:t>el</w:t>
      </w:r>
      <w:r w:rsidR="00C55EB3">
        <w:rPr>
          <w:rFonts w:ascii="Arial" w:hAnsi="Arial" w:cs="Arial"/>
          <w:sz w:val="24"/>
          <w:szCs w:val="24"/>
        </w:rPr>
        <w:t xml:space="preserve"> </w:t>
      </w:r>
      <w:r w:rsidR="006501E0">
        <w:rPr>
          <w:rFonts w:ascii="Arial" w:hAnsi="Arial" w:cs="Arial"/>
          <w:sz w:val="24"/>
          <w:szCs w:val="24"/>
        </w:rPr>
        <w:t>P</w:t>
      </w:r>
      <w:r w:rsidRPr="001D6DAA">
        <w:rPr>
          <w:rFonts w:ascii="Arial" w:hAnsi="Arial" w:cs="Arial"/>
          <w:sz w:val="24"/>
          <w:szCs w:val="24"/>
        </w:rPr>
        <w:t>restador del Servicio </w:t>
      </w:r>
      <w:r w:rsidR="00C55EB3">
        <w:rPr>
          <w:rFonts w:ascii="Arial" w:hAnsi="Arial" w:cs="Arial"/>
          <w:sz w:val="24"/>
          <w:szCs w:val="24"/>
        </w:rPr>
        <w:t>Público de Energía Eléctrica</w:t>
      </w:r>
      <w:r w:rsidR="006501E0">
        <w:rPr>
          <w:rFonts w:ascii="Arial" w:hAnsi="Arial" w:cs="Arial"/>
          <w:sz w:val="24"/>
          <w:szCs w:val="24"/>
        </w:rPr>
        <w:t>:</w:t>
      </w:r>
      <w:r w:rsidRPr="001D6DAA">
        <w:rPr>
          <w:rFonts w:ascii="Arial" w:hAnsi="Arial" w:cs="Arial"/>
          <w:sz w:val="24"/>
          <w:szCs w:val="24"/>
        </w:rPr>
        <w:t> Documento firmado por el Representante Legal de</w:t>
      </w:r>
      <w:r w:rsidR="006501E0">
        <w:rPr>
          <w:rFonts w:ascii="Arial" w:hAnsi="Arial" w:cs="Arial"/>
          <w:sz w:val="24"/>
          <w:szCs w:val="24"/>
        </w:rPr>
        <w:t>l</w:t>
      </w:r>
      <w:r w:rsidR="00C55EB3">
        <w:rPr>
          <w:rFonts w:ascii="Arial" w:hAnsi="Arial" w:cs="Arial"/>
          <w:sz w:val="24"/>
          <w:szCs w:val="24"/>
        </w:rPr>
        <w:t xml:space="preserve"> P</w:t>
      </w:r>
      <w:r w:rsidR="00C55EB3" w:rsidRPr="001D6DAA">
        <w:rPr>
          <w:rFonts w:ascii="Arial" w:hAnsi="Arial" w:cs="Arial"/>
          <w:sz w:val="24"/>
          <w:szCs w:val="24"/>
        </w:rPr>
        <w:t>restador del Servicio </w:t>
      </w:r>
      <w:r w:rsidR="00C55EB3">
        <w:rPr>
          <w:rFonts w:ascii="Arial" w:hAnsi="Arial" w:cs="Arial"/>
          <w:sz w:val="24"/>
          <w:szCs w:val="24"/>
        </w:rPr>
        <w:t>Público de Energía Eléctrica</w:t>
      </w:r>
      <w:r w:rsidRPr="001D6DAA">
        <w:rPr>
          <w:rFonts w:ascii="Arial" w:hAnsi="Arial" w:cs="Arial"/>
          <w:sz w:val="24"/>
          <w:szCs w:val="24"/>
        </w:rPr>
        <w:t xml:space="preserve">, sobre la viabilidad técnica y financiera del plan, programa o proyecto, </w:t>
      </w:r>
      <w:r w:rsidR="005401C5">
        <w:rPr>
          <w:rFonts w:ascii="Arial" w:hAnsi="Arial" w:cs="Arial"/>
          <w:sz w:val="24"/>
          <w:szCs w:val="24"/>
        </w:rPr>
        <w:t xml:space="preserve">cuando éste no sea el mismo estructurador, </w:t>
      </w:r>
      <w:r w:rsidRPr="001D6DAA">
        <w:rPr>
          <w:rFonts w:ascii="Arial" w:hAnsi="Arial" w:cs="Arial"/>
          <w:sz w:val="24"/>
          <w:szCs w:val="24"/>
        </w:rPr>
        <w:t>indicando que cumple con las especificaciones y normas técnicas que han sido establecidas para los materiales y equipos, así como para la construcción e instalación de la nueva infraestructura eléctrica. </w:t>
      </w:r>
    </w:p>
    <w:p w14:paraId="05680714" w14:textId="03F495D6" w:rsidR="001D6DAA" w:rsidRPr="001D6DAA" w:rsidRDefault="001D6DAA" w:rsidP="002E3DB0">
      <w:pPr>
        <w:widowControl w:val="0"/>
        <w:numPr>
          <w:ilvl w:val="0"/>
          <w:numId w:val="109"/>
        </w:numPr>
        <w:tabs>
          <w:tab w:val="left" w:pos="828"/>
        </w:tabs>
        <w:suppressAutoHyphens w:val="0"/>
        <w:autoSpaceDE w:val="0"/>
        <w:autoSpaceDN w:val="0"/>
        <w:spacing w:before="252" w:after="0"/>
        <w:jc w:val="both"/>
        <w:rPr>
          <w:rFonts w:ascii="Arial" w:hAnsi="Arial" w:cs="Arial"/>
          <w:sz w:val="24"/>
          <w:szCs w:val="24"/>
        </w:rPr>
      </w:pPr>
      <w:r w:rsidRPr="001D6DAA">
        <w:rPr>
          <w:rFonts w:ascii="Arial" w:hAnsi="Arial" w:cs="Arial"/>
          <w:sz w:val="24"/>
          <w:szCs w:val="24"/>
        </w:rPr>
        <w:t xml:space="preserve">Para el caso de sistemas de autogeneración que se implementen en las ZNI, se requerirá un Certificado adicional del Prestador del Servicio o de quien haga sus veces, </w:t>
      </w:r>
      <w:r w:rsidR="00E339E9">
        <w:rPr>
          <w:rFonts w:ascii="Arial" w:hAnsi="Arial" w:cs="Arial"/>
          <w:sz w:val="24"/>
          <w:szCs w:val="24"/>
        </w:rPr>
        <w:t xml:space="preserve">designado para la sostenibilidad del proyecto, </w:t>
      </w:r>
      <w:r w:rsidRPr="001D6DAA">
        <w:rPr>
          <w:rFonts w:ascii="Arial" w:hAnsi="Arial" w:cs="Arial"/>
          <w:sz w:val="24"/>
          <w:szCs w:val="24"/>
        </w:rPr>
        <w:t>con el correspondiente membrete y en el formato adjunto denominado “</w:t>
      </w:r>
      <w:r w:rsidRPr="001D6DAA">
        <w:rPr>
          <w:rFonts w:ascii="Arial" w:hAnsi="Arial" w:cs="Arial"/>
          <w:sz w:val="24"/>
          <w:szCs w:val="24"/>
          <w:lang w:val="es-ES"/>
        </w:rPr>
        <w:t>Formato Certificación Prestador del Servicio</w:t>
      </w:r>
      <w:r w:rsidRPr="001D6DAA">
        <w:rPr>
          <w:rFonts w:ascii="Arial" w:hAnsi="Arial" w:cs="Arial"/>
          <w:sz w:val="24"/>
          <w:szCs w:val="24"/>
        </w:rPr>
        <w:t>”, en el que se especifique </w:t>
      </w:r>
      <w:r w:rsidR="005401C5">
        <w:rPr>
          <w:rFonts w:ascii="Arial" w:hAnsi="Arial" w:cs="Arial"/>
          <w:sz w:val="24"/>
          <w:szCs w:val="24"/>
        </w:rPr>
        <w:t>que</w:t>
      </w:r>
      <w:r w:rsidRPr="001D6DAA">
        <w:rPr>
          <w:rFonts w:ascii="Arial" w:hAnsi="Arial" w:cs="Arial"/>
          <w:sz w:val="24"/>
          <w:szCs w:val="24"/>
        </w:rPr>
        <w:t>: </w:t>
      </w:r>
    </w:p>
    <w:p w14:paraId="6484ABC7" w14:textId="77777777" w:rsidR="005401C5" w:rsidRDefault="005401C5" w:rsidP="002E3DB0">
      <w:pPr>
        <w:widowControl w:val="0"/>
        <w:tabs>
          <w:tab w:val="num" w:pos="1843"/>
          <w:tab w:val="left" w:pos="2268"/>
        </w:tabs>
        <w:suppressAutoHyphens w:val="0"/>
        <w:autoSpaceDE w:val="0"/>
        <w:autoSpaceDN w:val="0"/>
        <w:spacing w:after="0"/>
        <w:ind w:left="1560"/>
        <w:jc w:val="both"/>
        <w:rPr>
          <w:rFonts w:ascii="Arial" w:hAnsi="Arial" w:cs="Arial"/>
          <w:sz w:val="24"/>
          <w:szCs w:val="24"/>
        </w:rPr>
      </w:pPr>
    </w:p>
    <w:p w14:paraId="19843E33" w14:textId="77777777" w:rsidR="00973682" w:rsidRDefault="001D6DAA" w:rsidP="002E3DB0">
      <w:pPr>
        <w:pStyle w:val="Prrafodelista"/>
        <w:widowControl w:val="0"/>
        <w:numPr>
          <w:ilvl w:val="1"/>
          <w:numId w:val="109"/>
        </w:numPr>
        <w:tabs>
          <w:tab w:val="num" w:pos="1843"/>
          <w:tab w:val="left" w:pos="2268"/>
        </w:tabs>
        <w:suppressAutoHyphens w:val="0"/>
        <w:autoSpaceDE w:val="0"/>
        <w:autoSpaceDN w:val="0"/>
        <w:spacing w:after="0"/>
        <w:jc w:val="both"/>
        <w:rPr>
          <w:rFonts w:ascii="Arial" w:hAnsi="Arial" w:cs="Arial"/>
          <w:sz w:val="24"/>
          <w:szCs w:val="24"/>
        </w:rPr>
      </w:pPr>
      <w:r w:rsidRPr="00F2717A">
        <w:rPr>
          <w:rFonts w:ascii="Arial" w:hAnsi="Arial" w:cs="Arial"/>
          <w:sz w:val="24"/>
          <w:szCs w:val="24"/>
        </w:rPr>
        <w:t>Recibir los activos construidos como resultado de la ejecución del plan, programa o proyecto para efectuar las labores de Administración, Operación y Mantenimiento (AOM). </w:t>
      </w:r>
    </w:p>
    <w:p w14:paraId="69D7C521" w14:textId="324EF11A" w:rsidR="001D6DAA" w:rsidRPr="00973682" w:rsidRDefault="001D6DAA" w:rsidP="002E3DB0">
      <w:pPr>
        <w:pStyle w:val="Prrafodelista"/>
        <w:widowControl w:val="0"/>
        <w:numPr>
          <w:ilvl w:val="1"/>
          <w:numId w:val="109"/>
        </w:numPr>
        <w:tabs>
          <w:tab w:val="num" w:pos="1843"/>
          <w:tab w:val="left" w:pos="2268"/>
        </w:tabs>
        <w:suppressAutoHyphens w:val="0"/>
        <w:autoSpaceDE w:val="0"/>
        <w:autoSpaceDN w:val="0"/>
        <w:spacing w:after="0"/>
        <w:jc w:val="both"/>
        <w:rPr>
          <w:rFonts w:ascii="Arial" w:hAnsi="Arial" w:cs="Arial"/>
          <w:sz w:val="24"/>
          <w:szCs w:val="24"/>
        </w:rPr>
      </w:pPr>
      <w:r w:rsidRPr="00973682">
        <w:rPr>
          <w:rFonts w:ascii="Arial" w:hAnsi="Arial" w:cs="Arial"/>
          <w:sz w:val="24"/>
          <w:szCs w:val="24"/>
        </w:rPr>
        <w:t>Efectuar la reposición de los activos cuando sea necesario. </w:t>
      </w:r>
    </w:p>
    <w:p w14:paraId="7812D200" w14:textId="0EDAFB9C" w:rsidR="001D6DAA" w:rsidRPr="001D6DAA" w:rsidRDefault="001D6DAA" w:rsidP="002E3DB0">
      <w:pPr>
        <w:widowControl w:val="0"/>
        <w:numPr>
          <w:ilvl w:val="0"/>
          <w:numId w:val="113"/>
        </w:numPr>
        <w:tabs>
          <w:tab w:val="left" w:pos="828"/>
        </w:tabs>
        <w:suppressAutoHyphens w:val="0"/>
        <w:autoSpaceDE w:val="0"/>
        <w:autoSpaceDN w:val="0"/>
        <w:spacing w:before="252" w:after="0"/>
        <w:jc w:val="both"/>
        <w:rPr>
          <w:rFonts w:ascii="Arial" w:hAnsi="Arial" w:cs="Arial"/>
          <w:sz w:val="24"/>
          <w:szCs w:val="24"/>
        </w:rPr>
      </w:pPr>
      <w:r w:rsidRPr="001D6DAA">
        <w:rPr>
          <w:rFonts w:ascii="Arial" w:hAnsi="Arial" w:cs="Arial"/>
          <w:sz w:val="24"/>
          <w:szCs w:val="24"/>
          <w:lang w:val="es-ES"/>
        </w:rPr>
        <w:t>Para el caso de sistemas de autogeneración que se quieran conectar al SIN mediante el S</w:t>
      </w:r>
      <w:r w:rsidR="00020CCD">
        <w:rPr>
          <w:rFonts w:ascii="Arial" w:hAnsi="Arial" w:cs="Arial"/>
          <w:sz w:val="24"/>
          <w:szCs w:val="24"/>
          <w:lang w:val="es-ES"/>
        </w:rPr>
        <w:t>DL</w:t>
      </w:r>
      <w:r w:rsidRPr="001D6DAA">
        <w:rPr>
          <w:rFonts w:ascii="Arial" w:hAnsi="Arial" w:cs="Arial"/>
          <w:sz w:val="24"/>
          <w:szCs w:val="24"/>
          <w:lang w:val="es-ES"/>
        </w:rPr>
        <w:t>, se requerirá un Certificado adicional del Operador de Red </w:t>
      </w:r>
      <w:r w:rsidRPr="001D6DAA">
        <w:rPr>
          <w:rFonts w:ascii="Arial" w:hAnsi="Arial" w:cs="Arial"/>
          <w:sz w:val="24"/>
          <w:szCs w:val="24"/>
        </w:rPr>
        <w:t xml:space="preserve">o </w:t>
      </w:r>
      <w:r w:rsidRPr="001D6DAA">
        <w:rPr>
          <w:rFonts w:ascii="Arial" w:hAnsi="Arial" w:cs="Arial"/>
          <w:sz w:val="24"/>
          <w:szCs w:val="24"/>
        </w:rPr>
        <w:lastRenderedPageBreak/>
        <w:t>Prestador del Servicio</w:t>
      </w:r>
      <w:r w:rsidRPr="001D6DAA">
        <w:rPr>
          <w:rFonts w:ascii="Arial" w:hAnsi="Arial" w:cs="Arial"/>
          <w:sz w:val="24"/>
          <w:szCs w:val="24"/>
          <w:lang w:val="es-ES"/>
        </w:rPr>
        <w:t>, con el correspondiente membrete y en el formato adjunto denominado “Formato Certificación Operador de Red”, en el que se especifique:</w:t>
      </w:r>
      <w:r w:rsidRPr="001D6DAA">
        <w:rPr>
          <w:rFonts w:ascii="Arial" w:hAnsi="Arial" w:cs="Arial"/>
          <w:sz w:val="24"/>
          <w:szCs w:val="24"/>
        </w:rPr>
        <w:t>  </w:t>
      </w:r>
    </w:p>
    <w:p w14:paraId="050F4F3A" w14:textId="77777777" w:rsidR="001D6DAA" w:rsidRPr="001D6DAA" w:rsidRDefault="001D6DAA" w:rsidP="002E3DB0">
      <w:pPr>
        <w:widowControl w:val="0"/>
        <w:numPr>
          <w:ilvl w:val="0"/>
          <w:numId w:val="116"/>
        </w:numPr>
        <w:tabs>
          <w:tab w:val="left" w:pos="1985"/>
        </w:tabs>
        <w:suppressAutoHyphens w:val="0"/>
        <w:autoSpaceDE w:val="0"/>
        <w:autoSpaceDN w:val="0"/>
        <w:spacing w:before="252" w:after="0"/>
        <w:ind w:left="1560"/>
        <w:jc w:val="both"/>
        <w:rPr>
          <w:rFonts w:ascii="Arial" w:hAnsi="Arial" w:cs="Arial"/>
          <w:sz w:val="24"/>
          <w:szCs w:val="24"/>
        </w:rPr>
      </w:pPr>
      <w:r w:rsidRPr="001D6DAA">
        <w:rPr>
          <w:rFonts w:ascii="Arial" w:hAnsi="Arial" w:cs="Arial"/>
          <w:sz w:val="24"/>
          <w:szCs w:val="24"/>
        </w:rPr>
        <w:t>Compromiso de establecer el/los puntos de conexión conforme al sistema de autogeneración que se vaya a implementar en su red. Esto se deberá realizar dentro de la estructuración de el/los proyecto.  </w:t>
      </w:r>
    </w:p>
    <w:p w14:paraId="55DDAA1E" w14:textId="6A5C65CE" w:rsidR="001D6DAA" w:rsidRPr="001D6DAA" w:rsidRDefault="00E339E9" w:rsidP="002E3DB0">
      <w:pPr>
        <w:widowControl w:val="0"/>
        <w:numPr>
          <w:ilvl w:val="0"/>
          <w:numId w:val="116"/>
        </w:numPr>
        <w:tabs>
          <w:tab w:val="left" w:pos="1985"/>
        </w:tabs>
        <w:suppressAutoHyphens w:val="0"/>
        <w:autoSpaceDE w:val="0"/>
        <w:autoSpaceDN w:val="0"/>
        <w:spacing w:after="0"/>
        <w:ind w:left="1560"/>
        <w:jc w:val="both"/>
        <w:rPr>
          <w:rFonts w:ascii="Arial" w:hAnsi="Arial" w:cs="Arial"/>
          <w:sz w:val="24"/>
          <w:szCs w:val="24"/>
        </w:rPr>
      </w:pPr>
      <w:r>
        <w:rPr>
          <w:rFonts w:ascii="Arial" w:hAnsi="Arial" w:cs="Arial"/>
          <w:sz w:val="24"/>
          <w:szCs w:val="24"/>
        </w:rPr>
        <w:t>C</w:t>
      </w:r>
      <w:r w:rsidR="001D6DAA" w:rsidRPr="001D6DAA">
        <w:rPr>
          <w:rFonts w:ascii="Arial" w:hAnsi="Arial" w:cs="Arial"/>
          <w:sz w:val="24"/>
          <w:szCs w:val="24"/>
        </w:rPr>
        <w:t>omprom</w:t>
      </w:r>
      <w:r>
        <w:rPr>
          <w:rFonts w:ascii="Arial" w:hAnsi="Arial" w:cs="Arial"/>
          <w:sz w:val="24"/>
          <w:szCs w:val="24"/>
        </w:rPr>
        <w:t xml:space="preserve">iso de </w:t>
      </w:r>
      <w:r w:rsidR="001D6DAA" w:rsidRPr="001D6DAA">
        <w:rPr>
          <w:rFonts w:ascii="Arial" w:hAnsi="Arial" w:cs="Arial"/>
          <w:sz w:val="24"/>
          <w:szCs w:val="24"/>
        </w:rPr>
        <w:t>realizar la COMERCIALIZACIÓN de la energía eléctrica requerida y/o inyectada a la red por los nuevos usuarios y/o por los sistemas de autogeneración (AGPE) de acuerdo con la regulación vigente (si aplica).  </w:t>
      </w:r>
    </w:p>
    <w:p w14:paraId="6BDBCD47" w14:textId="542346CB" w:rsidR="001D6DAA" w:rsidRPr="001D6DAA" w:rsidRDefault="001D6DAA" w:rsidP="002E3DB0">
      <w:pPr>
        <w:widowControl w:val="0"/>
        <w:numPr>
          <w:ilvl w:val="0"/>
          <w:numId w:val="114"/>
        </w:numPr>
        <w:tabs>
          <w:tab w:val="left" w:pos="828"/>
        </w:tabs>
        <w:suppressAutoHyphens w:val="0"/>
        <w:autoSpaceDE w:val="0"/>
        <w:autoSpaceDN w:val="0"/>
        <w:spacing w:before="252" w:after="0"/>
        <w:jc w:val="both"/>
        <w:rPr>
          <w:rFonts w:ascii="Arial" w:hAnsi="Arial" w:cs="Arial"/>
          <w:sz w:val="24"/>
          <w:szCs w:val="24"/>
        </w:rPr>
      </w:pPr>
      <w:r w:rsidRPr="001D6DAA">
        <w:rPr>
          <w:rFonts w:ascii="Arial" w:hAnsi="Arial" w:cs="Arial"/>
          <w:sz w:val="24"/>
          <w:szCs w:val="24"/>
        </w:rPr>
        <w:t>En el caso de sistemas de autogeneración a instalar en viviendas, se debe presentar la declaración de cumplimiento por parte del ingeniero diseñador, en la que conste que las instalaciones eléctricas de la vivienda cumplen con lo establecido en el Reglamento Técnico de Instalaciones Eléctricas - RETIE.  </w:t>
      </w:r>
    </w:p>
    <w:p w14:paraId="5D7816FC" w14:textId="77777777" w:rsidR="00372FC5" w:rsidRDefault="00372FC5" w:rsidP="00372FC5">
      <w:pPr>
        <w:jc w:val="both"/>
        <w:rPr>
          <w:rFonts w:ascii="Arial" w:hAnsi="Arial" w:cs="Arial"/>
          <w:b/>
          <w:bCs/>
          <w:sz w:val="24"/>
          <w:szCs w:val="24"/>
        </w:rPr>
      </w:pPr>
    </w:p>
    <w:p w14:paraId="4EC45322" w14:textId="0A8C61C0" w:rsidR="00960E96" w:rsidRPr="00EC21CF" w:rsidRDefault="00372FC5" w:rsidP="00517B59">
      <w:pPr>
        <w:pStyle w:val="Ttulo6"/>
        <w:ind w:left="1152" w:hanging="1152"/>
        <w:rPr>
          <w:bCs/>
        </w:rPr>
      </w:pPr>
      <w:r w:rsidRPr="00372FC5">
        <w:rPr>
          <w:bCs/>
        </w:rPr>
        <w:t>III-</w:t>
      </w:r>
      <w:r w:rsidR="00E14F32" w:rsidRPr="00910271">
        <w:rPr>
          <w:bCs/>
        </w:rPr>
        <w:t>2.</w:t>
      </w:r>
      <w:r w:rsidR="00E14F32">
        <w:rPr>
          <w:bCs/>
        </w:rPr>
        <w:t>4.3.3.2</w:t>
      </w:r>
      <w:r w:rsidRPr="00372FC5">
        <w:rPr>
          <w:bCs/>
        </w:rPr>
        <w:t xml:space="preserve"> </w:t>
      </w:r>
      <w:r w:rsidR="00960E96" w:rsidRPr="00EC21CF">
        <w:rPr>
          <w:bCs/>
        </w:rPr>
        <w:t xml:space="preserve">Documentación Técnica </w:t>
      </w:r>
      <w:commentRangeStart w:id="138"/>
      <w:r w:rsidR="00960E96" w:rsidRPr="00EC21CF">
        <w:rPr>
          <w:bCs/>
        </w:rPr>
        <w:t>Adicional</w:t>
      </w:r>
      <w:commentRangeEnd w:id="138"/>
      <w:r w:rsidR="000629F6" w:rsidRPr="00EC21CF">
        <w:rPr>
          <w:rStyle w:val="Refdecomentario"/>
          <w:bCs/>
          <w:sz w:val="24"/>
          <w:szCs w:val="22"/>
        </w:rPr>
        <w:commentReference w:id="138"/>
      </w:r>
    </w:p>
    <w:p w14:paraId="2FBB2AB8" w14:textId="77777777" w:rsidR="00296EFC" w:rsidRPr="00296EFC" w:rsidRDefault="00296EFC" w:rsidP="00296EFC"/>
    <w:p w14:paraId="52EB27B6" w14:textId="7A1FE370" w:rsidR="00960E96" w:rsidRPr="00B46FBC" w:rsidRDefault="001575DF" w:rsidP="00B46FBC">
      <w:pPr>
        <w:pStyle w:val="Ttulo6"/>
        <w:ind w:left="1152" w:hanging="1152"/>
        <w:rPr>
          <w:bCs/>
        </w:rPr>
      </w:pPr>
      <w:r w:rsidRPr="00B46FBC">
        <w:rPr>
          <w:bCs/>
        </w:rPr>
        <w:t>III-</w:t>
      </w:r>
      <w:r w:rsidR="00E14F32" w:rsidRPr="00910271">
        <w:rPr>
          <w:bCs/>
        </w:rPr>
        <w:t>2.</w:t>
      </w:r>
      <w:r w:rsidR="00E14F32">
        <w:rPr>
          <w:bCs/>
        </w:rPr>
        <w:t xml:space="preserve">4.3.3.2.1 </w:t>
      </w:r>
      <w:r w:rsidR="00191A5A" w:rsidRPr="00B46FBC">
        <w:rPr>
          <w:bCs/>
        </w:rPr>
        <w:t xml:space="preserve">Diseño </w:t>
      </w:r>
      <w:r w:rsidR="00BF0EA8" w:rsidRPr="00B46FBC">
        <w:rPr>
          <w:bCs/>
        </w:rPr>
        <w:t>Civil</w:t>
      </w:r>
    </w:p>
    <w:p w14:paraId="2940E385" w14:textId="77777777" w:rsidR="004573C2" w:rsidRPr="004573C2" w:rsidRDefault="004573C2" w:rsidP="008E39FD">
      <w:pPr>
        <w:spacing w:before="240"/>
        <w:jc w:val="both"/>
        <w:rPr>
          <w:rFonts w:ascii="Arial" w:hAnsi="Arial" w:cs="Arial"/>
          <w:sz w:val="24"/>
          <w:szCs w:val="24"/>
        </w:rPr>
      </w:pPr>
      <w:r w:rsidRPr="004573C2">
        <w:rPr>
          <w:rFonts w:ascii="Arial" w:hAnsi="Arial" w:cs="Arial"/>
          <w:sz w:val="24"/>
          <w:szCs w:val="24"/>
          <w:lang w:val="es-ES"/>
        </w:rPr>
        <w:t>1.</w:t>
      </w:r>
      <w:r w:rsidRPr="004573C2">
        <w:rPr>
          <w:rFonts w:ascii="Arial" w:hAnsi="Arial" w:cs="Arial"/>
          <w:sz w:val="24"/>
          <w:szCs w:val="24"/>
        </w:rPr>
        <w:tab/>
      </w:r>
      <w:r w:rsidRPr="00A52149">
        <w:rPr>
          <w:rFonts w:ascii="Arial" w:hAnsi="Arial" w:cs="Arial"/>
          <w:b/>
          <w:sz w:val="24"/>
          <w:szCs w:val="24"/>
          <w:lang w:val="es-ES"/>
        </w:rPr>
        <w:t>Memorias de Cálculo y Diseños Civiles</w:t>
      </w:r>
      <w:r w:rsidRPr="004573C2">
        <w:rPr>
          <w:rFonts w:ascii="Arial" w:hAnsi="Arial" w:cs="Arial"/>
          <w:sz w:val="24"/>
          <w:szCs w:val="24"/>
        </w:rPr>
        <w:t> </w:t>
      </w:r>
    </w:p>
    <w:p w14:paraId="39652D10" w14:textId="0D8F93BB" w:rsidR="004573C2" w:rsidRPr="004573C2" w:rsidRDefault="004573C2" w:rsidP="008E39FD">
      <w:pPr>
        <w:jc w:val="both"/>
        <w:rPr>
          <w:rFonts w:ascii="Arial" w:hAnsi="Arial" w:cs="Arial"/>
          <w:sz w:val="24"/>
          <w:szCs w:val="24"/>
        </w:rPr>
      </w:pPr>
      <w:r w:rsidRPr="004573C2">
        <w:rPr>
          <w:rFonts w:ascii="Arial" w:hAnsi="Arial" w:cs="Arial"/>
          <w:sz w:val="24"/>
          <w:szCs w:val="24"/>
          <w:lang w:val="es-ES"/>
        </w:rPr>
        <w:t xml:space="preserve">En complemento en lo mencionado en el numeral 1 del apartado </w:t>
      </w:r>
      <w:r w:rsidR="00854C4A" w:rsidRPr="00854C4A">
        <w:rPr>
          <w:rFonts w:ascii="Arial" w:hAnsi="Arial" w:cs="Arial"/>
          <w:b/>
          <w:bCs/>
          <w:sz w:val="24"/>
          <w:szCs w:val="24"/>
        </w:rPr>
        <w:t>III- 2.4.2.2.</w:t>
      </w:r>
      <w:r w:rsidR="00C26421">
        <w:rPr>
          <w:rFonts w:ascii="Arial" w:hAnsi="Arial" w:cs="Arial"/>
          <w:b/>
          <w:bCs/>
          <w:sz w:val="24"/>
          <w:szCs w:val="24"/>
        </w:rPr>
        <w:t>1</w:t>
      </w:r>
      <w:r w:rsidRPr="004573C2">
        <w:rPr>
          <w:rFonts w:ascii="Arial" w:hAnsi="Arial" w:cs="Arial"/>
          <w:sz w:val="24"/>
          <w:szCs w:val="24"/>
          <w:lang w:val="es-ES"/>
        </w:rPr>
        <w:t>, las Memorias de Cálculo del diseño civil deberán incluir todos los ítems del diseño detallado conforme a lo establecido en las disposiciones de la siguiente Normativa, en caso de que aplique:</w:t>
      </w:r>
      <w:r w:rsidRPr="004573C2">
        <w:rPr>
          <w:rFonts w:ascii="Arial" w:hAnsi="Arial" w:cs="Arial"/>
          <w:sz w:val="24"/>
          <w:szCs w:val="24"/>
        </w:rPr>
        <w:t> </w:t>
      </w:r>
    </w:p>
    <w:p w14:paraId="528AA081" w14:textId="77777777" w:rsidR="004573C2" w:rsidRPr="004573C2" w:rsidRDefault="004573C2" w:rsidP="00B320D0">
      <w:pPr>
        <w:numPr>
          <w:ilvl w:val="0"/>
          <w:numId w:val="118"/>
        </w:numPr>
        <w:spacing w:after="0"/>
        <w:jc w:val="both"/>
        <w:rPr>
          <w:rFonts w:ascii="Arial" w:hAnsi="Arial" w:cs="Arial"/>
          <w:sz w:val="24"/>
          <w:szCs w:val="24"/>
        </w:rPr>
      </w:pPr>
      <w:r w:rsidRPr="004573C2">
        <w:rPr>
          <w:rFonts w:ascii="Arial" w:hAnsi="Arial" w:cs="Arial"/>
          <w:sz w:val="24"/>
          <w:szCs w:val="24"/>
          <w:lang w:val="es-ES"/>
        </w:rPr>
        <w:t>NSR-10 Reglamento Colombiano de Construcción Sismo Resistente.</w:t>
      </w:r>
      <w:r w:rsidRPr="004573C2">
        <w:rPr>
          <w:rFonts w:ascii="Arial" w:hAnsi="Arial" w:cs="Arial"/>
          <w:sz w:val="24"/>
          <w:szCs w:val="24"/>
        </w:rPr>
        <w:t> </w:t>
      </w:r>
    </w:p>
    <w:p w14:paraId="2B3C4D6E" w14:textId="77777777" w:rsidR="004573C2" w:rsidRPr="004573C2" w:rsidRDefault="004573C2" w:rsidP="00B320D0">
      <w:pPr>
        <w:numPr>
          <w:ilvl w:val="0"/>
          <w:numId w:val="118"/>
        </w:numPr>
        <w:spacing w:after="0"/>
        <w:jc w:val="both"/>
        <w:rPr>
          <w:rFonts w:ascii="Arial" w:hAnsi="Arial" w:cs="Arial"/>
          <w:sz w:val="24"/>
          <w:szCs w:val="24"/>
          <w:lang w:val="en-US"/>
        </w:rPr>
      </w:pPr>
      <w:r w:rsidRPr="004573C2">
        <w:rPr>
          <w:rFonts w:ascii="Arial" w:hAnsi="Arial" w:cs="Arial"/>
          <w:sz w:val="24"/>
          <w:szCs w:val="24"/>
          <w:lang w:val="en-US"/>
        </w:rPr>
        <w:t>ASCE 7-22 Minimum Design Loads and Associated Criteria for Buildings. </w:t>
      </w:r>
    </w:p>
    <w:p w14:paraId="43734343" w14:textId="77777777" w:rsidR="004573C2" w:rsidRPr="004573C2" w:rsidRDefault="004573C2" w:rsidP="00B320D0">
      <w:pPr>
        <w:numPr>
          <w:ilvl w:val="0"/>
          <w:numId w:val="118"/>
        </w:numPr>
        <w:spacing w:after="0"/>
        <w:jc w:val="both"/>
        <w:rPr>
          <w:rFonts w:ascii="Arial" w:hAnsi="Arial" w:cs="Arial"/>
          <w:sz w:val="24"/>
          <w:szCs w:val="24"/>
        </w:rPr>
      </w:pPr>
      <w:r w:rsidRPr="00B8296D">
        <w:rPr>
          <w:rFonts w:ascii="Arial" w:hAnsi="Arial" w:cs="Arial"/>
          <w:sz w:val="24"/>
          <w:szCs w:val="24"/>
          <w:lang w:val="es-419"/>
        </w:rPr>
        <w:t>AIS 180-</w:t>
      </w:r>
      <w:r w:rsidRPr="004573C2">
        <w:rPr>
          <w:rFonts w:ascii="Arial" w:hAnsi="Arial" w:cs="Arial"/>
          <w:sz w:val="24"/>
          <w:szCs w:val="24"/>
        </w:rPr>
        <w:t>13 Recomendaciones para requisitos sísmicos de estructuras diferentes de edificaciones. </w:t>
      </w:r>
    </w:p>
    <w:p w14:paraId="37E83410" w14:textId="77777777" w:rsidR="004573C2" w:rsidRPr="004573C2" w:rsidRDefault="004573C2" w:rsidP="00B320D0">
      <w:pPr>
        <w:numPr>
          <w:ilvl w:val="0"/>
          <w:numId w:val="118"/>
        </w:numPr>
        <w:spacing w:after="0"/>
        <w:jc w:val="both"/>
        <w:rPr>
          <w:rFonts w:ascii="Arial" w:hAnsi="Arial" w:cs="Arial"/>
          <w:sz w:val="24"/>
          <w:szCs w:val="24"/>
          <w:lang w:val="en-US"/>
        </w:rPr>
      </w:pPr>
      <w:r w:rsidRPr="004573C2">
        <w:rPr>
          <w:rFonts w:ascii="Arial" w:hAnsi="Arial" w:cs="Arial"/>
          <w:sz w:val="24"/>
          <w:szCs w:val="24"/>
          <w:lang w:val="en-US"/>
        </w:rPr>
        <w:t>AISC 360-22 Specification for Structural Steel Buildings. </w:t>
      </w:r>
    </w:p>
    <w:p w14:paraId="622211AB" w14:textId="77777777" w:rsidR="004573C2" w:rsidRPr="004573C2" w:rsidRDefault="004573C2" w:rsidP="00B320D0">
      <w:pPr>
        <w:numPr>
          <w:ilvl w:val="0"/>
          <w:numId w:val="118"/>
        </w:numPr>
        <w:spacing w:after="0"/>
        <w:jc w:val="both"/>
        <w:rPr>
          <w:rFonts w:ascii="Arial" w:hAnsi="Arial" w:cs="Arial"/>
          <w:sz w:val="24"/>
          <w:szCs w:val="24"/>
          <w:lang w:val="en-US"/>
        </w:rPr>
      </w:pPr>
      <w:r w:rsidRPr="004573C2">
        <w:rPr>
          <w:rFonts w:ascii="Arial" w:hAnsi="Arial" w:cs="Arial"/>
          <w:sz w:val="24"/>
          <w:szCs w:val="24"/>
          <w:lang w:val="en-US"/>
        </w:rPr>
        <w:t>AISC 341-10 Seismic Provisions for Structural Steel Buildings. </w:t>
      </w:r>
    </w:p>
    <w:p w14:paraId="500CAE61" w14:textId="77777777" w:rsidR="004573C2" w:rsidRPr="004573C2" w:rsidRDefault="004573C2" w:rsidP="00B320D0">
      <w:pPr>
        <w:numPr>
          <w:ilvl w:val="0"/>
          <w:numId w:val="118"/>
        </w:numPr>
        <w:spacing w:after="0"/>
        <w:jc w:val="both"/>
        <w:rPr>
          <w:rFonts w:ascii="Arial" w:hAnsi="Arial" w:cs="Arial"/>
          <w:sz w:val="24"/>
          <w:szCs w:val="24"/>
          <w:lang w:val="en-US"/>
        </w:rPr>
      </w:pPr>
      <w:r w:rsidRPr="004573C2">
        <w:rPr>
          <w:rFonts w:ascii="Arial" w:hAnsi="Arial" w:cs="Arial"/>
          <w:sz w:val="24"/>
          <w:szCs w:val="24"/>
          <w:lang w:val="en-US"/>
        </w:rPr>
        <w:t>AISC 358-16 Prequalified Connections for Special and Intermediate Steel Moment Frames for Seismic Applications. </w:t>
      </w:r>
    </w:p>
    <w:p w14:paraId="118A903D" w14:textId="77777777" w:rsidR="004573C2" w:rsidRPr="004573C2" w:rsidRDefault="004573C2" w:rsidP="00B320D0">
      <w:pPr>
        <w:numPr>
          <w:ilvl w:val="0"/>
          <w:numId w:val="118"/>
        </w:numPr>
        <w:spacing w:after="0"/>
        <w:jc w:val="both"/>
        <w:rPr>
          <w:rFonts w:ascii="Arial" w:hAnsi="Arial" w:cs="Arial"/>
          <w:sz w:val="24"/>
          <w:szCs w:val="24"/>
          <w:lang w:val="en-US"/>
        </w:rPr>
      </w:pPr>
      <w:r w:rsidRPr="004573C2">
        <w:rPr>
          <w:rFonts w:ascii="Arial" w:hAnsi="Arial" w:cs="Arial"/>
          <w:sz w:val="24"/>
          <w:szCs w:val="24"/>
          <w:lang w:val="en-US"/>
        </w:rPr>
        <w:t>ACI 318-19 Building Code Requirements for Concrete and Commentary. </w:t>
      </w:r>
    </w:p>
    <w:p w14:paraId="0BCC3534" w14:textId="77777777" w:rsidR="004573C2" w:rsidRDefault="004573C2" w:rsidP="00B320D0">
      <w:pPr>
        <w:numPr>
          <w:ilvl w:val="0"/>
          <w:numId w:val="118"/>
        </w:numPr>
        <w:spacing w:after="0"/>
        <w:jc w:val="both"/>
        <w:rPr>
          <w:rFonts w:ascii="Arial" w:hAnsi="Arial" w:cs="Arial"/>
          <w:sz w:val="24"/>
          <w:szCs w:val="24"/>
          <w:lang w:val="en-US"/>
        </w:rPr>
      </w:pPr>
      <w:r w:rsidRPr="004573C2">
        <w:rPr>
          <w:rFonts w:ascii="Arial" w:hAnsi="Arial" w:cs="Arial"/>
          <w:sz w:val="24"/>
          <w:szCs w:val="24"/>
          <w:lang w:val="en-US"/>
        </w:rPr>
        <w:t>AWS D1.1-20 Structural Welding Code – Steel. </w:t>
      </w:r>
    </w:p>
    <w:p w14:paraId="51B55F24" w14:textId="77777777" w:rsidR="00EC27C6" w:rsidRPr="004573C2" w:rsidRDefault="00EC27C6" w:rsidP="008E39FD">
      <w:pPr>
        <w:spacing w:after="0"/>
        <w:ind w:left="1080"/>
        <w:jc w:val="both"/>
        <w:rPr>
          <w:rFonts w:ascii="Arial" w:hAnsi="Arial" w:cs="Arial"/>
          <w:sz w:val="24"/>
          <w:szCs w:val="24"/>
          <w:lang w:val="en-US"/>
        </w:rPr>
      </w:pPr>
    </w:p>
    <w:p w14:paraId="3421B27B" w14:textId="77777777" w:rsidR="004573C2" w:rsidRPr="004573C2" w:rsidRDefault="004573C2" w:rsidP="008E39FD">
      <w:pPr>
        <w:jc w:val="both"/>
        <w:rPr>
          <w:rFonts w:ascii="Arial" w:hAnsi="Arial" w:cs="Arial"/>
          <w:sz w:val="24"/>
          <w:szCs w:val="24"/>
        </w:rPr>
      </w:pPr>
      <w:r w:rsidRPr="004573C2">
        <w:rPr>
          <w:rFonts w:ascii="Arial" w:hAnsi="Arial" w:cs="Arial"/>
          <w:sz w:val="24"/>
          <w:szCs w:val="24"/>
          <w:lang w:val="es-ES"/>
        </w:rPr>
        <w:t>Además, las memorias de cálculo deberán incluir:</w:t>
      </w:r>
      <w:r w:rsidRPr="004573C2">
        <w:rPr>
          <w:rFonts w:ascii="Arial" w:hAnsi="Arial" w:cs="Arial"/>
          <w:sz w:val="24"/>
          <w:szCs w:val="24"/>
        </w:rPr>
        <w:t> </w:t>
      </w:r>
    </w:p>
    <w:p w14:paraId="0BC8E111" w14:textId="77777777" w:rsidR="004573C2" w:rsidRPr="004573C2" w:rsidRDefault="004573C2" w:rsidP="00B320D0">
      <w:pPr>
        <w:numPr>
          <w:ilvl w:val="0"/>
          <w:numId w:val="119"/>
        </w:numPr>
        <w:spacing w:after="0"/>
        <w:jc w:val="both"/>
        <w:rPr>
          <w:rFonts w:ascii="Arial" w:hAnsi="Arial" w:cs="Arial"/>
          <w:sz w:val="24"/>
          <w:szCs w:val="24"/>
        </w:rPr>
      </w:pPr>
      <w:r w:rsidRPr="004573C2">
        <w:rPr>
          <w:rFonts w:ascii="Arial" w:hAnsi="Arial" w:cs="Arial"/>
          <w:sz w:val="24"/>
          <w:szCs w:val="24"/>
          <w:lang w:val="es-ES"/>
        </w:rPr>
        <w:t>Descripción de la estructura y del sistema de resistencia ante cargas verticales y laterales (Estructura – Cimentaciones - Conexiones).</w:t>
      </w:r>
      <w:r w:rsidRPr="004573C2">
        <w:rPr>
          <w:rFonts w:ascii="Arial" w:hAnsi="Arial" w:cs="Arial"/>
          <w:sz w:val="24"/>
          <w:szCs w:val="24"/>
        </w:rPr>
        <w:t> </w:t>
      </w:r>
    </w:p>
    <w:p w14:paraId="346F0E7C" w14:textId="77777777" w:rsidR="004573C2" w:rsidRPr="004573C2" w:rsidRDefault="004573C2" w:rsidP="00B320D0">
      <w:pPr>
        <w:numPr>
          <w:ilvl w:val="0"/>
          <w:numId w:val="119"/>
        </w:numPr>
        <w:spacing w:after="0"/>
        <w:jc w:val="both"/>
        <w:rPr>
          <w:rFonts w:ascii="Arial" w:hAnsi="Arial" w:cs="Arial"/>
          <w:sz w:val="24"/>
          <w:szCs w:val="24"/>
        </w:rPr>
      </w:pPr>
      <w:r w:rsidRPr="004573C2">
        <w:rPr>
          <w:rFonts w:ascii="Arial" w:hAnsi="Arial" w:cs="Arial"/>
          <w:sz w:val="24"/>
          <w:szCs w:val="24"/>
          <w:lang w:val="es-ES"/>
        </w:rPr>
        <w:t>Criterios básicos de diseño (Sistema Estructural – Descripción de los elementos estructurales)</w:t>
      </w:r>
      <w:r w:rsidRPr="004573C2">
        <w:rPr>
          <w:rFonts w:ascii="Arial" w:hAnsi="Arial" w:cs="Arial"/>
          <w:sz w:val="24"/>
          <w:szCs w:val="24"/>
        </w:rPr>
        <w:t> </w:t>
      </w:r>
    </w:p>
    <w:p w14:paraId="238B8590" w14:textId="77777777" w:rsidR="004573C2" w:rsidRPr="004573C2" w:rsidRDefault="004573C2" w:rsidP="00B320D0">
      <w:pPr>
        <w:numPr>
          <w:ilvl w:val="0"/>
          <w:numId w:val="119"/>
        </w:numPr>
        <w:spacing w:after="0"/>
        <w:jc w:val="both"/>
        <w:rPr>
          <w:rFonts w:ascii="Arial" w:hAnsi="Arial" w:cs="Arial"/>
          <w:sz w:val="24"/>
          <w:szCs w:val="24"/>
        </w:rPr>
      </w:pPr>
      <w:r w:rsidRPr="004573C2">
        <w:rPr>
          <w:rFonts w:ascii="Arial" w:hAnsi="Arial" w:cs="Arial"/>
          <w:sz w:val="24"/>
          <w:szCs w:val="24"/>
        </w:rPr>
        <w:t>Propiedades de los materiales utilizados en el diseño (Propiedades del concreto estructural – Propiedades del Acero de refuerzo – Propiedades de Acero estructural) </w:t>
      </w:r>
    </w:p>
    <w:p w14:paraId="3A8FA8F9" w14:textId="77777777" w:rsidR="004573C2" w:rsidRPr="004573C2" w:rsidRDefault="004573C2" w:rsidP="00B320D0">
      <w:pPr>
        <w:numPr>
          <w:ilvl w:val="0"/>
          <w:numId w:val="119"/>
        </w:numPr>
        <w:spacing w:after="0"/>
        <w:jc w:val="both"/>
        <w:rPr>
          <w:rFonts w:ascii="Arial" w:hAnsi="Arial" w:cs="Arial"/>
          <w:sz w:val="24"/>
          <w:szCs w:val="24"/>
        </w:rPr>
      </w:pPr>
      <w:r w:rsidRPr="004573C2">
        <w:rPr>
          <w:rFonts w:ascii="Arial" w:hAnsi="Arial" w:cs="Arial"/>
          <w:sz w:val="24"/>
          <w:szCs w:val="24"/>
        </w:rPr>
        <w:lastRenderedPageBreak/>
        <w:t>Cargas de diseño (Carga muerta – Sobre carga muerta – Carga viva – Carga viva de cubierta – Carga sísmica – Coeficiente de disipación de energía – Carga de empuje de tierra y presiones hidrostáticas – carga de viento) </w:t>
      </w:r>
    </w:p>
    <w:p w14:paraId="3452331F" w14:textId="77777777" w:rsidR="004573C2" w:rsidRPr="004573C2" w:rsidRDefault="004573C2" w:rsidP="00B320D0">
      <w:pPr>
        <w:numPr>
          <w:ilvl w:val="0"/>
          <w:numId w:val="119"/>
        </w:numPr>
        <w:spacing w:after="0"/>
        <w:jc w:val="both"/>
        <w:rPr>
          <w:rFonts w:ascii="Arial" w:hAnsi="Arial" w:cs="Arial"/>
          <w:sz w:val="24"/>
          <w:szCs w:val="24"/>
        </w:rPr>
      </w:pPr>
      <w:r w:rsidRPr="004573C2">
        <w:rPr>
          <w:rFonts w:ascii="Arial" w:hAnsi="Arial" w:cs="Arial"/>
          <w:sz w:val="24"/>
          <w:szCs w:val="24"/>
        </w:rPr>
        <w:t>Métodos del estado límite de resistencia </w:t>
      </w:r>
    </w:p>
    <w:p w14:paraId="593AB357" w14:textId="285D2A44" w:rsidR="004573C2" w:rsidRPr="004573C2" w:rsidRDefault="004573C2" w:rsidP="00B320D0">
      <w:pPr>
        <w:numPr>
          <w:ilvl w:val="0"/>
          <w:numId w:val="119"/>
        </w:numPr>
        <w:spacing w:after="0"/>
        <w:jc w:val="both"/>
        <w:rPr>
          <w:rFonts w:ascii="Arial" w:hAnsi="Arial" w:cs="Arial"/>
          <w:sz w:val="24"/>
          <w:szCs w:val="24"/>
        </w:rPr>
      </w:pPr>
      <w:r w:rsidRPr="004573C2">
        <w:rPr>
          <w:rFonts w:ascii="Arial" w:hAnsi="Arial" w:cs="Arial"/>
          <w:sz w:val="24"/>
          <w:szCs w:val="24"/>
        </w:rPr>
        <w:t>Análisis y diseño Estructural: </w:t>
      </w:r>
    </w:p>
    <w:p w14:paraId="3BFF0951" w14:textId="77777777" w:rsidR="004573C2" w:rsidRPr="004573C2" w:rsidRDefault="004573C2" w:rsidP="00B320D0">
      <w:pPr>
        <w:numPr>
          <w:ilvl w:val="0"/>
          <w:numId w:val="120"/>
        </w:numPr>
        <w:spacing w:after="0"/>
        <w:ind w:left="1843"/>
        <w:jc w:val="both"/>
        <w:rPr>
          <w:rFonts w:ascii="Arial" w:hAnsi="Arial" w:cs="Arial"/>
          <w:sz w:val="24"/>
          <w:szCs w:val="24"/>
        </w:rPr>
      </w:pPr>
      <w:r w:rsidRPr="004573C2">
        <w:rPr>
          <w:rFonts w:ascii="Arial" w:hAnsi="Arial" w:cs="Arial"/>
          <w:sz w:val="24"/>
          <w:szCs w:val="24"/>
        </w:rPr>
        <w:t>Diseño de Elementos Estructurales: Cálculos detallados para cada tipo de elemento estructural (vigas, columnas, losas, cimentaciones, etc.), incluyendo diagramas de momentos, cortantes y axiales. </w:t>
      </w:r>
    </w:p>
    <w:p w14:paraId="421533CE" w14:textId="77777777" w:rsidR="004573C2" w:rsidRPr="004573C2" w:rsidRDefault="004573C2" w:rsidP="00B320D0">
      <w:pPr>
        <w:numPr>
          <w:ilvl w:val="0"/>
          <w:numId w:val="120"/>
        </w:numPr>
        <w:spacing w:after="0"/>
        <w:ind w:left="1843"/>
        <w:jc w:val="both"/>
        <w:rPr>
          <w:rFonts w:ascii="Arial" w:hAnsi="Arial" w:cs="Arial"/>
          <w:sz w:val="24"/>
          <w:szCs w:val="24"/>
        </w:rPr>
      </w:pPr>
      <w:r w:rsidRPr="004573C2">
        <w:rPr>
          <w:rFonts w:ascii="Arial" w:hAnsi="Arial" w:cs="Arial"/>
          <w:sz w:val="24"/>
          <w:szCs w:val="24"/>
        </w:rPr>
        <w:t>Verificación de índice de sobre esfuerzo de los elementos. </w:t>
      </w:r>
    </w:p>
    <w:p w14:paraId="42713556" w14:textId="77777777" w:rsidR="004573C2" w:rsidRPr="004573C2" w:rsidRDefault="004573C2" w:rsidP="00B320D0">
      <w:pPr>
        <w:numPr>
          <w:ilvl w:val="0"/>
          <w:numId w:val="120"/>
        </w:numPr>
        <w:spacing w:after="0"/>
        <w:ind w:left="1843"/>
        <w:jc w:val="both"/>
        <w:rPr>
          <w:rFonts w:ascii="Arial" w:hAnsi="Arial" w:cs="Arial"/>
          <w:sz w:val="24"/>
          <w:szCs w:val="24"/>
        </w:rPr>
      </w:pPr>
      <w:r w:rsidRPr="004573C2">
        <w:rPr>
          <w:rFonts w:ascii="Arial" w:hAnsi="Arial" w:cs="Arial"/>
          <w:sz w:val="24"/>
          <w:szCs w:val="24"/>
        </w:rPr>
        <w:t>Verificación de derivas. </w:t>
      </w:r>
    </w:p>
    <w:p w14:paraId="0C17F35F" w14:textId="77777777" w:rsidR="004573C2" w:rsidRPr="004573C2" w:rsidRDefault="004573C2" w:rsidP="00B320D0">
      <w:pPr>
        <w:numPr>
          <w:ilvl w:val="0"/>
          <w:numId w:val="120"/>
        </w:numPr>
        <w:spacing w:after="0"/>
        <w:ind w:left="1843"/>
        <w:jc w:val="both"/>
        <w:rPr>
          <w:rFonts w:ascii="Arial" w:hAnsi="Arial" w:cs="Arial"/>
          <w:sz w:val="24"/>
          <w:szCs w:val="24"/>
        </w:rPr>
      </w:pPr>
      <w:r w:rsidRPr="004573C2">
        <w:rPr>
          <w:rFonts w:ascii="Arial" w:hAnsi="Arial" w:cs="Arial"/>
          <w:sz w:val="24"/>
          <w:szCs w:val="24"/>
        </w:rPr>
        <w:t>Verificación y comparación de cortante dinámico y cortante estático. </w:t>
      </w:r>
    </w:p>
    <w:p w14:paraId="6C9665FF" w14:textId="5B3CC952" w:rsidR="004573C2" w:rsidRPr="004573C2" w:rsidRDefault="004573C2" w:rsidP="00B320D0">
      <w:pPr>
        <w:numPr>
          <w:ilvl w:val="0"/>
          <w:numId w:val="120"/>
        </w:numPr>
        <w:ind w:left="1843"/>
        <w:jc w:val="both"/>
        <w:rPr>
          <w:rFonts w:ascii="Arial" w:hAnsi="Arial" w:cs="Arial"/>
          <w:sz w:val="24"/>
          <w:szCs w:val="24"/>
        </w:rPr>
      </w:pPr>
      <w:r w:rsidRPr="004573C2">
        <w:rPr>
          <w:rFonts w:ascii="Arial" w:hAnsi="Arial" w:cs="Arial"/>
          <w:sz w:val="24"/>
          <w:szCs w:val="24"/>
        </w:rPr>
        <w:t>Las demás que se consideren necesarias. </w:t>
      </w:r>
    </w:p>
    <w:p w14:paraId="60D3CD03" w14:textId="77777777" w:rsidR="004573C2" w:rsidRPr="004573C2" w:rsidRDefault="004573C2" w:rsidP="00B320D0">
      <w:pPr>
        <w:numPr>
          <w:ilvl w:val="0"/>
          <w:numId w:val="117"/>
        </w:numPr>
        <w:jc w:val="both"/>
        <w:rPr>
          <w:rFonts w:ascii="Arial" w:hAnsi="Arial" w:cs="Arial"/>
          <w:sz w:val="24"/>
          <w:szCs w:val="24"/>
        </w:rPr>
      </w:pPr>
      <w:r w:rsidRPr="004573C2">
        <w:rPr>
          <w:rFonts w:ascii="Arial" w:hAnsi="Arial" w:cs="Arial"/>
          <w:sz w:val="24"/>
          <w:szCs w:val="24"/>
        </w:rPr>
        <w:t>Anexos: Cualquier información adicional relevante, como tablas de propiedades de materiales, resultados de pruebas de laboratorio, recomendaciones de construcción y diseño, obras adicionales que requieran, en caso de que aplique. </w:t>
      </w:r>
    </w:p>
    <w:p w14:paraId="0D48DA24" w14:textId="69244E54" w:rsidR="00BF0EA8" w:rsidRPr="00DF2F45" w:rsidRDefault="00DF5D83" w:rsidP="002E3DB0">
      <w:pPr>
        <w:pStyle w:val="Ttulo6"/>
        <w:spacing w:before="0"/>
        <w:ind w:left="1152" w:hanging="1152"/>
        <w:rPr>
          <w:bCs/>
        </w:rPr>
      </w:pPr>
      <w:r w:rsidRPr="00DF5D83">
        <w:rPr>
          <w:bCs/>
        </w:rPr>
        <w:t>III-</w:t>
      </w:r>
      <w:r w:rsidR="00E14F32" w:rsidRPr="00910271">
        <w:rPr>
          <w:bCs/>
        </w:rPr>
        <w:t>2.</w:t>
      </w:r>
      <w:r w:rsidR="00E14F32">
        <w:rPr>
          <w:bCs/>
        </w:rPr>
        <w:t>4.3.3.2.2</w:t>
      </w:r>
      <w:r w:rsidRPr="00DF5D83">
        <w:rPr>
          <w:bCs/>
        </w:rPr>
        <w:t xml:space="preserve"> </w:t>
      </w:r>
      <w:r w:rsidR="00183EC4" w:rsidRPr="00DF2F45">
        <w:rPr>
          <w:bCs/>
        </w:rPr>
        <w:t>Diseño Eléctrico</w:t>
      </w:r>
    </w:p>
    <w:p w14:paraId="036D0B08" w14:textId="77777777" w:rsidR="00E92DE1" w:rsidRPr="00E92DE1" w:rsidRDefault="00E92DE1" w:rsidP="002E3DB0">
      <w:pPr>
        <w:spacing w:after="0"/>
      </w:pPr>
    </w:p>
    <w:p w14:paraId="575BDDD8" w14:textId="77777777" w:rsidR="00476E0E" w:rsidRDefault="00476E0E" w:rsidP="00B320D0">
      <w:pPr>
        <w:numPr>
          <w:ilvl w:val="0"/>
          <w:numId w:val="121"/>
        </w:numPr>
        <w:jc w:val="both"/>
        <w:rPr>
          <w:rFonts w:ascii="Arial" w:hAnsi="Arial" w:cs="Arial"/>
          <w:sz w:val="24"/>
          <w:szCs w:val="24"/>
        </w:rPr>
      </w:pPr>
      <w:r w:rsidRPr="00476E0E">
        <w:rPr>
          <w:rFonts w:ascii="Arial" w:hAnsi="Arial" w:cs="Arial"/>
          <w:sz w:val="24"/>
          <w:szCs w:val="24"/>
        </w:rPr>
        <w:t>Concepto punto de conexión: Concepto favorable vigente, cuando corresponda, sobre el punto de conexión, emitido por la Unidad de Planeación Minero Energético (UPME) para aquellos proyectos de generación clasificados como Clase 2 que soliciten conexión al Sistema Interconectado Nacional (SIN) de conformidad con lo establecido en la Resolución CREG 075 de 2021. </w:t>
      </w:r>
    </w:p>
    <w:p w14:paraId="7FA6BB01" w14:textId="77777777" w:rsidR="003F1AF1" w:rsidRDefault="00476E0E" w:rsidP="008E39FD">
      <w:pPr>
        <w:ind w:left="720"/>
        <w:jc w:val="both"/>
        <w:rPr>
          <w:rFonts w:ascii="Arial" w:hAnsi="Arial" w:cs="Arial"/>
          <w:sz w:val="24"/>
          <w:szCs w:val="24"/>
        </w:rPr>
      </w:pPr>
      <w:r w:rsidRPr="00476E0E">
        <w:rPr>
          <w:rFonts w:ascii="Arial" w:hAnsi="Arial" w:cs="Arial"/>
          <w:sz w:val="24"/>
          <w:szCs w:val="24"/>
        </w:rPr>
        <w:t>Para los proyectos de generación que se conecten al Sistema de Distribución Local (SDL) en el nivel de tensión 1, el concepto o certificación de conexión deberá ser emitido por el Operador de Red, conforme a lo dispuesto en la Resolución CREG 174 de 2018, la Resolución CREG 011 de 2022 o la normatividad que las modifique o sustituya, incluyendo la elaboración del estudio simplificado de conexión y el cumplimiento de los requisitos técnicos definidos por dicho Operador. </w:t>
      </w:r>
    </w:p>
    <w:p w14:paraId="356B45E1" w14:textId="77777777" w:rsidR="003F1AF1" w:rsidRDefault="00476E0E" w:rsidP="008E39FD">
      <w:pPr>
        <w:ind w:left="720"/>
        <w:jc w:val="both"/>
        <w:rPr>
          <w:rFonts w:ascii="Arial" w:hAnsi="Arial" w:cs="Arial"/>
          <w:sz w:val="24"/>
          <w:szCs w:val="24"/>
        </w:rPr>
      </w:pPr>
      <w:r w:rsidRPr="00476E0E">
        <w:rPr>
          <w:rFonts w:ascii="Arial" w:hAnsi="Arial" w:cs="Arial"/>
          <w:sz w:val="24"/>
          <w:szCs w:val="24"/>
        </w:rPr>
        <w:t>En el caso de proyectos de generación ubicados en Zonas No Interconectadas (ZNI) que pretendan conectarse a una red existente, deberá presentarse el estudio de conexión correspondiente, mediante el cual se demuestre que la planta puede conectarse al punto propuesto sin comprometer la confiabilidad y seguridad del servicio ni de la red existente, así como la certificación emitida por la empresa propietaria de la red, en la cual se avale dicha conexión. </w:t>
      </w:r>
    </w:p>
    <w:p w14:paraId="30CB4E47" w14:textId="3418B3B3" w:rsidR="00476E0E" w:rsidRPr="00476E0E" w:rsidRDefault="00476E0E" w:rsidP="008E39FD">
      <w:pPr>
        <w:ind w:left="720"/>
        <w:jc w:val="both"/>
        <w:rPr>
          <w:rFonts w:ascii="Arial" w:hAnsi="Arial" w:cs="Arial"/>
          <w:sz w:val="24"/>
          <w:szCs w:val="24"/>
        </w:rPr>
      </w:pPr>
      <w:r w:rsidRPr="00476E0E">
        <w:rPr>
          <w:rFonts w:ascii="Arial" w:hAnsi="Arial" w:cs="Arial"/>
          <w:sz w:val="24"/>
          <w:szCs w:val="24"/>
        </w:rPr>
        <w:t>En caso de no contar con una red existente, se deberá presentar una certificación, por el prestador de servicios a cargo del AOM en donde se indique que no existe red alguna, y que el proyecto comprende la construcción de la red o, que en su defecto, el proyecto comprende sistemas de generación individúales y que no requiere red. </w:t>
      </w:r>
    </w:p>
    <w:p w14:paraId="15923FC0" w14:textId="04D12793" w:rsidR="003F1AF1" w:rsidRDefault="00476E0E" w:rsidP="00B320D0">
      <w:pPr>
        <w:numPr>
          <w:ilvl w:val="0"/>
          <w:numId w:val="122"/>
        </w:numPr>
        <w:jc w:val="both"/>
        <w:rPr>
          <w:rFonts w:ascii="Arial" w:hAnsi="Arial" w:cs="Arial"/>
          <w:sz w:val="24"/>
          <w:szCs w:val="24"/>
        </w:rPr>
      </w:pPr>
      <w:r w:rsidRPr="00476E0E">
        <w:rPr>
          <w:rFonts w:ascii="Arial" w:hAnsi="Arial" w:cs="Arial"/>
          <w:sz w:val="24"/>
          <w:szCs w:val="24"/>
        </w:rPr>
        <w:t xml:space="preserve">En complemento a lo establecido en </w:t>
      </w:r>
      <w:r w:rsidRPr="00225568">
        <w:rPr>
          <w:rFonts w:ascii="Arial" w:hAnsi="Arial" w:cs="Arial"/>
          <w:sz w:val="24"/>
          <w:szCs w:val="24"/>
        </w:rPr>
        <w:t xml:space="preserve">el numeral 1 del apartado </w:t>
      </w:r>
      <w:r w:rsidR="00225568" w:rsidRPr="00225568">
        <w:rPr>
          <w:rFonts w:ascii="Arial" w:hAnsi="Arial" w:cs="Arial"/>
          <w:b/>
          <w:bCs/>
          <w:sz w:val="24"/>
          <w:szCs w:val="24"/>
        </w:rPr>
        <w:t>III-</w:t>
      </w:r>
      <w:r w:rsidR="00225568" w:rsidRPr="00854C4A">
        <w:rPr>
          <w:rFonts w:ascii="Arial" w:hAnsi="Arial" w:cs="Arial"/>
          <w:b/>
          <w:bCs/>
          <w:sz w:val="24"/>
          <w:szCs w:val="24"/>
        </w:rPr>
        <w:t xml:space="preserve"> 2.4.2.2.2</w:t>
      </w:r>
      <w:r w:rsidRPr="00476E0E">
        <w:rPr>
          <w:rFonts w:ascii="Arial" w:hAnsi="Arial" w:cs="Arial"/>
          <w:sz w:val="24"/>
          <w:szCs w:val="24"/>
        </w:rPr>
        <w:t xml:space="preserve">, y sin perjuicio del cumplimiento integral de las disposiciones contenidas en el Libro 3 “Instalaciones Objeto del RETIE” de la Resolución 40117 de 2024 o aquella que la modifique o sustituya, el proponente deberá remitir la documentación </w:t>
      </w:r>
      <w:r w:rsidRPr="00476E0E">
        <w:rPr>
          <w:rFonts w:ascii="Arial" w:hAnsi="Arial" w:cs="Arial"/>
          <w:sz w:val="24"/>
          <w:szCs w:val="24"/>
        </w:rPr>
        <w:lastRenderedPageBreak/>
        <w:t>técnica específica correspondiente al diseño eléctrico del sistema de generación propuesto. </w:t>
      </w:r>
    </w:p>
    <w:p w14:paraId="067AE1AB" w14:textId="1CAC35A2" w:rsidR="00476E0E" w:rsidRPr="00476E0E" w:rsidRDefault="00476E0E" w:rsidP="008E39FD">
      <w:pPr>
        <w:ind w:left="720"/>
        <w:jc w:val="both"/>
        <w:rPr>
          <w:rFonts w:ascii="Arial" w:hAnsi="Arial" w:cs="Arial"/>
          <w:sz w:val="24"/>
          <w:szCs w:val="24"/>
        </w:rPr>
      </w:pPr>
      <w:r w:rsidRPr="00476E0E">
        <w:rPr>
          <w:rFonts w:ascii="Arial" w:hAnsi="Arial" w:cs="Arial"/>
          <w:sz w:val="24"/>
          <w:szCs w:val="24"/>
        </w:rPr>
        <w:t>Esta documentación deberá sustentar de manera detallada el dimensionamiento y la configuración eléctrica del sistema de generación y su esquema de conexión, e incluir como mínimo: </w:t>
      </w:r>
    </w:p>
    <w:p w14:paraId="33301DF0" w14:textId="77777777" w:rsidR="00476E0E" w:rsidRPr="00476E0E" w:rsidRDefault="00476E0E" w:rsidP="00B320D0">
      <w:pPr>
        <w:numPr>
          <w:ilvl w:val="0"/>
          <w:numId w:val="123"/>
        </w:numPr>
        <w:tabs>
          <w:tab w:val="clear" w:pos="720"/>
        </w:tabs>
        <w:spacing w:after="0"/>
        <w:ind w:left="1701"/>
        <w:rPr>
          <w:rFonts w:ascii="Arial" w:hAnsi="Arial" w:cs="Arial"/>
          <w:sz w:val="24"/>
          <w:szCs w:val="24"/>
        </w:rPr>
      </w:pPr>
      <w:r w:rsidRPr="00476E0E">
        <w:rPr>
          <w:rFonts w:ascii="Arial" w:hAnsi="Arial" w:cs="Arial"/>
          <w:sz w:val="24"/>
          <w:szCs w:val="24"/>
        </w:rPr>
        <w:t>Memorias de cálculo del sistema de generación. </w:t>
      </w:r>
    </w:p>
    <w:p w14:paraId="57F94F3A" w14:textId="77777777" w:rsidR="00476E0E" w:rsidRPr="00476E0E" w:rsidRDefault="00476E0E" w:rsidP="00B320D0">
      <w:pPr>
        <w:numPr>
          <w:ilvl w:val="0"/>
          <w:numId w:val="124"/>
        </w:numPr>
        <w:tabs>
          <w:tab w:val="clear" w:pos="720"/>
        </w:tabs>
        <w:spacing w:after="0"/>
        <w:ind w:left="1701"/>
        <w:rPr>
          <w:rFonts w:ascii="Arial" w:hAnsi="Arial" w:cs="Arial"/>
          <w:sz w:val="24"/>
          <w:szCs w:val="24"/>
        </w:rPr>
      </w:pPr>
      <w:r w:rsidRPr="00476E0E">
        <w:rPr>
          <w:rFonts w:ascii="Arial" w:hAnsi="Arial" w:cs="Arial"/>
          <w:sz w:val="24"/>
          <w:szCs w:val="24"/>
        </w:rPr>
        <w:t>Planos eléctricos detallados del sistema y de su interconexión. </w:t>
      </w:r>
    </w:p>
    <w:p w14:paraId="126146DE" w14:textId="77777777" w:rsidR="00476E0E" w:rsidRPr="00476E0E" w:rsidRDefault="00476E0E" w:rsidP="00B320D0">
      <w:pPr>
        <w:numPr>
          <w:ilvl w:val="0"/>
          <w:numId w:val="125"/>
        </w:numPr>
        <w:tabs>
          <w:tab w:val="clear" w:pos="720"/>
        </w:tabs>
        <w:spacing w:after="0"/>
        <w:ind w:left="1701"/>
        <w:rPr>
          <w:rFonts w:ascii="Arial" w:hAnsi="Arial" w:cs="Arial"/>
          <w:sz w:val="24"/>
          <w:szCs w:val="24"/>
        </w:rPr>
      </w:pPr>
      <w:r w:rsidRPr="00476E0E">
        <w:rPr>
          <w:rFonts w:ascii="Arial" w:hAnsi="Arial" w:cs="Arial"/>
          <w:sz w:val="24"/>
          <w:szCs w:val="24"/>
        </w:rPr>
        <w:t>Especificaciones técnicas de equipos eléctricos asociados a la generación. </w:t>
      </w:r>
    </w:p>
    <w:p w14:paraId="38E865E6" w14:textId="77777777" w:rsidR="00476E0E" w:rsidRPr="00476E0E" w:rsidRDefault="00476E0E" w:rsidP="00B320D0">
      <w:pPr>
        <w:numPr>
          <w:ilvl w:val="0"/>
          <w:numId w:val="126"/>
        </w:numPr>
        <w:tabs>
          <w:tab w:val="clear" w:pos="720"/>
        </w:tabs>
        <w:spacing w:after="0"/>
        <w:ind w:left="1701"/>
        <w:rPr>
          <w:rFonts w:ascii="Arial" w:hAnsi="Arial" w:cs="Arial"/>
          <w:sz w:val="24"/>
          <w:szCs w:val="24"/>
        </w:rPr>
      </w:pPr>
      <w:r w:rsidRPr="00476E0E">
        <w:rPr>
          <w:rFonts w:ascii="Arial" w:hAnsi="Arial" w:cs="Arial"/>
          <w:sz w:val="24"/>
          <w:szCs w:val="24"/>
        </w:rPr>
        <w:t>Esquemas de conexión y protecciones. </w:t>
      </w:r>
    </w:p>
    <w:p w14:paraId="469A0BAF" w14:textId="77777777" w:rsidR="00476E0E" w:rsidRPr="00476E0E" w:rsidRDefault="00476E0E" w:rsidP="00B320D0">
      <w:pPr>
        <w:numPr>
          <w:ilvl w:val="0"/>
          <w:numId w:val="127"/>
        </w:numPr>
        <w:tabs>
          <w:tab w:val="clear" w:pos="720"/>
        </w:tabs>
        <w:spacing w:after="0"/>
        <w:ind w:left="1701"/>
        <w:rPr>
          <w:rFonts w:ascii="Arial" w:hAnsi="Arial" w:cs="Arial"/>
          <w:sz w:val="24"/>
          <w:szCs w:val="24"/>
        </w:rPr>
      </w:pPr>
      <w:r w:rsidRPr="00476E0E">
        <w:rPr>
          <w:rFonts w:ascii="Arial" w:hAnsi="Arial" w:cs="Arial"/>
          <w:sz w:val="24"/>
          <w:szCs w:val="24"/>
        </w:rPr>
        <w:t>Estudios eléctricos aplicables. </w:t>
      </w:r>
    </w:p>
    <w:p w14:paraId="1EBF1E54" w14:textId="77777777" w:rsidR="00476E0E" w:rsidRDefault="00476E0E" w:rsidP="00B320D0">
      <w:pPr>
        <w:numPr>
          <w:ilvl w:val="0"/>
          <w:numId w:val="128"/>
        </w:numPr>
        <w:tabs>
          <w:tab w:val="clear" w:pos="720"/>
        </w:tabs>
        <w:spacing w:after="0"/>
        <w:ind w:left="1701"/>
        <w:rPr>
          <w:rFonts w:ascii="Arial" w:hAnsi="Arial" w:cs="Arial"/>
          <w:sz w:val="24"/>
          <w:szCs w:val="24"/>
        </w:rPr>
      </w:pPr>
      <w:r w:rsidRPr="00476E0E">
        <w:rPr>
          <w:rFonts w:ascii="Arial" w:hAnsi="Arial" w:cs="Arial"/>
          <w:sz w:val="24"/>
          <w:szCs w:val="24"/>
        </w:rPr>
        <w:t>Soportes técnicos que permitan verificar la coherencia entre el diseño propuesto y las condiciones iniciales del sistema. </w:t>
      </w:r>
    </w:p>
    <w:p w14:paraId="4DBAAF8D" w14:textId="77777777" w:rsidR="003F1AF1" w:rsidRPr="00476E0E" w:rsidRDefault="003F1AF1" w:rsidP="008E39FD">
      <w:pPr>
        <w:spacing w:after="0"/>
        <w:ind w:left="1701"/>
        <w:rPr>
          <w:rFonts w:ascii="Arial" w:hAnsi="Arial" w:cs="Arial"/>
          <w:sz w:val="24"/>
          <w:szCs w:val="24"/>
        </w:rPr>
      </w:pPr>
    </w:p>
    <w:p w14:paraId="24FB499E" w14:textId="77777777" w:rsidR="00476E0E" w:rsidRPr="00476E0E" w:rsidRDefault="00476E0E" w:rsidP="008E39FD">
      <w:pPr>
        <w:rPr>
          <w:rFonts w:ascii="Arial" w:hAnsi="Arial" w:cs="Arial"/>
          <w:sz w:val="24"/>
          <w:szCs w:val="24"/>
        </w:rPr>
      </w:pPr>
      <w:r w:rsidRPr="00476E0E">
        <w:rPr>
          <w:rFonts w:ascii="Arial" w:hAnsi="Arial" w:cs="Arial"/>
          <w:sz w:val="24"/>
          <w:szCs w:val="24"/>
        </w:rPr>
        <w:t>Las memorias de cálculo deberán incorporar, como mínimo: </w:t>
      </w:r>
    </w:p>
    <w:p w14:paraId="574408B7" w14:textId="77777777" w:rsidR="00476E0E" w:rsidRPr="00476E0E" w:rsidRDefault="00476E0E" w:rsidP="00B320D0">
      <w:pPr>
        <w:numPr>
          <w:ilvl w:val="0"/>
          <w:numId w:val="129"/>
        </w:numPr>
        <w:tabs>
          <w:tab w:val="clear" w:pos="720"/>
        </w:tabs>
        <w:spacing w:after="0"/>
        <w:ind w:left="1701"/>
        <w:rPr>
          <w:rFonts w:ascii="Arial" w:hAnsi="Arial" w:cs="Arial"/>
          <w:sz w:val="24"/>
          <w:szCs w:val="24"/>
        </w:rPr>
      </w:pPr>
      <w:r w:rsidRPr="00476E0E">
        <w:rPr>
          <w:rFonts w:ascii="Arial" w:hAnsi="Arial" w:cs="Arial"/>
          <w:sz w:val="24"/>
          <w:szCs w:val="24"/>
        </w:rPr>
        <w:t>Análisis de la oferta energética del sistema de generación. </w:t>
      </w:r>
    </w:p>
    <w:p w14:paraId="680F37E8" w14:textId="77777777" w:rsidR="00476E0E" w:rsidRPr="00476E0E" w:rsidRDefault="00476E0E" w:rsidP="00B320D0">
      <w:pPr>
        <w:numPr>
          <w:ilvl w:val="0"/>
          <w:numId w:val="130"/>
        </w:numPr>
        <w:tabs>
          <w:tab w:val="clear" w:pos="720"/>
        </w:tabs>
        <w:spacing w:after="0"/>
        <w:ind w:left="1701"/>
        <w:rPr>
          <w:rFonts w:ascii="Arial" w:hAnsi="Arial" w:cs="Arial"/>
          <w:sz w:val="24"/>
          <w:szCs w:val="24"/>
        </w:rPr>
      </w:pPr>
      <w:r w:rsidRPr="00476E0E">
        <w:rPr>
          <w:rFonts w:ascii="Arial" w:hAnsi="Arial" w:cs="Arial"/>
          <w:sz w:val="24"/>
          <w:szCs w:val="24"/>
        </w:rPr>
        <w:t>Información técnica del proyecto (potencia instalada, tecnología, nivel de tensión y esquema de conexión). </w:t>
      </w:r>
    </w:p>
    <w:p w14:paraId="2AE0C0E9" w14:textId="77777777" w:rsidR="00476E0E" w:rsidRPr="00476E0E" w:rsidRDefault="00476E0E" w:rsidP="00B320D0">
      <w:pPr>
        <w:numPr>
          <w:ilvl w:val="0"/>
          <w:numId w:val="131"/>
        </w:numPr>
        <w:tabs>
          <w:tab w:val="clear" w:pos="720"/>
        </w:tabs>
        <w:spacing w:after="0"/>
        <w:ind w:left="1701"/>
        <w:rPr>
          <w:rFonts w:ascii="Arial" w:hAnsi="Arial" w:cs="Arial"/>
          <w:sz w:val="24"/>
          <w:szCs w:val="24"/>
        </w:rPr>
      </w:pPr>
      <w:r w:rsidRPr="00476E0E">
        <w:rPr>
          <w:rFonts w:ascii="Arial" w:hAnsi="Arial" w:cs="Arial"/>
          <w:sz w:val="24"/>
          <w:szCs w:val="24"/>
        </w:rPr>
        <w:t>Estudio de conexión, simplificado o completo, según corresponda (si aplica). </w:t>
      </w:r>
    </w:p>
    <w:p w14:paraId="0B556744" w14:textId="77777777" w:rsidR="00476E0E" w:rsidRPr="00476E0E" w:rsidRDefault="00476E0E" w:rsidP="00B320D0">
      <w:pPr>
        <w:numPr>
          <w:ilvl w:val="0"/>
          <w:numId w:val="132"/>
        </w:numPr>
        <w:tabs>
          <w:tab w:val="clear" w:pos="720"/>
        </w:tabs>
        <w:spacing w:after="0"/>
        <w:ind w:left="1701"/>
        <w:rPr>
          <w:rFonts w:ascii="Arial" w:hAnsi="Arial" w:cs="Arial"/>
          <w:sz w:val="24"/>
          <w:szCs w:val="24"/>
        </w:rPr>
      </w:pPr>
      <w:r w:rsidRPr="00476E0E">
        <w:rPr>
          <w:rFonts w:ascii="Arial" w:hAnsi="Arial" w:cs="Arial"/>
          <w:sz w:val="24"/>
          <w:szCs w:val="24"/>
        </w:rPr>
        <w:t>Diseño de la línea de conexión (si aplica). </w:t>
      </w:r>
    </w:p>
    <w:p w14:paraId="66674D27" w14:textId="77777777" w:rsidR="00476E0E" w:rsidRPr="00476E0E" w:rsidRDefault="00476E0E" w:rsidP="00B320D0">
      <w:pPr>
        <w:numPr>
          <w:ilvl w:val="0"/>
          <w:numId w:val="133"/>
        </w:numPr>
        <w:tabs>
          <w:tab w:val="clear" w:pos="720"/>
        </w:tabs>
        <w:spacing w:after="0"/>
        <w:ind w:left="1701"/>
        <w:rPr>
          <w:rFonts w:ascii="Arial" w:hAnsi="Arial" w:cs="Arial"/>
          <w:sz w:val="24"/>
          <w:szCs w:val="24"/>
        </w:rPr>
      </w:pPr>
      <w:r w:rsidRPr="00476E0E">
        <w:rPr>
          <w:rFonts w:ascii="Arial" w:hAnsi="Arial" w:cs="Arial"/>
          <w:sz w:val="24"/>
          <w:szCs w:val="24"/>
        </w:rPr>
        <w:t>Dimensionamiento de sistemas de transformación y esquemas de protección. </w:t>
      </w:r>
    </w:p>
    <w:p w14:paraId="2407CCE0" w14:textId="77777777" w:rsidR="00476E0E" w:rsidRPr="00476E0E" w:rsidRDefault="00476E0E" w:rsidP="00B320D0">
      <w:pPr>
        <w:numPr>
          <w:ilvl w:val="0"/>
          <w:numId w:val="134"/>
        </w:numPr>
        <w:tabs>
          <w:tab w:val="clear" w:pos="720"/>
        </w:tabs>
        <w:spacing w:after="0"/>
        <w:ind w:left="1701"/>
        <w:rPr>
          <w:rFonts w:ascii="Arial" w:hAnsi="Arial" w:cs="Arial"/>
          <w:sz w:val="24"/>
          <w:szCs w:val="24"/>
        </w:rPr>
      </w:pPr>
      <w:r w:rsidRPr="00476E0E">
        <w:rPr>
          <w:rFonts w:ascii="Arial" w:hAnsi="Arial" w:cs="Arial"/>
          <w:sz w:val="24"/>
          <w:szCs w:val="24"/>
        </w:rPr>
        <w:t>Cálculo del sistema de puesta a tierra. </w:t>
      </w:r>
    </w:p>
    <w:p w14:paraId="5A4B82F1" w14:textId="77777777" w:rsidR="00476E0E" w:rsidRPr="00476E0E" w:rsidRDefault="00476E0E" w:rsidP="00B320D0">
      <w:pPr>
        <w:numPr>
          <w:ilvl w:val="0"/>
          <w:numId w:val="135"/>
        </w:numPr>
        <w:tabs>
          <w:tab w:val="clear" w:pos="720"/>
        </w:tabs>
        <w:spacing w:after="0"/>
        <w:ind w:left="1701"/>
        <w:rPr>
          <w:rFonts w:ascii="Arial" w:hAnsi="Arial" w:cs="Arial"/>
          <w:sz w:val="24"/>
          <w:szCs w:val="24"/>
        </w:rPr>
      </w:pPr>
      <w:r w:rsidRPr="00476E0E">
        <w:rPr>
          <w:rFonts w:ascii="Arial" w:hAnsi="Arial" w:cs="Arial"/>
          <w:sz w:val="24"/>
          <w:szCs w:val="24"/>
        </w:rPr>
        <w:t>Especificación del sistema de medición a implementar. </w:t>
      </w:r>
    </w:p>
    <w:p w14:paraId="1DEB4207" w14:textId="77777777" w:rsidR="00476E0E" w:rsidRDefault="00476E0E" w:rsidP="00B320D0">
      <w:pPr>
        <w:numPr>
          <w:ilvl w:val="0"/>
          <w:numId w:val="136"/>
        </w:numPr>
        <w:tabs>
          <w:tab w:val="clear" w:pos="720"/>
        </w:tabs>
        <w:spacing w:after="0"/>
        <w:ind w:left="1701"/>
        <w:rPr>
          <w:rFonts w:ascii="Arial" w:hAnsi="Arial" w:cs="Arial"/>
          <w:sz w:val="24"/>
          <w:szCs w:val="24"/>
        </w:rPr>
      </w:pPr>
      <w:r w:rsidRPr="00476E0E">
        <w:rPr>
          <w:rFonts w:ascii="Arial" w:hAnsi="Arial" w:cs="Arial"/>
          <w:sz w:val="24"/>
          <w:szCs w:val="24"/>
        </w:rPr>
        <w:t>Aprobación del punto de conexión (si aplica). </w:t>
      </w:r>
    </w:p>
    <w:p w14:paraId="426212B3" w14:textId="77777777" w:rsidR="003F1AF1" w:rsidRPr="00476E0E" w:rsidRDefault="003F1AF1" w:rsidP="008E39FD">
      <w:pPr>
        <w:spacing w:after="0"/>
        <w:ind w:left="1701"/>
        <w:rPr>
          <w:rFonts w:ascii="Arial" w:hAnsi="Arial" w:cs="Arial"/>
          <w:sz w:val="24"/>
          <w:szCs w:val="24"/>
        </w:rPr>
      </w:pPr>
    </w:p>
    <w:p w14:paraId="005BDBCD" w14:textId="28450AD0" w:rsidR="00803E5F" w:rsidRPr="00D83BBF" w:rsidRDefault="00476E0E" w:rsidP="00803E5F">
      <w:pPr>
        <w:jc w:val="both"/>
        <w:rPr>
          <w:rFonts w:ascii="Arial" w:hAnsi="Arial" w:cs="Arial"/>
          <w:sz w:val="24"/>
          <w:szCs w:val="24"/>
        </w:rPr>
      </w:pPr>
      <w:r w:rsidRPr="00476E0E">
        <w:rPr>
          <w:rFonts w:ascii="Arial" w:hAnsi="Arial" w:cs="Arial"/>
          <w:sz w:val="24"/>
          <w:szCs w:val="24"/>
        </w:rPr>
        <w:t>Así mismo, de conformidad con lo dispuesto en el requisito 4 del</w:t>
      </w:r>
      <w:r w:rsidR="003F1AF1">
        <w:rPr>
          <w:rFonts w:ascii="Arial" w:hAnsi="Arial" w:cs="Arial"/>
          <w:sz w:val="24"/>
          <w:szCs w:val="24"/>
        </w:rPr>
        <w:t xml:space="preserve"> </w:t>
      </w:r>
      <w:r w:rsidR="003F1AF1" w:rsidRPr="003F1AF1">
        <w:rPr>
          <w:rFonts w:ascii="Arial" w:hAnsi="Arial" w:cs="Arial"/>
          <w:sz w:val="24"/>
          <w:szCs w:val="24"/>
        </w:rPr>
        <w:t xml:space="preserve">apartado </w:t>
      </w:r>
      <w:r w:rsidR="00896DA0" w:rsidRPr="00854C4A">
        <w:rPr>
          <w:rFonts w:ascii="Arial" w:hAnsi="Arial" w:cs="Arial"/>
          <w:b/>
          <w:bCs/>
          <w:sz w:val="24"/>
          <w:szCs w:val="24"/>
        </w:rPr>
        <w:t>III- 2.4.2.2.2</w:t>
      </w:r>
      <w:r w:rsidR="003F1AF1" w:rsidRPr="003F1AF1">
        <w:rPr>
          <w:rFonts w:ascii="Arial" w:hAnsi="Arial" w:cs="Arial"/>
          <w:sz w:val="24"/>
          <w:szCs w:val="24"/>
        </w:rPr>
        <w:t xml:space="preserve">, todos los estudios y documentación técnica adicional remitida serán aportados a título </w:t>
      </w:r>
      <w:r w:rsidR="00803E5F" w:rsidRPr="003F1AF1">
        <w:rPr>
          <w:rFonts w:ascii="Arial" w:hAnsi="Arial" w:cs="Arial"/>
          <w:sz w:val="24"/>
          <w:szCs w:val="24"/>
        </w:rPr>
        <w:t>gratuito al Ministerio de Minas y Energía.</w:t>
      </w:r>
    </w:p>
    <w:p w14:paraId="0F0FF09F" w14:textId="5AC9C5B7" w:rsidR="00E92DE1" w:rsidRDefault="00C8794F" w:rsidP="002E3DB0">
      <w:pPr>
        <w:pStyle w:val="Ttulo5"/>
        <w:spacing w:before="0"/>
        <w:ind w:left="1008" w:hanging="1008"/>
      </w:pPr>
      <w:bookmarkStart w:id="139" w:name="_Toc219397269"/>
      <w:bookmarkStart w:id="140" w:name="_Toc224844362"/>
      <w:bookmarkEnd w:id="135"/>
      <w:r w:rsidRPr="00137D4B">
        <w:t>III-2.</w:t>
      </w:r>
      <w:r w:rsidR="00E92DE1" w:rsidRPr="00137D4B">
        <w:t>5</w:t>
      </w:r>
      <w:r w:rsidRPr="00137D4B">
        <w:t xml:space="preserve"> </w:t>
      </w:r>
      <w:bookmarkEnd w:id="139"/>
      <w:r w:rsidR="00402FDC">
        <w:t>P</w:t>
      </w:r>
      <w:r w:rsidR="00402FDC" w:rsidRPr="00402FDC">
        <w:t>royectos de Comunidades Energéticas y Colombia Solar</w:t>
      </w:r>
      <w:bookmarkEnd w:id="140"/>
    </w:p>
    <w:p w14:paraId="30BB4B44" w14:textId="77777777" w:rsidR="00DF0F9C" w:rsidRPr="00DF0F9C" w:rsidRDefault="00DF0F9C" w:rsidP="002E3DB0">
      <w:pPr>
        <w:spacing w:after="0"/>
      </w:pPr>
    </w:p>
    <w:p w14:paraId="2A0689F2" w14:textId="7C70B9E8" w:rsidR="00336AA1" w:rsidRPr="00336AA1" w:rsidRDefault="003A2C0F" w:rsidP="00336AA1">
      <w:pPr>
        <w:jc w:val="both"/>
        <w:rPr>
          <w:rFonts w:ascii="Arial" w:hAnsi="Arial" w:cs="Arial"/>
          <w:sz w:val="24"/>
          <w:szCs w:val="24"/>
        </w:rPr>
      </w:pPr>
      <w:r w:rsidRPr="00B320D0">
        <w:rPr>
          <w:rFonts w:ascii="Arial" w:hAnsi="Arial" w:cs="Arial"/>
          <w:sz w:val="24"/>
          <w:szCs w:val="24"/>
        </w:rPr>
        <w:t xml:space="preserve">En atención a lo dispuesto en la Nota Especial 2 del numeral </w:t>
      </w:r>
      <w:r w:rsidR="00A9610E" w:rsidRPr="00A9610E">
        <w:rPr>
          <w:rFonts w:ascii="Arial" w:hAnsi="Arial" w:cs="Arial"/>
          <w:b/>
          <w:bCs/>
          <w:sz w:val="24"/>
          <w:szCs w:val="24"/>
        </w:rPr>
        <w:t>III-2.2</w:t>
      </w:r>
      <w:r w:rsidRPr="00B320D0">
        <w:rPr>
          <w:rFonts w:ascii="Arial" w:hAnsi="Arial" w:cs="Arial"/>
          <w:sz w:val="24"/>
          <w:szCs w:val="24"/>
        </w:rPr>
        <w:t xml:space="preserve"> del presente Manual Operativo</w:t>
      </w:r>
      <w:r>
        <w:rPr>
          <w:rFonts w:ascii="Arial" w:hAnsi="Arial" w:cs="Arial"/>
          <w:sz w:val="24"/>
          <w:szCs w:val="24"/>
        </w:rPr>
        <w:t>, l</w:t>
      </w:r>
      <w:r w:rsidR="00336AA1" w:rsidRPr="00336AA1">
        <w:rPr>
          <w:rFonts w:ascii="Arial" w:hAnsi="Arial" w:cs="Arial"/>
          <w:sz w:val="24"/>
          <w:szCs w:val="24"/>
        </w:rPr>
        <w:t>os planes, programas o proyectos que se enmarquen en las iniciativas de Comunidades Energéticas o Colombia Solar, y que pretendan acceder a recursos del FONENERGÍA, deberán formularse, estructurarse y presentarse conforme a la normatividad específica que regula cada una de estas iniciativas, incluyendo los decretos, resoluciones y lineamientos técnicos expedidos para tal fin.</w:t>
      </w:r>
    </w:p>
    <w:p w14:paraId="25913D89" w14:textId="39318B39" w:rsidR="00402FDC" w:rsidRDefault="00336AA1" w:rsidP="00DF0F9C">
      <w:pPr>
        <w:jc w:val="both"/>
        <w:rPr>
          <w:rFonts w:ascii="Arial" w:hAnsi="Arial" w:cs="Arial"/>
          <w:sz w:val="24"/>
          <w:szCs w:val="24"/>
        </w:rPr>
      </w:pPr>
      <w:r w:rsidRPr="00336AA1">
        <w:rPr>
          <w:rFonts w:ascii="Arial" w:hAnsi="Arial" w:cs="Arial"/>
          <w:sz w:val="24"/>
          <w:szCs w:val="24"/>
        </w:rPr>
        <w:t>En consecuencia, los requisitos, condiciones de estructuración, criterios de evaluación y documentación exigida para su presentación no se regirán por las disposiciones generales aplicables a las tipologías tradicionales de proyectos, sino por el marco normativo particular que regula dichas iniciativas de política pública.</w:t>
      </w:r>
    </w:p>
    <w:p w14:paraId="548F7B4C" w14:textId="6051A3B6" w:rsidR="005242EA" w:rsidRPr="00A77327" w:rsidRDefault="00E92DE1" w:rsidP="00023648">
      <w:pPr>
        <w:pStyle w:val="Ttulo5"/>
        <w:ind w:left="1008" w:hanging="1008"/>
      </w:pPr>
      <w:bookmarkStart w:id="141" w:name="_Toc224844363"/>
      <w:r w:rsidRPr="00074E0F">
        <w:t xml:space="preserve">III-2.6 </w:t>
      </w:r>
      <w:r w:rsidR="00023648" w:rsidRPr="00A77327">
        <w:t>Proyectos de Interés Nacional y/o estratégico</w:t>
      </w:r>
      <w:bookmarkEnd w:id="141"/>
      <w:r w:rsidR="00023648" w:rsidRPr="00A77327">
        <w:t> </w:t>
      </w:r>
    </w:p>
    <w:p w14:paraId="1CA6E8B6" w14:textId="77777777" w:rsidR="00A77327" w:rsidRDefault="00A77327" w:rsidP="001323D6">
      <w:pPr>
        <w:jc w:val="both"/>
        <w:rPr>
          <w:rFonts w:ascii="Arial" w:hAnsi="Arial" w:cs="Arial"/>
          <w:sz w:val="24"/>
          <w:szCs w:val="24"/>
        </w:rPr>
      </w:pPr>
    </w:p>
    <w:p w14:paraId="5725D926" w14:textId="364C2F89" w:rsidR="00B320D0" w:rsidRPr="00B320D0" w:rsidRDefault="00B320D0" w:rsidP="001323D6">
      <w:pPr>
        <w:jc w:val="both"/>
        <w:rPr>
          <w:rFonts w:ascii="Arial" w:hAnsi="Arial" w:cs="Arial"/>
          <w:sz w:val="24"/>
          <w:szCs w:val="24"/>
        </w:rPr>
      </w:pPr>
      <w:r w:rsidRPr="00B320D0">
        <w:rPr>
          <w:rFonts w:ascii="Arial" w:hAnsi="Arial" w:cs="Arial"/>
          <w:sz w:val="24"/>
          <w:szCs w:val="24"/>
        </w:rPr>
        <w:lastRenderedPageBreak/>
        <w:t xml:space="preserve">En atención a lo dispuesto en la Nota Especial </w:t>
      </w:r>
      <w:r w:rsidR="00B36359">
        <w:rPr>
          <w:rFonts w:ascii="Arial" w:hAnsi="Arial" w:cs="Arial"/>
          <w:sz w:val="24"/>
          <w:szCs w:val="24"/>
        </w:rPr>
        <w:t>4</w:t>
      </w:r>
      <w:r w:rsidRPr="00B320D0">
        <w:rPr>
          <w:rFonts w:ascii="Arial" w:hAnsi="Arial" w:cs="Arial"/>
          <w:sz w:val="24"/>
          <w:szCs w:val="24"/>
        </w:rPr>
        <w:t xml:space="preserve"> del numeral </w:t>
      </w:r>
      <w:r w:rsidR="00A9610E" w:rsidRPr="00A9610E">
        <w:rPr>
          <w:rFonts w:ascii="Arial" w:hAnsi="Arial" w:cs="Arial"/>
          <w:b/>
          <w:bCs/>
          <w:sz w:val="24"/>
          <w:szCs w:val="24"/>
        </w:rPr>
        <w:t>III-2.2</w:t>
      </w:r>
      <w:r w:rsidR="00A9610E" w:rsidRPr="00A9610E">
        <w:rPr>
          <w:rFonts w:ascii="Arial" w:hAnsi="Arial" w:cs="Arial"/>
          <w:sz w:val="24"/>
          <w:szCs w:val="24"/>
        </w:rPr>
        <w:t xml:space="preserve"> </w:t>
      </w:r>
      <w:r w:rsidRPr="00B320D0">
        <w:rPr>
          <w:rFonts w:ascii="Arial" w:hAnsi="Arial" w:cs="Arial"/>
          <w:sz w:val="24"/>
          <w:szCs w:val="24"/>
        </w:rPr>
        <w:t>del presente Manual Operativo, los planes, programas o proyectos que, por su carácter de interés nacional y/o estratégico, no se encuentren comprendidos dentro de las tipologías previamente definidas podrán ser presentados para consideración del FONENERGÍA, previa aprobación del Comité de Administración del FONENERGÍA (CA</w:t>
      </w:r>
      <w:r w:rsidR="0065741D" w:rsidRPr="00B320D0">
        <w:rPr>
          <w:rFonts w:ascii="Arial" w:hAnsi="Arial" w:cs="Arial"/>
          <w:sz w:val="24"/>
          <w:szCs w:val="24"/>
        </w:rPr>
        <w:t>FONENERGÍA</w:t>
      </w:r>
      <w:r w:rsidRPr="00B320D0">
        <w:rPr>
          <w:rFonts w:ascii="Arial" w:hAnsi="Arial" w:cs="Arial"/>
          <w:sz w:val="24"/>
          <w:szCs w:val="24"/>
        </w:rPr>
        <w:t>).  </w:t>
      </w:r>
    </w:p>
    <w:p w14:paraId="62087ADE" w14:textId="77777777" w:rsidR="00B320D0" w:rsidRPr="00B320D0" w:rsidRDefault="00B320D0" w:rsidP="001323D6">
      <w:pPr>
        <w:jc w:val="both"/>
        <w:rPr>
          <w:rFonts w:ascii="Arial" w:hAnsi="Arial" w:cs="Arial"/>
          <w:sz w:val="24"/>
          <w:szCs w:val="24"/>
        </w:rPr>
      </w:pPr>
      <w:r w:rsidRPr="00B320D0">
        <w:rPr>
          <w:rFonts w:ascii="Arial" w:hAnsi="Arial" w:cs="Arial"/>
          <w:sz w:val="24"/>
          <w:szCs w:val="24"/>
        </w:rPr>
        <w:t>En este sentido, el presente apartado establece los requisitos mínimos para la presentación de dichas iniciativas, con el fin de realizar su evaluación técnica, financiera, ambiental y jurídica.  </w:t>
      </w:r>
    </w:p>
    <w:p w14:paraId="7A5E7E59" w14:textId="77777777" w:rsidR="00B320D0" w:rsidRPr="00B320D0" w:rsidRDefault="00B320D0" w:rsidP="001323D6">
      <w:pPr>
        <w:jc w:val="both"/>
        <w:rPr>
          <w:rFonts w:ascii="Arial" w:hAnsi="Arial" w:cs="Arial"/>
          <w:sz w:val="24"/>
          <w:szCs w:val="24"/>
        </w:rPr>
      </w:pPr>
      <w:r w:rsidRPr="00B320D0">
        <w:rPr>
          <w:rFonts w:ascii="Arial" w:hAnsi="Arial" w:cs="Arial"/>
          <w:sz w:val="24"/>
          <w:szCs w:val="24"/>
        </w:rPr>
        <w:t>Los requisitos adicionales o específicos que se requieran, de acuerdo con la naturaleza, alcance e impacto del del plan, programa o proyecto, serán definidos mediante acto administrativo expedido por el Ministerio de Minas y Energía, conforme al análisis particular de cada iniciativa. </w:t>
      </w:r>
    </w:p>
    <w:p w14:paraId="16220529" w14:textId="77777777" w:rsidR="00B320D0" w:rsidRPr="00B320D0" w:rsidRDefault="00B320D0" w:rsidP="001323D6">
      <w:pPr>
        <w:jc w:val="both"/>
        <w:rPr>
          <w:rFonts w:ascii="Arial" w:hAnsi="Arial" w:cs="Arial"/>
          <w:sz w:val="24"/>
          <w:szCs w:val="24"/>
        </w:rPr>
      </w:pPr>
      <w:r w:rsidRPr="00B320D0">
        <w:rPr>
          <w:rFonts w:ascii="Arial" w:hAnsi="Arial" w:cs="Arial"/>
          <w:sz w:val="24"/>
          <w:szCs w:val="24"/>
        </w:rPr>
        <w:t>Los proyectos deberán presentar, como mínimo, la siguiente documentación: </w:t>
      </w:r>
    </w:p>
    <w:p w14:paraId="322CADDE" w14:textId="44C89944" w:rsidR="00B320D0" w:rsidRPr="00B320D0" w:rsidRDefault="00B320D0" w:rsidP="001323D6">
      <w:pPr>
        <w:numPr>
          <w:ilvl w:val="0"/>
          <w:numId w:val="141"/>
        </w:numPr>
        <w:jc w:val="both"/>
        <w:rPr>
          <w:rFonts w:ascii="Arial" w:hAnsi="Arial" w:cs="Arial"/>
          <w:sz w:val="24"/>
          <w:szCs w:val="24"/>
        </w:rPr>
      </w:pPr>
      <w:r w:rsidRPr="00B320D0">
        <w:rPr>
          <w:rFonts w:ascii="Arial" w:hAnsi="Arial" w:cs="Arial"/>
          <w:sz w:val="24"/>
          <w:szCs w:val="24"/>
        </w:rPr>
        <w:t xml:space="preserve">Carta de presentación con la solicitud de recursos conforme a lo establecido en el numeral 1 del título </w:t>
      </w:r>
      <w:r w:rsidR="00537823" w:rsidRPr="007B2AA2">
        <w:rPr>
          <w:rFonts w:ascii="Arial" w:hAnsi="Arial" w:cs="Arial"/>
          <w:b/>
          <w:bCs/>
          <w:sz w:val="24"/>
          <w:szCs w:val="24"/>
        </w:rPr>
        <w:t>III-2.4.1</w:t>
      </w:r>
      <w:r w:rsidR="00537823" w:rsidRPr="007B2AA2">
        <w:rPr>
          <w:rFonts w:ascii="Arial" w:hAnsi="Arial" w:cs="Arial"/>
          <w:sz w:val="24"/>
          <w:szCs w:val="24"/>
        </w:rPr>
        <w:t xml:space="preserve"> </w:t>
      </w:r>
      <w:r w:rsidRPr="00B320D0">
        <w:rPr>
          <w:rFonts w:ascii="Arial" w:hAnsi="Arial" w:cs="Arial"/>
          <w:sz w:val="24"/>
          <w:szCs w:val="24"/>
        </w:rPr>
        <w:t>Documentos Jurídico – Administrativos. </w:t>
      </w:r>
    </w:p>
    <w:p w14:paraId="7716EB6C" w14:textId="1FFBB450" w:rsidR="00B320D0" w:rsidRPr="00B320D0" w:rsidRDefault="00B320D0" w:rsidP="001323D6">
      <w:pPr>
        <w:numPr>
          <w:ilvl w:val="0"/>
          <w:numId w:val="142"/>
        </w:numPr>
        <w:jc w:val="both"/>
        <w:rPr>
          <w:rFonts w:ascii="Arial" w:hAnsi="Arial" w:cs="Arial"/>
          <w:sz w:val="24"/>
          <w:szCs w:val="24"/>
        </w:rPr>
      </w:pPr>
      <w:r w:rsidRPr="00B320D0">
        <w:rPr>
          <w:rFonts w:ascii="Arial" w:hAnsi="Arial" w:cs="Arial"/>
          <w:sz w:val="24"/>
          <w:szCs w:val="24"/>
        </w:rPr>
        <w:t>Cronograma de ejecución del proyecto conforme a lo dispuesto en el numeral 1 del título </w:t>
      </w:r>
      <w:r w:rsidR="00F50654" w:rsidRPr="007B2AA2">
        <w:rPr>
          <w:rFonts w:ascii="Arial" w:hAnsi="Arial" w:cs="Arial"/>
          <w:b/>
          <w:bCs/>
          <w:sz w:val="24"/>
          <w:szCs w:val="24"/>
        </w:rPr>
        <w:t>III-2.4.2.1</w:t>
      </w:r>
      <w:r w:rsidR="00F50654" w:rsidRPr="007B2AA2">
        <w:rPr>
          <w:rFonts w:ascii="Arial" w:hAnsi="Arial" w:cs="Arial"/>
          <w:sz w:val="24"/>
          <w:szCs w:val="24"/>
        </w:rPr>
        <w:t xml:space="preserve"> </w:t>
      </w:r>
      <w:r w:rsidRPr="00B320D0">
        <w:rPr>
          <w:rFonts w:ascii="Arial" w:hAnsi="Arial" w:cs="Arial"/>
          <w:sz w:val="24"/>
          <w:szCs w:val="24"/>
        </w:rPr>
        <w:t>Documentación Plan de trabajo y cronograma de implementación. </w:t>
      </w:r>
    </w:p>
    <w:p w14:paraId="45527CE7" w14:textId="77777777" w:rsidR="008655FA" w:rsidRPr="007B2AA2" w:rsidRDefault="00B320D0" w:rsidP="001323D6">
      <w:pPr>
        <w:numPr>
          <w:ilvl w:val="0"/>
          <w:numId w:val="143"/>
        </w:numPr>
        <w:jc w:val="both"/>
        <w:rPr>
          <w:rFonts w:ascii="Arial" w:hAnsi="Arial" w:cs="Arial"/>
          <w:sz w:val="24"/>
          <w:szCs w:val="24"/>
        </w:rPr>
      </w:pPr>
      <w:r w:rsidRPr="00B320D0">
        <w:rPr>
          <w:rFonts w:ascii="Arial" w:hAnsi="Arial" w:cs="Arial"/>
          <w:sz w:val="24"/>
          <w:szCs w:val="24"/>
        </w:rPr>
        <w:t>Diseños eléctricos, civiles, ambientales con los respectivos estudios de campo, laboratorio, según aplique de acuerdo con la tipología del proyecto, planos en formato DWG y PDF elaborados por capas que coincida con las convenciones indicadas en el mismo, así como las memorias de cálculo donde se deberá consignar información sobre la infraestructura eléctrica proyectada y existente, de ser necesario esta última. Todos los documentos de diseños técnicos deberán contar con la firma del profesional competente con su respectiva matrícula profesional. </w:t>
      </w:r>
    </w:p>
    <w:p w14:paraId="088E8EB3" w14:textId="77777777" w:rsidR="00B320D0" w:rsidRPr="00B320D0" w:rsidRDefault="00B320D0" w:rsidP="008655FA">
      <w:pPr>
        <w:ind w:left="720"/>
        <w:jc w:val="both"/>
        <w:rPr>
          <w:rFonts w:ascii="Arial" w:hAnsi="Arial" w:cs="Arial"/>
          <w:sz w:val="24"/>
          <w:szCs w:val="24"/>
        </w:rPr>
      </w:pPr>
      <w:r w:rsidRPr="00B320D0">
        <w:rPr>
          <w:rFonts w:ascii="Arial" w:hAnsi="Arial" w:cs="Arial"/>
          <w:sz w:val="24"/>
          <w:szCs w:val="24"/>
        </w:rPr>
        <w:t>Se deberá presentar por parte del profesional competente el certificado en el cual conste que cumple con las normas técnicas colombianas (NTC) y el Reglamento Técnico de Instalaciones Eléctricas – RETIE </w:t>
      </w:r>
    </w:p>
    <w:p w14:paraId="60052844" w14:textId="58B50157" w:rsidR="00B320D0" w:rsidRPr="00B320D0" w:rsidRDefault="00B320D0" w:rsidP="001323D6">
      <w:pPr>
        <w:numPr>
          <w:ilvl w:val="0"/>
          <w:numId w:val="144"/>
        </w:numPr>
        <w:jc w:val="both"/>
        <w:rPr>
          <w:rFonts w:ascii="Arial" w:hAnsi="Arial" w:cs="Arial"/>
          <w:sz w:val="24"/>
          <w:szCs w:val="24"/>
        </w:rPr>
      </w:pPr>
      <w:r w:rsidRPr="00B320D0">
        <w:rPr>
          <w:rFonts w:ascii="Arial" w:hAnsi="Arial" w:cs="Arial"/>
          <w:sz w:val="24"/>
          <w:szCs w:val="24"/>
        </w:rPr>
        <w:t>Se debe presentar el presupuesto general y el Análisis de Precios Unitarios (APU), en el cual se desglosen los ítems, actividades y demás componentes correspondientes (Equipo, herramientas, materiales, mano de obra y transporte) conforme a lo establecido en el numeral 1 del título </w:t>
      </w:r>
      <w:r w:rsidR="004304E1" w:rsidRPr="007B2AA2">
        <w:rPr>
          <w:rFonts w:ascii="Arial" w:hAnsi="Arial" w:cs="Arial"/>
          <w:b/>
          <w:bCs/>
          <w:sz w:val="24"/>
          <w:szCs w:val="24"/>
        </w:rPr>
        <w:t>III-2.4.2.3.1</w:t>
      </w:r>
      <w:r w:rsidR="004304E1" w:rsidRPr="007B2AA2">
        <w:rPr>
          <w:rFonts w:ascii="Arial" w:hAnsi="Arial" w:cs="Arial"/>
          <w:sz w:val="24"/>
          <w:szCs w:val="24"/>
        </w:rPr>
        <w:t xml:space="preserve"> </w:t>
      </w:r>
      <w:r w:rsidRPr="00B320D0">
        <w:rPr>
          <w:rFonts w:ascii="Arial" w:hAnsi="Arial" w:cs="Arial"/>
          <w:sz w:val="24"/>
          <w:szCs w:val="24"/>
        </w:rPr>
        <w:t>Análisis de Costos y presupuesto. </w:t>
      </w:r>
    </w:p>
    <w:p w14:paraId="40E69E3B" w14:textId="5A490214" w:rsidR="00B320D0" w:rsidRPr="00B320D0" w:rsidRDefault="00B320D0" w:rsidP="001323D6">
      <w:pPr>
        <w:numPr>
          <w:ilvl w:val="0"/>
          <w:numId w:val="145"/>
        </w:numPr>
        <w:jc w:val="both"/>
        <w:rPr>
          <w:rFonts w:ascii="Arial" w:hAnsi="Arial" w:cs="Arial"/>
          <w:sz w:val="24"/>
          <w:szCs w:val="24"/>
        </w:rPr>
      </w:pPr>
      <w:r w:rsidRPr="00B320D0">
        <w:rPr>
          <w:rFonts w:ascii="Arial" w:hAnsi="Arial" w:cs="Arial"/>
          <w:sz w:val="24"/>
          <w:szCs w:val="24"/>
        </w:rPr>
        <w:t>Flujo de fondos del proyecto conforme a lo establecido en el numeral 2 del título </w:t>
      </w:r>
      <w:r w:rsidR="007B2AA2" w:rsidRPr="007B2AA2">
        <w:rPr>
          <w:rFonts w:ascii="Arial" w:hAnsi="Arial" w:cs="Arial"/>
          <w:b/>
          <w:bCs/>
          <w:sz w:val="24"/>
          <w:szCs w:val="24"/>
        </w:rPr>
        <w:t>III-2.4.2.3.1</w:t>
      </w:r>
      <w:r w:rsidR="007B2AA2" w:rsidRPr="007B2AA2">
        <w:rPr>
          <w:rFonts w:ascii="Arial" w:hAnsi="Arial" w:cs="Arial"/>
          <w:sz w:val="24"/>
          <w:szCs w:val="24"/>
        </w:rPr>
        <w:t xml:space="preserve"> </w:t>
      </w:r>
      <w:r w:rsidRPr="00B320D0">
        <w:rPr>
          <w:rFonts w:ascii="Arial" w:hAnsi="Arial" w:cs="Arial"/>
          <w:sz w:val="24"/>
          <w:szCs w:val="24"/>
        </w:rPr>
        <w:t>Análisis de Costos y presupuesto. </w:t>
      </w:r>
    </w:p>
    <w:p w14:paraId="6A511BFE" w14:textId="77777777" w:rsidR="00B320D0" w:rsidRPr="00B320D0" w:rsidRDefault="00B320D0" w:rsidP="001323D6">
      <w:pPr>
        <w:jc w:val="both"/>
        <w:rPr>
          <w:rFonts w:ascii="Arial" w:hAnsi="Arial" w:cs="Arial"/>
          <w:sz w:val="24"/>
          <w:szCs w:val="24"/>
        </w:rPr>
      </w:pPr>
      <w:r w:rsidRPr="00B320D0">
        <w:rPr>
          <w:rFonts w:ascii="Arial" w:hAnsi="Arial" w:cs="Arial"/>
          <w:sz w:val="24"/>
          <w:szCs w:val="24"/>
        </w:rPr>
        <w:t>Toda la información presentada deberá ser consistente, concordante y coherente entre los diferentes documentos que integran el plan, programa o proyecto. </w:t>
      </w:r>
    </w:p>
    <w:p w14:paraId="7014CAA8" w14:textId="24769049" w:rsidR="00B320D0" w:rsidRPr="008655FA" w:rsidRDefault="00B320D0" w:rsidP="008655FA">
      <w:pPr>
        <w:jc w:val="both"/>
        <w:rPr>
          <w:rFonts w:ascii="Arial" w:hAnsi="Arial" w:cs="Arial"/>
          <w:sz w:val="24"/>
          <w:szCs w:val="24"/>
        </w:rPr>
      </w:pPr>
      <w:r w:rsidRPr="00B320D0">
        <w:rPr>
          <w:rFonts w:ascii="Arial" w:hAnsi="Arial" w:cs="Arial"/>
          <w:sz w:val="24"/>
          <w:szCs w:val="24"/>
        </w:rPr>
        <w:t xml:space="preserve">Adicionalmente, cabe aclarar que, si bien estos constituyen los requisitos mínimos indispensables, el nivel de detalle y profundidad de los mismos podrá variar conforme a </w:t>
      </w:r>
      <w:r w:rsidRPr="00B320D0">
        <w:rPr>
          <w:rFonts w:ascii="Arial" w:hAnsi="Arial" w:cs="Arial"/>
          <w:sz w:val="24"/>
          <w:szCs w:val="24"/>
        </w:rPr>
        <w:lastRenderedPageBreak/>
        <w:t>lo que determine el CAFONENERGÍA y a lo establecido en el acto administrativo que se expida para tal fin. </w:t>
      </w:r>
    </w:p>
    <w:p w14:paraId="27535CB4" w14:textId="2B0F6700" w:rsidR="005242EA" w:rsidRPr="005242EA" w:rsidRDefault="005242EA" w:rsidP="005242EA">
      <w:pPr>
        <w:pStyle w:val="Ttulo5"/>
        <w:ind w:left="1008" w:hanging="1008"/>
      </w:pPr>
      <w:bookmarkStart w:id="142" w:name="_Toc224844364"/>
      <w:r w:rsidRPr="00074E0F">
        <w:t>III-2.</w:t>
      </w:r>
      <w:r>
        <w:t>7</w:t>
      </w:r>
      <w:r w:rsidRPr="00074E0F">
        <w:t xml:space="preserve"> </w:t>
      </w:r>
      <w:r w:rsidRPr="00C8794F">
        <w:t>Requisitos Para Garantizar la Sostenibilidad de Proyectos de Energía</w:t>
      </w:r>
      <w:bookmarkEnd w:id="142"/>
    </w:p>
    <w:p w14:paraId="4AE7321D" w14:textId="77777777" w:rsidR="006C7D1F" w:rsidRDefault="006C7D1F" w:rsidP="008E39FD">
      <w:pPr>
        <w:shd w:val="clear" w:color="auto" w:fill="FFFFFF" w:themeFill="background1"/>
        <w:spacing w:after="0"/>
        <w:jc w:val="both"/>
        <w:rPr>
          <w:rFonts w:ascii="Arial" w:eastAsia="Times New Roman" w:hAnsi="Arial" w:cs="Arial"/>
          <w:sz w:val="24"/>
          <w:szCs w:val="24"/>
          <w:lang w:eastAsia="es-CO"/>
        </w:rPr>
      </w:pPr>
    </w:p>
    <w:p w14:paraId="047D24FB" w14:textId="337FDA51" w:rsidR="006C7D1F" w:rsidRPr="004060B2" w:rsidRDefault="006C7D1F" w:rsidP="008E39FD">
      <w:pPr>
        <w:shd w:val="clear" w:color="auto" w:fill="FFFFFF" w:themeFill="background1"/>
        <w:spacing w:after="0"/>
        <w:jc w:val="both"/>
        <w:rPr>
          <w:rFonts w:ascii="Calibri" w:eastAsia="Times New Roman" w:hAnsi="Calibri" w:cs="Calibri"/>
          <w:lang w:eastAsia="es-CO"/>
        </w:rPr>
      </w:pPr>
      <w:r w:rsidRPr="004060B2">
        <w:rPr>
          <w:rFonts w:ascii="Arial" w:eastAsia="Times New Roman" w:hAnsi="Arial" w:cs="Arial"/>
          <w:sz w:val="24"/>
          <w:szCs w:val="24"/>
          <w:lang w:eastAsia="es-CO"/>
        </w:rPr>
        <w:t>Las personas prestadoras de los servicios públicos de energía eléctrica de que trata el artículo 15 de la Ley 142 de 1994 que se comprometan a garantizar la sostenibilidad de proyectos eléctricos individuales o colectivos en el Sistema Interconectado Nacional o en las Zonas No Interconectadas, deberán acreditar los requisitos de idoneidad, capacidad financiera y experiencia de que trata este Capítulo, al momento de presentar el respectivo proyecto ante el FONENERGÍA, para lo cual este, o la entidad asignada para ello, evaluará el cumplimiento de tales criterios y plasmará el resultado de su estudio en el concepto de viabilidad que expida.</w:t>
      </w:r>
    </w:p>
    <w:p w14:paraId="5000584C" w14:textId="77777777" w:rsidR="006C7D1F" w:rsidRPr="004060B2" w:rsidRDefault="006C7D1F" w:rsidP="008E39FD">
      <w:pPr>
        <w:shd w:val="clear" w:color="auto" w:fill="FFFFFF"/>
        <w:spacing w:after="0"/>
        <w:jc w:val="both"/>
        <w:rPr>
          <w:rFonts w:ascii="Calibri" w:eastAsia="Times New Roman" w:hAnsi="Calibri" w:cs="Calibri"/>
          <w:lang w:eastAsia="es-CO"/>
        </w:rPr>
      </w:pPr>
    </w:p>
    <w:p w14:paraId="38482E68" w14:textId="341FE479" w:rsidR="006C7D1F" w:rsidRPr="004060B2" w:rsidRDefault="006C7D1F" w:rsidP="008E39FD">
      <w:pPr>
        <w:shd w:val="clear" w:color="auto" w:fill="FFFFFF"/>
        <w:spacing w:after="0"/>
        <w:jc w:val="both"/>
        <w:rPr>
          <w:rFonts w:ascii="Arial" w:eastAsia="Times New Roman" w:hAnsi="Arial" w:cs="Arial"/>
          <w:sz w:val="24"/>
          <w:szCs w:val="24"/>
          <w:lang w:eastAsia="es-CO"/>
        </w:rPr>
      </w:pPr>
      <w:r w:rsidRPr="004060B2">
        <w:rPr>
          <w:rFonts w:ascii="Arial" w:eastAsia="Times New Roman" w:hAnsi="Arial" w:cs="Arial"/>
          <w:sz w:val="24"/>
          <w:szCs w:val="24"/>
          <w:lang w:eastAsia="es-CO"/>
        </w:rPr>
        <w:t xml:space="preserve">Para proyectos de energía eléctrica el formulador del proyecto podrá proponer al prestador del servicio la sostenibilidad del proyecto con cargo a los recursos de aquel, en caso de que tal prestador adelante las labores de administración, operación y mantenimiento de la infraestructura resultante. Para ello tendrá en cuenta lo dispuesto en </w:t>
      </w:r>
      <w:r w:rsidR="00916408">
        <w:rPr>
          <w:rFonts w:ascii="Arial" w:eastAsia="Times New Roman" w:hAnsi="Arial" w:cs="Arial"/>
          <w:sz w:val="24"/>
          <w:szCs w:val="24"/>
          <w:lang w:eastAsia="es-CO"/>
        </w:rPr>
        <w:t>el presente numeral</w:t>
      </w:r>
      <w:r w:rsidRPr="004060B2">
        <w:rPr>
          <w:rFonts w:ascii="Arial" w:eastAsia="Times New Roman" w:hAnsi="Arial" w:cs="Arial"/>
          <w:sz w:val="24"/>
          <w:szCs w:val="24"/>
          <w:lang w:eastAsia="es-CO"/>
        </w:rPr>
        <w:t>.</w:t>
      </w:r>
    </w:p>
    <w:p w14:paraId="44291A9B" w14:textId="77777777" w:rsidR="006C7D1F" w:rsidRPr="004060B2" w:rsidRDefault="006C7D1F" w:rsidP="008E39FD">
      <w:pPr>
        <w:shd w:val="clear" w:color="auto" w:fill="FFFFFF"/>
        <w:spacing w:after="0"/>
        <w:jc w:val="both"/>
        <w:rPr>
          <w:rFonts w:ascii="Calibri" w:eastAsia="Times New Roman" w:hAnsi="Calibri" w:cs="Calibri"/>
          <w:lang w:eastAsia="es-CO"/>
        </w:rPr>
      </w:pPr>
    </w:p>
    <w:p w14:paraId="77EE8971" w14:textId="77777777" w:rsidR="006C7D1F" w:rsidRPr="004060B2" w:rsidRDefault="006C7D1F" w:rsidP="008E39FD">
      <w:pPr>
        <w:shd w:val="clear" w:color="auto" w:fill="FFFFFF" w:themeFill="background1"/>
        <w:spacing w:after="0"/>
        <w:jc w:val="both"/>
        <w:rPr>
          <w:rFonts w:ascii="Arial" w:eastAsia="Times New Roman" w:hAnsi="Arial" w:cs="Arial"/>
          <w:b/>
          <w:bCs/>
          <w:sz w:val="24"/>
          <w:szCs w:val="24"/>
          <w:lang w:eastAsia="es-CO"/>
        </w:rPr>
      </w:pPr>
      <w:r w:rsidRPr="004060B2">
        <w:rPr>
          <w:rFonts w:ascii="Arial" w:eastAsia="Times New Roman" w:hAnsi="Arial" w:cs="Arial"/>
          <w:sz w:val="24"/>
          <w:szCs w:val="24"/>
          <w:lang w:eastAsia="es-CO"/>
        </w:rPr>
        <w:t xml:space="preserve">FONENERGÍA determinará las garantías que serán exigibles al prestador que se comprometa a garantizar la sostenibilidad de proyectos eléctricos individuales o colectivos en el Sistema Interconectado Nacional o en las Zonas No Interconectadas, de acuerdo con la naturaleza y alcance del proyecto. </w:t>
      </w:r>
    </w:p>
    <w:p w14:paraId="151BABCA" w14:textId="77777777" w:rsidR="006C7D1F" w:rsidRPr="004060B2" w:rsidRDefault="006C7D1F" w:rsidP="008E39FD">
      <w:pPr>
        <w:shd w:val="clear" w:color="auto" w:fill="FFFFFF" w:themeFill="background1"/>
        <w:spacing w:after="0"/>
        <w:jc w:val="both"/>
        <w:rPr>
          <w:rFonts w:ascii="Arial" w:eastAsia="Times New Roman" w:hAnsi="Arial" w:cs="Arial"/>
          <w:b/>
          <w:bCs/>
          <w:sz w:val="24"/>
          <w:szCs w:val="24"/>
          <w:lang w:eastAsia="es-CO"/>
        </w:rPr>
      </w:pPr>
    </w:p>
    <w:p w14:paraId="619A220C" w14:textId="0D01D769" w:rsidR="006C7D1F" w:rsidRPr="004060B2" w:rsidRDefault="006C7D1F" w:rsidP="008E39FD">
      <w:pPr>
        <w:shd w:val="clear" w:color="auto" w:fill="FFFFFF"/>
        <w:spacing w:after="0"/>
        <w:jc w:val="both"/>
        <w:rPr>
          <w:rFonts w:ascii="Arial" w:eastAsia="Times New Roman" w:hAnsi="Arial" w:cs="Arial"/>
          <w:sz w:val="24"/>
          <w:szCs w:val="24"/>
          <w:lang w:eastAsia="es-CO"/>
        </w:rPr>
      </w:pPr>
      <w:r w:rsidRPr="004060B2">
        <w:rPr>
          <w:rFonts w:ascii="Arial" w:eastAsia="Times New Roman" w:hAnsi="Arial" w:cs="Arial"/>
          <w:b/>
          <w:bCs/>
          <w:sz w:val="24"/>
          <w:szCs w:val="24"/>
          <w:lang w:eastAsia="es-CO"/>
        </w:rPr>
        <w:t>Nota Especial</w:t>
      </w:r>
      <w:r w:rsidR="002E3DB0">
        <w:rPr>
          <w:rFonts w:ascii="Arial" w:eastAsia="Times New Roman" w:hAnsi="Arial" w:cs="Arial"/>
          <w:b/>
          <w:bCs/>
          <w:sz w:val="24"/>
          <w:szCs w:val="24"/>
          <w:lang w:eastAsia="es-CO"/>
        </w:rPr>
        <w:t xml:space="preserve"> 7</w:t>
      </w:r>
      <w:r w:rsidRPr="004060B2">
        <w:rPr>
          <w:rFonts w:ascii="Arial" w:eastAsia="Times New Roman" w:hAnsi="Arial" w:cs="Arial"/>
          <w:b/>
          <w:bCs/>
          <w:sz w:val="24"/>
          <w:szCs w:val="24"/>
          <w:lang w:eastAsia="es-CO"/>
        </w:rPr>
        <w:t xml:space="preserve">: </w:t>
      </w:r>
      <w:r w:rsidRPr="004060B2">
        <w:rPr>
          <w:rFonts w:ascii="Arial" w:eastAsia="Times New Roman" w:hAnsi="Arial" w:cs="Arial"/>
          <w:sz w:val="24"/>
          <w:szCs w:val="24"/>
          <w:lang w:eastAsia="es-CO"/>
        </w:rPr>
        <w:t xml:space="preserve">En el caso de las </w:t>
      </w:r>
      <w:r w:rsidRPr="00F940AD">
        <w:rPr>
          <w:rFonts w:ascii="Arial" w:eastAsia="Times New Roman" w:hAnsi="Arial" w:cs="Arial"/>
          <w:sz w:val="24"/>
          <w:szCs w:val="24"/>
          <w:highlight w:val="yellow"/>
          <w:lang w:eastAsia="es-CO"/>
        </w:rPr>
        <w:t>Comunidades Energéticas</w:t>
      </w:r>
      <w:r w:rsidRPr="004060B2">
        <w:rPr>
          <w:rFonts w:ascii="Arial" w:eastAsia="Times New Roman" w:hAnsi="Arial" w:cs="Arial"/>
          <w:sz w:val="24"/>
          <w:szCs w:val="24"/>
          <w:lang w:eastAsia="es-CO"/>
        </w:rPr>
        <w:t xml:space="preserve"> se dará aplicación a lo dispuesto en el </w:t>
      </w:r>
      <w:r w:rsidRPr="00F940AD">
        <w:rPr>
          <w:rFonts w:ascii="Arial" w:eastAsia="Times New Roman" w:hAnsi="Arial" w:cs="Arial"/>
          <w:sz w:val="24"/>
          <w:szCs w:val="24"/>
          <w:highlight w:val="yellow"/>
          <w:lang w:eastAsia="es-CO"/>
        </w:rPr>
        <w:t xml:space="preserve">numeral </w:t>
      </w:r>
      <w:r w:rsidR="0031772B" w:rsidRPr="0031772B">
        <w:rPr>
          <w:rFonts w:ascii="Arial" w:eastAsia="Times New Roman" w:hAnsi="Arial" w:cs="Arial"/>
          <w:b/>
          <w:bCs/>
          <w:sz w:val="24"/>
          <w:szCs w:val="24"/>
          <w:highlight w:val="yellow"/>
          <w:lang w:eastAsia="es-CO"/>
        </w:rPr>
        <w:t>III-2.5</w:t>
      </w:r>
      <w:r w:rsidRPr="00F940AD">
        <w:rPr>
          <w:rFonts w:ascii="Arial" w:eastAsia="Times New Roman" w:hAnsi="Arial" w:cs="Arial"/>
          <w:sz w:val="24"/>
          <w:szCs w:val="24"/>
          <w:highlight w:val="yellow"/>
          <w:lang w:eastAsia="es-CO"/>
        </w:rPr>
        <w:t xml:space="preserve"> de este Manual.</w:t>
      </w:r>
    </w:p>
    <w:p w14:paraId="71191301" w14:textId="77777777" w:rsidR="006C7D1F" w:rsidRPr="004060B2" w:rsidRDefault="006C7D1F" w:rsidP="008E39FD">
      <w:pPr>
        <w:shd w:val="clear" w:color="auto" w:fill="FFFFFF"/>
        <w:spacing w:after="0"/>
        <w:jc w:val="both"/>
        <w:rPr>
          <w:rFonts w:ascii="Arial" w:eastAsia="Times New Roman" w:hAnsi="Arial" w:cs="Arial"/>
          <w:sz w:val="24"/>
          <w:szCs w:val="24"/>
          <w:lang w:eastAsia="es-CO"/>
        </w:rPr>
      </w:pPr>
    </w:p>
    <w:p w14:paraId="78FFACED" w14:textId="2BEDD555" w:rsidR="001671E1" w:rsidRPr="00E20971" w:rsidRDefault="00E20971" w:rsidP="00517B59">
      <w:pPr>
        <w:pStyle w:val="Ttulo3"/>
        <w:ind w:left="720" w:hanging="720"/>
        <w:jc w:val="center"/>
        <w:rPr>
          <w:lang w:eastAsia="es-CO"/>
        </w:rPr>
      </w:pPr>
      <w:bookmarkStart w:id="143" w:name="_Toc224844365"/>
      <w:bookmarkStart w:id="144" w:name="_Toc205496162"/>
      <w:bookmarkStart w:id="145" w:name="_Toc219397270"/>
      <w:r>
        <w:rPr>
          <w:lang w:eastAsia="es-CO"/>
        </w:rPr>
        <w:t xml:space="preserve">CAPÍTULO </w:t>
      </w:r>
      <w:r w:rsidR="008172F5">
        <w:rPr>
          <w:lang w:eastAsia="es-CO"/>
        </w:rPr>
        <w:t>III</w:t>
      </w:r>
      <w:bookmarkEnd w:id="143"/>
    </w:p>
    <w:p w14:paraId="11C64BAB" w14:textId="203BDDA4" w:rsidR="008172F5" w:rsidRDefault="009D4066" w:rsidP="002E3DB0">
      <w:pPr>
        <w:pStyle w:val="Ttulo4"/>
        <w:spacing w:before="0"/>
        <w:ind w:left="864" w:hanging="864"/>
        <w:jc w:val="center"/>
        <w:rPr>
          <w:lang w:eastAsia="es-CO"/>
        </w:rPr>
      </w:pPr>
      <w:bookmarkStart w:id="146" w:name="_Toc224844366"/>
      <w:r>
        <w:rPr>
          <w:lang w:eastAsia="es-CO"/>
        </w:rPr>
        <w:t>VIABILIZACIÓN</w:t>
      </w:r>
      <w:bookmarkEnd w:id="146"/>
    </w:p>
    <w:p w14:paraId="110348FA" w14:textId="77777777" w:rsidR="002E3DB0" w:rsidRPr="002E3DB0" w:rsidRDefault="002E3DB0" w:rsidP="002E3DB0">
      <w:pPr>
        <w:spacing w:after="0"/>
        <w:rPr>
          <w:lang w:eastAsia="es-CO"/>
        </w:rPr>
      </w:pPr>
    </w:p>
    <w:p w14:paraId="3C649967" w14:textId="48AA8A09" w:rsidR="00172958" w:rsidRPr="00172958" w:rsidRDefault="00172958" w:rsidP="00517B59">
      <w:pPr>
        <w:pStyle w:val="Ttulo5"/>
        <w:ind w:left="1008" w:hanging="1008"/>
      </w:pPr>
      <w:bookmarkStart w:id="147" w:name="_Toc219397274"/>
      <w:bookmarkStart w:id="148" w:name="_Toc224844367"/>
      <w:r w:rsidRPr="00172958">
        <w:t xml:space="preserve">III-3.1 </w:t>
      </w:r>
      <w:r w:rsidR="00BF7FB1">
        <w:t>P</w:t>
      </w:r>
      <w:r w:rsidR="00BF7FB1" w:rsidRPr="00172958">
        <w:t>arámetros generales para viabilidad técnica y financiera</w:t>
      </w:r>
      <w:bookmarkEnd w:id="147"/>
      <w:bookmarkEnd w:id="148"/>
    </w:p>
    <w:p w14:paraId="7A5DDD0E" w14:textId="77777777" w:rsidR="00172958" w:rsidRDefault="00172958" w:rsidP="00172958">
      <w:pPr>
        <w:spacing w:after="0"/>
        <w:jc w:val="both"/>
        <w:rPr>
          <w:rFonts w:ascii="Arial" w:hAnsi="Arial" w:cs="Arial"/>
          <w:sz w:val="24"/>
          <w:szCs w:val="24"/>
        </w:rPr>
      </w:pPr>
    </w:p>
    <w:p w14:paraId="7DF65DB7" w14:textId="47458887" w:rsidR="00172958" w:rsidRDefault="00172958" w:rsidP="00172958">
      <w:pPr>
        <w:tabs>
          <w:tab w:val="left" w:pos="4474"/>
        </w:tabs>
        <w:spacing w:after="0"/>
        <w:jc w:val="both"/>
        <w:rPr>
          <w:rFonts w:ascii="Arial" w:hAnsi="Arial" w:cs="Arial"/>
          <w:sz w:val="24"/>
          <w:szCs w:val="24"/>
        </w:rPr>
      </w:pPr>
      <w:r w:rsidRPr="5D146CA7">
        <w:rPr>
          <w:rFonts w:ascii="Arial" w:hAnsi="Arial" w:cs="Arial"/>
          <w:sz w:val="24"/>
          <w:szCs w:val="24"/>
        </w:rPr>
        <w:t xml:space="preserve">Sin perjuicio de las facultades legales asignadas a la UPME y/o IPSE, o aquellas que las sustituyan, </w:t>
      </w:r>
      <w:r w:rsidR="005F78A1">
        <w:rPr>
          <w:rFonts w:ascii="Arial" w:hAnsi="Arial" w:cs="Arial"/>
          <w:sz w:val="24"/>
          <w:szCs w:val="24"/>
        </w:rPr>
        <w:t xml:space="preserve">para </w:t>
      </w:r>
      <w:r w:rsidRPr="5D146CA7">
        <w:rPr>
          <w:rFonts w:ascii="Arial" w:hAnsi="Arial" w:cs="Arial"/>
          <w:sz w:val="24"/>
          <w:szCs w:val="24"/>
        </w:rPr>
        <w:t xml:space="preserve">la viabilización de proyectos susceptibles de financiarse con recursos del FONENERGIA, el equipo técnico del FONENERGIA dará cumplimiento a los parámetros establecidos en este numeral, en relación con los proyectos registrados en la </w:t>
      </w:r>
      <w:r w:rsidRPr="00B91DF7">
        <w:rPr>
          <w:rFonts w:ascii="Arial" w:hAnsi="Arial" w:cs="Arial"/>
          <w:sz w:val="24"/>
          <w:szCs w:val="24"/>
        </w:rPr>
        <w:t>ventanilla única, atendiendo al</w:t>
      </w:r>
      <w:r w:rsidRPr="5D146CA7">
        <w:rPr>
          <w:rFonts w:ascii="Arial" w:hAnsi="Arial" w:cs="Arial"/>
          <w:sz w:val="24"/>
          <w:szCs w:val="24"/>
        </w:rPr>
        <w:t xml:space="preserve"> orden de radicación:</w:t>
      </w:r>
    </w:p>
    <w:p w14:paraId="6F762A97" w14:textId="77777777" w:rsidR="00172958" w:rsidRDefault="00172958" w:rsidP="00172958">
      <w:pPr>
        <w:tabs>
          <w:tab w:val="left" w:pos="4474"/>
        </w:tabs>
        <w:spacing w:after="0"/>
        <w:jc w:val="both"/>
        <w:rPr>
          <w:rFonts w:ascii="Arial" w:hAnsi="Arial" w:cs="Arial"/>
          <w:sz w:val="24"/>
          <w:szCs w:val="24"/>
        </w:rPr>
      </w:pPr>
    </w:p>
    <w:p w14:paraId="57258E67" w14:textId="2A60177A" w:rsidR="00172958" w:rsidRDefault="00172958" w:rsidP="00B320D0">
      <w:pPr>
        <w:pStyle w:val="Prrafodelista"/>
        <w:numPr>
          <w:ilvl w:val="0"/>
          <w:numId w:val="28"/>
        </w:numPr>
        <w:tabs>
          <w:tab w:val="left" w:pos="4474"/>
        </w:tabs>
        <w:spacing w:after="0"/>
        <w:jc w:val="both"/>
        <w:rPr>
          <w:rFonts w:ascii="Arial" w:hAnsi="Arial" w:cs="Arial"/>
          <w:sz w:val="24"/>
          <w:szCs w:val="24"/>
        </w:rPr>
      </w:pPr>
      <w:r w:rsidRPr="4BA04FB0">
        <w:rPr>
          <w:rFonts w:ascii="Arial" w:hAnsi="Arial" w:cs="Arial"/>
          <w:sz w:val="24"/>
          <w:szCs w:val="24"/>
        </w:rPr>
        <w:t xml:space="preserve">Verificación del cumplimiento </w:t>
      </w:r>
      <w:r>
        <w:rPr>
          <w:rFonts w:ascii="Arial" w:hAnsi="Arial" w:cs="Arial"/>
          <w:sz w:val="24"/>
          <w:szCs w:val="24"/>
        </w:rPr>
        <w:t xml:space="preserve">técnico, financiero, jurídico y administrativo </w:t>
      </w:r>
      <w:r w:rsidRPr="4BA04FB0">
        <w:rPr>
          <w:rFonts w:ascii="Arial" w:hAnsi="Arial" w:cs="Arial"/>
          <w:sz w:val="24"/>
          <w:szCs w:val="24"/>
        </w:rPr>
        <w:t xml:space="preserve">de los requisitos establecidos en el </w:t>
      </w:r>
      <w:r w:rsidRPr="003459BF">
        <w:rPr>
          <w:rFonts w:ascii="Arial" w:hAnsi="Arial" w:cs="Arial"/>
          <w:sz w:val="24"/>
          <w:szCs w:val="24"/>
          <w:highlight w:val="yellow"/>
        </w:rPr>
        <w:t xml:space="preserve">numeral </w:t>
      </w:r>
      <w:r w:rsidR="00887B6A" w:rsidRPr="00887B6A">
        <w:rPr>
          <w:rFonts w:ascii="Arial" w:hAnsi="Arial" w:cs="Arial"/>
          <w:b/>
          <w:bCs/>
          <w:sz w:val="24"/>
          <w:szCs w:val="24"/>
          <w:highlight w:val="yellow"/>
        </w:rPr>
        <w:t xml:space="preserve">III-2.4 </w:t>
      </w:r>
      <w:r w:rsidRPr="4BA04FB0">
        <w:rPr>
          <w:rFonts w:ascii="Arial" w:hAnsi="Arial" w:cs="Arial"/>
          <w:sz w:val="24"/>
          <w:szCs w:val="24"/>
        </w:rPr>
        <w:t>del presente Manual</w:t>
      </w:r>
      <w:r>
        <w:rPr>
          <w:rFonts w:ascii="Arial" w:hAnsi="Arial" w:cs="Arial"/>
          <w:sz w:val="24"/>
          <w:szCs w:val="24"/>
        </w:rPr>
        <w:t>.</w:t>
      </w:r>
    </w:p>
    <w:p w14:paraId="56D4EBC5" w14:textId="77777777" w:rsidR="00172958" w:rsidRDefault="00172958" w:rsidP="00B320D0">
      <w:pPr>
        <w:pStyle w:val="Prrafodelista"/>
        <w:numPr>
          <w:ilvl w:val="0"/>
          <w:numId w:val="28"/>
        </w:numPr>
        <w:tabs>
          <w:tab w:val="left" w:pos="360"/>
        </w:tabs>
        <w:spacing w:after="0"/>
        <w:jc w:val="both"/>
        <w:rPr>
          <w:rFonts w:ascii="Arial" w:hAnsi="Arial" w:cs="Arial"/>
          <w:sz w:val="24"/>
          <w:szCs w:val="24"/>
        </w:rPr>
      </w:pPr>
      <w:r w:rsidRPr="5D146CA7">
        <w:rPr>
          <w:rFonts w:ascii="Arial" w:hAnsi="Arial" w:cs="Arial"/>
          <w:sz w:val="24"/>
          <w:szCs w:val="24"/>
        </w:rPr>
        <w:t>El concepto de viabilización favorable o no favorable debe registrarse en el formato establecido para tal fin y estar suscrito por los profesionales a cargo de la evaluación del proyecto.</w:t>
      </w:r>
    </w:p>
    <w:p w14:paraId="4165C30D" w14:textId="327BE943" w:rsidR="00172958" w:rsidRDefault="00172958" w:rsidP="00B320D0">
      <w:pPr>
        <w:pStyle w:val="Prrafodelista"/>
        <w:numPr>
          <w:ilvl w:val="0"/>
          <w:numId w:val="28"/>
        </w:numPr>
        <w:tabs>
          <w:tab w:val="left" w:pos="360"/>
        </w:tabs>
        <w:spacing w:after="0"/>
        <w:jc w:val="both"/>
        <w:rPr>
          <w:rFonts w:ascii="Arial" w:hAnsi="Arial" w:cs="Arial"/>
          <w:sz w:val="24"/>
          <w:szCs w:val="24"/>
        </w:rPr>
      </w:pPr>
      <w:r w:rsidRPr="5D146CA7">
        <w:rPr>
          <w:rFonts w:ascii="Arial" w:hAnsi="Arial" w:cs="Arial"/>
          <w:sz w:val="24"/>
          <w:szCs w:val="24"/>
        </w:rPr>
        <w:t>En el caso que el concepto de viabilización sea no favorable</w:t>
      </w:r>
      <w:r w:rsidR="007058A6">
        <w:rPr>
          <w:rFonts w:ascii="Arial" w:hAnsi="Arial" w:cs="Arial"/>
          <w:sz w:val="24"/>
          <w:szCs w:val="24"/>
        </w:rPr>
        <w:t>,</w:t>
      </w:r>
      <w:r w:rsidRPr="5D146CA7">
        <w:rPr>
          <w:rFonts w:ascii="Arial" w:hAnsi="Arial" w:cs="Arial"/>
          <w:sz w:val="24"/>
          <w:szCs w:val="24"/>
        </w:rPr>
        <w:t xml:space="preserve"> el estructurador o formulador tendrá plazo de 30 días calendario para presentar las subsanaciones, ajustes y/o documentación adicional solicitada por el equipo viabilizador para nueva emisión de concepto. Si dentro del plazo establecido no subsanare, se </w:t>
      </w:r>
      <w:r w:rsidRPr="5D146CA7">
        <w:rPr>
          <w:rFonts w:ascii="Arial" w:hAnsi="Arial" w:cs="Arial"/>
          <w:sz w:val="24"/>
          <w:szCs w:val="24"/>
        </w:rPr>
        <w:lastRenderedPageBreak/>
        <w:t>entenderá que desiste de la solicitud. En todo caso, el estructurador o formulador podrá volver a radicar el proyecto para iniciar con el flujo de viabilización.</w:t>
      </w:r>
    </w:p>
    <w:p w14:paraId="77F8A56F" w14:textId="77777777" w:rsidR="00172958" w:rsidRDefault="00172958" w:rsidP="00B320D0">
      <w:pPr>
        <w:pStyle w:val="Prrafodelista"/>
        <w:numPr>
          <w:ilvl w:val="0"/>
          <w:numId w:val="28"/>
        </w:numPr>
        <w:tabs>
          <w:tab w:val="left" w:pos="360"/>
        </w:tabs>
        <w:spacing w:after="0"/>
        <w:jc w:val="both"/>
        <w:rPr>
          <w:rFonts w:ascii="Arial" w:hAnsi="Arial" w:cs="Arial"/>
          <w:sz w:val="24"/>
          <w:szCs w:val="24"/>
        </w:rPr>
      </w:pPr>
      <w:r>
        <w:rPr>
          <w:rFonts w:ascii="Arial" w:hAnsi="Arial" w:cs="Arial"/>
          <w:sz w:val="24"/>
          <w:szCs w:val="24"/>
        </w:rPr>
        <w:t xml:space="preserve">En caso de que el proyecto cuente con concepto favorable pasará a la etapa de priorización y presentación a CAFONENERGIA </w:t>
      </w:r>
    </w:p>
    <w:p w14:paraId="595F3659" w14:textId="77777777" w:rsidR="00172958" w:rsidRDefault="00172958" w:rsidP="00172958">
      <w:pPr>
        <w:tabs>
          <w:tab w:val="left" w:pos="4474"/>
        </w:tabs>
        <w:spacing w:after="0"/>
        <w:jc w:val="both"/>
        <w:rPr>
          <w:rFonts w:ascii="Arial" w:hAnsi="Arial" w:cs="Arial"/>
          <w:color w:val="EE0000"/>
          <w:sz w:val="24"/>
          <w:szCs w:val="24"/>
        </w:rPr>
      </w:pPr>
    </w:p>
    <w:p w14:paraId="361EA047" w14:textId="36A4550A" w:rsidR="00172958" w:rsidRDefault="00172958" w:rsidP="00172958">
      <w:pPr>
        <w:tabs>
          <w:tab w:val="left" w:pos="4474"/>
        </w:tabs>
        <w:spacing w:after="0"/>
        <w:jc w:val="both"/>
        <w:rPr>
          <w:rFonts w:ascii="Arial" w:hAnsi="Arial" w:cs="Arial"/>
          <w:sz w:val="24"/>
          <w:szCs w:val="24"/>
        </w:rPr>
      </w:pPr>
      <w:r w:rsidRPr="00310637">
        <w:rPr>
          <w:rFonts w:ascii="Arial" w:hAnsi="Arial" w:cs="Arial"/>
          <w:b/>
          <w:sz w:val="24"/>
          <w:szCs w:val="24"/>
        </w:rPr>
        <w:t>Nota Especial1</w:t>
      </w:r>
      <w:r w:rsidRPr="5D146CA7">
        <w:rPr>
          <w:rFonts w:ascii="Arial" w:hAnsi="Arial" w:cs="Arial"/>
          <w:sz w:val="24"/>
          <w:szCs w:val="24"/>
        </w:rPr>
        <w:t xml:space="preserve">: En caso que los proyectos sean presentados por canales distintos o ante entidades que hasta la fecha de expedición del presente Manual hayan ostentado la competencia para recepcionar los mismos, tales entidades deberán radicarlos en la </w:t>
      </w:r>
      <w:r w:rsidRPr="00B91DF7">
        <w:rPr>
          <w:rFonts w:ascii="Arial" w:hAnsi="Arial" w:cs="Arial"/>
          <w:sz w:val="24"/>
          <w:szCs w:val="24"/>
        </w:rPr>
        <w:t>ventanilla única</w:t>
      </w:r>
      <w:r w:rsidRPr="5D146CA7">
        <w:rPr>
          <w:rFonts w:ascii="Arial" w:hAnsi="Arial" w:cs="Arial"/>
          <w:sz w:val="24"/>
          <w:szCs w:val="24"/>
        </w:rPr>
        <w:t xml:space="preserve"> dispuesta por este Ministerio.</w:t>
      </w:r>
    </w:p>
    <w:p w14:paraId="4FF7A25A" w14:textId="77777777" w:rsidR="00172958" w:rsidRDefault="00172958" w:rsidP="00172958">
      <w:pPr>
        <w:tabs>
          <w:tab w:val="left" w:pos="4474"/>
        </w:tabs>
        <w:spacing w:after="0"/>
        <w:jc w:val="both"/>
        <w:rPr>
          <w:rFonts w:ascii="Arial" w:hAnsi="Arial" w:cs="Arial"/>
          <w:sz w:val="24"/>
          <w:szCs w:val="24"/>
        </w:rPr>
      </w:pPr>
    </w:p>
    <w:p w14:paraId="6A1C3960" w14:textId="77777777" w:rsidR="00172958" w:rsidRDefault="00172958" w:rsidP="00172958">
      <w:pPr>
        <w:jc w:val="both"/>
        <w:rPr>
          <w:rFonts w:ascii="Arial" w:hAnsi="Arial" w:cs="Arial"/>
          <w:sz w:val="24"/>
          <w:szCs w:val="24"/>
        </w:rPr>
      </w:pPr>
      <w:r w:rsidRPr="00310637">
        <w:rPr>
          <w:rFonts w:ascii="Arial" w:hAnsi="Arial" w:cs="Arial"/>
          <w:b/>
          <w:sz w:val="24"/>
          <w:szCs w:val="24"/>
        </w:rPr>
        <w:t>Nota Especial 2:</w:t>
      </w:r>
      <w:r w:rsidRPr="00310637">
        <w:rPr>
          <w:rFonts w:ascii="Arial" w:hAnsi="Arial" w:cs="Arial"/>
          <w:sz w:val="24"/>
          <w:szCs w:val="24"/>
        </w:rPr>
        <w:t xml:space="preserve"> </w:t>
      </w:r>
      <w:r w:rsidRPr="5D146CA7">
        <w:rPr>
          <w:rFonts w:ascii="Arial" w:hAnsi="Arial" w:cs="Arial"/>
          <w:sz w:val="24"/>
          <w:szCs w:val="24"/>
        </w:rPr>
        <w:t>FONENERGÍA podrá, si así lo considera, solicitar a la UPME y/o al IPSE un concepto de viabilidad sobre los proyectos que le sean presentados para asignación de recursos.</w:t>
      </w:r>
    </w:p>
    <w:p w14:paraId="69FAF5BC" w14:textId="46580C9C" w:rsidR="006C7D1F" w:rsidRPr="00060EE4" w:rsidRDefault="00A7174A" w:rsidP="00517B59">
      <w:pPr>
        <w:pStyle w:val="Ttulo5"/>
        <w:ind w:left="1008" w:hanging="1008"/>
      </w:pPr>
      <w:bookmarkStart w:id="149" w:name="_Toc224844368"/>
      <w:r w:rsidRPr="00060EE4">
        <w:rPr>
          <w:bCs/>
        </w:rPr>
        <w:t>III-3.</w:t>
      </w:r>
      <w:r w:rsidR="00310637">
        <w:rPr>
          <w:bCs/>
        </w:rPr>
        <w:t>2</w:t>
      </w:r>
      <w:r w:rsidR="00060EE4" w:rsidRPr="00060EE4">
        <w:rPr>
          <w:bCs/>
        </w:rPr>
        <w:t xml:space="preserve"> </w:t>
      </w:r>
      <w:r w:rsidR="006C7D1F" w:rsidRPr="00060EE4">
        <w:t>Acreditación de la idoneidad.</w:t>
      </w:r>
      <w:bookmarkEnd w:id="144"/>
      <w:bookmarkEnd w:id="145"/>
      <w:bookmarkEnd w:id="149"/>
    </w:p>
    <w:p w14:paraId="5BB22E8C" w14:textId="77777777" w:rsidR="006C7D1F" w:rsidRPr="00C63186" w:rsidRDefault="006C7D1F" w:rsidP="008E39FD">
      <w:pPr>
        <w:shd w:val="clear" w:color="auto" w:fill="FFFFFF"/>
        <w:spacing w:after="0"/>
        <w:jc w:val="both"/>
        <w:rPr>
          <w:rFonts w:ascii="Arial" w:eastAsia="Times New Roman" w:hAnsi="Arial" w:cs="Arial"/>
          <w:b/>
          <w:bCs/>
          <w:i/>
          <w:iCs/>
          <w:sz w:val="24"/>
          <w:szCs w:val="24"/>
          <w:lang w:eastAsia="es-CO"/>
        </w:rPr>
      </w:pPr>
    </w:p>
    <w:p w14:paraId="5DB0975C" w14:textId="77777777" w:rsidR="006C7D1F" w:rsidRPr="00C63186" w:rsidRDefault="006C7D1F" w:rsidP="008E39FD">
      <w:pPr>
        <w:shd w:val="clear" w:color="auto" w:fill="FFFFFF" w:themeFill="background1"/>
        <w:spacing w:after="0"/>
        <w:jc w:val="both"/>
        <w:rPr>
          <w:rFonts w:ascii="Arial" w:eastAsia="Times New Roman" w:hAnsi="Arial" w:cs="Arial"/>
          <w:sz w:val="24"/>
          <w:szCs w:val="24"/>
          <w:lang w:eastAsia="es-CO"/>
        </w:rPr>
      </w:pPr>
      <w:r w:rsidRPr="54B2E939">
        <w:rPr>
          <w:rFonts w:ascii="Arial" w:eastAsia="Times New Roman" w:hAnsi="Arial" w:cs="Arial"/>
          <w:sz w:val="24"/>
          <w:szCs w:val="24"/>
          <w:lang w:eastAsia="es-CO"/>
        </w:rPr>
        <w:t>Se analizarán los siguientes aspectos:</w:t>
      </w:r>
    </w:p>
    <w:p w14:paraId="5AAB90D8" w14:textId="77777777" w:rsidR="006C7D1F" w:rsidRPr="00C63186" w:rsidRDefault="006C7D1F" w:rsidP="008E39FD">
      <w:pPr>
        <w:shd w:val="clear" w:color="auto" w:fill="FFFFFF"/>
        <w:spacing w:after="0"/>
        <w:jc w:val="both"/>
        <w:rPr>
          <w:rFonts w:ascii="Arial" w:eastAsia="Times New Roman" w:hAnsi="Arial" w:cs="Arial"/>
          <w:sz w:val="24"/>
          <w:szCs w:val="24"/>
          <w:lang w:eastAsia="es-CO"/>
        </w:rPr>
      </w:pPr>
    </w:p>
    <w:p w14:paraId="02E081F1" w14:textId="21090102" w:rsidR="006C7D1F" w:rsidRPr="00C63186" w:rsidRDefault="006C7D1F" w:rsidP="008E39FD">
      <w:pPr>
        <w:shd w:val="clear" w:color="auto" w:fill="FFFFFF" w:themeFill="background1"/>
        <w:spacing w:after="0"/>
        <w:jc w:val="both"/>
        <w:rPr>
          <w:rFonts w:ascii="Calibri" w:eastAsia="Times New Roman" w:hAnsi="Calibri" w:cs="Calibri"/>
          <w:lang w:eastAsia="es-CO"/>
        </w:rPr>
      </w:pPr>
      <w:r w:rsidRPr="54B2E939">
        <w:rPr>
          <w:rFonts w:ascii="Arial" w:eastAsia="Times New Roman" w:hAnsi="Arial" w:cs="Arial"/>
          <w:sz w:val="24"/>
          <w:szCs w:val="24"/>
          <w:lang w:eastAsia="es-CO"/>
        </w:rPr>
        <w:t>1.</w:t>
      </w:r>
      <w:r w:rsidRPr="54B2E939">
        <w:rPr>
          <w:rFonts w:ascii="Calibri" w:eastAsia="Times New Roman" w:hAnsi="Calibri" w:cs="Calibri"/>
          <w:lang w:eastAsia="es-CO"/>
        </w:rPr>
        <w:t> </w:t>
      </w:r>
      <w:r w:rsidR="00AB5B22" w:rsidRPr="00A07D93">
        <w:rPr>
          <w:rFonts w:ascii="Arial" w:eastAsia="Times New Roman" w:hAnsi="Arial" w:cs="Arial"/>
          <w:sz w:val="24"/>
          <w:szCs w:val="24"/>
          <w:lang w:eastAsia="es-CO"/>
        </w:rPr>
        <w:t>Que</w:t>
      </w:r>
      <w:r w:rsidR="00AB5B22" w:rsidRPr="00A07D93">
        <w:rPr>
          <w:rFonts w:ascii="Arial" w:eastAsia="Times New Roman" w:hAnsi="Arial" w:cs="Arial"/>
          <w:lang w:eastAsia="es-CO"/>
        </w:rPr>
        <w:t xml:space="preserve"> l</w:t>
      </w:r>
      <w:r w:rsidRPr="54B2E939">
        <w:rPr>
          <w:rFonts w:ascii="Arial" w:eastAsia="Times New Roman" w:hAnsi="Arial" w:cs="Arial"/>
          <w:sz w:val="24"/>
          <w:szCs w:val="24"/>
          <w:lang w:eastAsia="es-CO"/>
        </w:rPr>
        <w:t xml:space="preserve">os </w:t>
      </w:r>
      <w:r>
        <w:rPr>
          <w:rFonts w:ascii="Arial" w:eastAsia="Times New Roman" w:hAnsi="Arial" w:cs="Arial"/>
          <w:sz w:val="24"/>
          <w:szCs w:val="24"/>
          <w:lang w:eastAsia="es-CO"/>
        </w:rPr>
        <w:t>interesados</w:t>
      </w:r>
      <w:r w:rsidRPr="54B2E939">
        <w:rPr>
          <w:rFonts w:ascii="Arial" w:eastAsia="Times New Roman" w:hAnsi="Arial" w:cs="Arial"/>
          <w:sz w:val="24"/>
          <w:szCs w:val="24"/>
          <w:lang w:eastAsia="es-CO"/>
        </w:rPr>
        <w:t xml:space="preserve"> est</w:t>
      </w:r>
      <w:r w:rsidR="00A07D93">
        <w:rPr>
          <w:rFonts w:ascii="Arial" w:eastAsia="Times New Roman" w:hAnsi="Arial" w:cs="Arial"/>
          <w:sz w:val="24"/>
          <w:szCs w:val="24"/>
          <w:lang w:eastAsia="es-CO"/>
        </w:rPr>
        <w:t>én</w:t>
      </w:r>
      <w:r w:rsidRPr="54B2E939">
        <w:rPr>
          <w:rFonts w:ascii="Arial" w:eastAsia="Times New Roman" w:hAnsi="Arial" w:cs="Arial"/>
          <w:sz w:val="24"/>
          <w:szCs w:val="24"/>
          <w:lang w:eastAsia="es-CO"/>
        </w:rPr>
        <w:t xml:space="preserve"> organizados en los términos del artículo 15 de la Ley 142 de 1994 y aportarán el certificado de existencia y representación legal, así como el de matrícula mercantil expedido por la cámara de comercio competente, o documento equivalente, en los que se acredite:</w:t>
      </w:r>
    </w:p>
    <w:p w14:paraId="79E5BB5C"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7D51BD32" w14:textId="77777777" w:rsidR="006C7D1F" w:rsidRPr="00C63186" w:rsidRDefault="006C7D1F" w:rsidP="008E39FD">
      <w:pPr>
        <w:shd w:val="clear" w:color="auto" w:fill="FFFFFF" w:themeFill="background1"/>
        <w:spacing w:after="0"/>
        <w:jc w:val="both"/>
        <w:rPr>
          <w:rFonts w:ascii="Arial" w:eastAsia="Times New Roman" w:hAnsi="Arial" w:cs="Arial"/>
          <w:sz w:val="24"/>
          <w:szCs w:val="24"/>
          <w:lang w:eastAsia="es-CO"/>
        </w:rPr>
      </w:pPr>
      <w:r w:rsidRPr="4622A9B7">
        <w:rPr>
          <w:rFonts w:ascii="Arial" w:eastAsia="Times New Roman" w:hAnsi="Arial" w:cs="Arial"/>
          <w:sz w:val="24"/>
          <w:szCs w:val="24"/>
          <w:lang w:eastAsia="es-CO"/>
        </w:rPr>
        <w:t>a)</w:t>
      </w:r>
      <w:r w:rsidRPr="4622A9B7">
        <w:rPr>
          <w:rFonts w:ascii="Calibri" w:eastAsia="Times New Roman" w:hAnsi="Calibri" w:cs="Calibri"/>
          <w:lang w:eastAsia="es-CO"/>
        </w:rPr>
        <w:t> </w:t>
      </w:r>
      <w:r w:rsidRPr="4622A9B7">
        <w:rPr>
          <w:rFonts w:ascii="Arial" w:eastAsia="Times New Roman" w:hAnsi="Arial" w:cs="Arial"/>
          <w:sz w:val="24"/>
          <w:szCs w:val="24"/>
          <w:lang w:eastAsia="es-CO"/>
        </w:rPr>
        <w:t xml:space="preserve">Que el </w:t>
      </w:r>
      <w:r w:rsidRPr="00CF0AB3">
        <w:rPr>
          <w:rFonts w:ascii="Arial" w:eastAsia="Times New Roman" w:hAnsi="Arial" w:cs="Arial"/>
          <w:sz w:val="24"/>
          <w:szCs w:val="24"/>
          <w:highlight w:val="yellow"/>
          <w:lang w:eastAsia="es-CO"/>
        </w:rPr>
        <w:t>objeto social</w:t>
      </w:r>
      <w:r w:rsidRPr="4622A9B7">
        <w:rPr>
          <w:rFonts w:ascii="Arial" w:eastAsia="Times New Roman" w:hAnsi="Arial" w:cs="Arial"/>
          <w:sz w:val="24"/>
          <w:szCs w:val="24"/>
          <w:lang w:eastAsia="es-CO"/>
        </w:rPr>
        <w:t xml:space="preserve"> incluya o permita el desarrollo de actividades relacionadas con Administración, Operación y Mantenimiento (AOM) de proyectos eléctricos.</w:t>
      </w:r>
    </w:p>
    <w:p w14:paraId="43D412FC" w14:textId="77777777" w:rsidR="006C7D1F" w:rsidRPr="00C63186" w:rsidRDefault="006C7D1F" w:rsidP="008E39FD">
      <w:pPr>
        <w:shd w:val="clear" w:color="auto" w:fill="FFFFFF" w:themeFill="background1"/>
        <w:spacing w:after="0"/>
        <w:jc w:val="both"/>
        <w:rPr>
          <w:rFonts w:ascii="Calibri" w:eastAsia="Times New Roman" w:hAnsi="Calibri" w:cs="Calibri"/>
          <w:lang w:eastAsia="es-CO"/>
        </w:rPr>
      </w:pPr>
    </w:p>
    <w:p w14:paraId="39E93613"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b)</w:t>
      </w:r>
      <w:r w:rsidRPr="00C63186">
        <w:rPr>
          <w:rFonts w:ascii="Calibri" w:eastAsia="Times New Roman" w:hAnsi="Calibri" w:cs="Calibri"/>
          <w:lang w:eastAsia="es-CO"/>
        </w:rPr>
        <w:t> </w:t>
      </w:r>
      <w:r w:rsidRPr="00C63186">
        <w:rPr>
          <w:rFonts w:ascii="Arial" w:eastAsia="Times New Roman" w:hAnsi="Arial" w:cs="Arial"/>
          <w:sz w:val="24"/>
          <w:szCs w:val="24"/>
          <w:lang w:eastAsia="es-CO"/>
        </w:rPr>
        <w:t>Que el término de duración de la persona jurídica sea superior a doce (12) años, contados a partir de la fecha de radicación del respectivo proyecto ante el FONENERGÍA.</w:t>
      </w:r>
    </w:p>
    <w:p w14:paraId="42CC394A"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2FBEA32D" w14:textId="27FD17B3" w:rsidR="006C7D1F" w:rsidRPr="00C63186" w:rsidRDefault="006C7D1F" w:rsidP="008E39FD">
      <w:pPr>
        <w:shd w:val="clear" w:color="auto" w:fill="FFFFFF" w:themeFill="background1"/>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2.</w:t>
      </w:r>
      <w:r w:rsidRPr="00C63186">
        <w:rPr>
          <w:rFonts w:ascii="Calibri" w:eastAsia="Times New Roman" w:hAnsi="Calibri" w:cs="Calibri"/>
          <w:lang w:eastAsia="es-CO"/>
        </w:rPr>
        <w:t> </w:t>
      </w:r>
      <w:r w:rsidR="00FF5340">
        <w:rPr>
          <w:rFonts w:ascii="Arial" w:eastAsia="Times New Roman" w:hAnsi="Arial" w:cs="Arial"/>
          <w:sz w:val="24"/>
          <w:szCs w:val="24"/>
          <w:lang w:eastAsia="es-CO"/>
        </w:rPr>
        <w:t>El</w:t>
      </w:r>
      <w:r w:rsidRPr="00C63186">
        <w:rPr>
          <w:rFonts w:ascii="Arial" w:eastAsia="Times New Roman" w:hAnsi="Arial" w:cs="Arial"/>
          <w:sz w:val="24"/>
          <w:szCs w:val="24"/>
          <w:lang w:eastAsia="es-CO"/>
        </w:rPr>
        <w:t xml:space="preserve"> Registro Único Tributario (RUT) actualizado que contenga las actividades económicas relacionadas con administración, operación y mantenimiento de proyectos eléctricos y/o gas combustible por redes.</w:t>
      </w:r>
    </w:p>
    <w:p w14:paraId="3F86C047"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2F8B2FD9" w14:textId="4ACFEAFE"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3.</w:t>
      </w:r>
      <w:r w:rsidRPr="00C63186">
        <w:rPr>
          <w:rFonts w:ascii="Calibri" w:eastAsia="Times New Roman" w:hAnsi="Calibri" w:cs="Calibri"/>
          <w:lang w:eastAsia="es-CO"/>
        </w:rPr>
        <w:t> </w:t>
      </w:r>
      <w:r w:rsidR="00CF54C4">
        <w:rPr>
          <w:rFonts w:ascii="Arial" w:eastAsia="Times New Roman" w:hAnsi="Arial" w:cs="Arial"/>
          <w:sz w:val="24"/>
          <w:szCs w:val="24"/>
          <w:lang w:eastAsia="es-CO"/>
        </w:rPr>
        <w:t>L</w:t>
      </w:r>
      <w:r w:rsidRPr="00C63186">
        <w:rPr>
          <w:rFonts w:ascii="Arial" w:eastAsia="Times New Roman" w:hAnsi="Arial" w:cs="Arial"/>
          <w:sz w:val="24"/>
          <w:szCs w:val="24"/>
          <w:lang w:eastAsia="es-CO"/>
        </w:rPr>
        <w:t xml:space="preserve">a inscripción </w:t>
      </w:r>
      <w:r w:rsidR="00CF54C4">
        <w:rPr>
          <w:rFonts w:ascii="Arial" w:eastAsia="Times New Roman" w:hAnsi="Arial" w:cs="Arial"/>
          <w:sz w:val="24"/>
          <w:szCs w:val="24"/>
          <w:lang w:eastAsia="es-CO"/>
        </w:rPr>
        <w:t>vigente</w:t>
      </w:r>
      <w:r w:rsidRPr="00C63186">
        <w:rPr>
          <w:rFonts w:ascii="Arial" w:eastAsia="Times New Roman" w:hAnsi="Arial" w:cs="Arial"/>
          <w:sz w:val="24"/>
          <w:szCs w:val="24"/>
          <w:lang w:eastAsia="es-CO"/>
        </w:rPr>
        <w:t xml:space="preserve"> en el Registro Único de Prestadores del Servicio (RUPS), al momento de presentación del respectivo proyecto ante FONENERGÍA para su viabilización.</w:t>
      </w:r>
    </w:p>
    <w:p w14:paraId="09B75953"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59EA6F30" w14:textId="3AAD5E0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4.</w:t>
      </w:r>
      <w:r w:rsidRPr="00C63186">
        <w:rPr>
          <w:rFonts w:ascii="Calibri" w:eastAsia="Times New Roman" w:hAnsi="Calibri" w:cs="Calibri"/>
          <w:lang w:eastAsia="es-CO"/>
        </w:rPr>
        <w:t> </w:t>
      </w:r>
      <w:r w:rsidR="004B5D52">
        <w:rPr>
          <w:rFonts w:ascii="Arial" w:eastAsia="Times New Roman" w:hAnsi="Arial" w:cs="Arial"/>
          <w:sz w:val="24"/>
          <w:szCs w:val="24"/>
          <w:lang w:eastAsia="es-CO"/>
        </w:rPr>
        <w:t>Que no</w:t>
      </w:r>
      <w:r w:rsidRPr="00C63186">
        <w:rPr>
          <w:rFonts w:ascii="Arial" w:eastAsia="Times New Roman" w:hAnsi="Arial" w:cs="Arial"/>
          <w:sz w:val="24"/>
          <w:szCs w:val="24"/>
          <w:lang w:eastAsia="es-CO"/>
        </w:rPr>
        <w:t xml:space="preserve"> se les haya terminado unilateralmente el respectivo contrato o carta compromisoria para ejecutar la administración, operación, mantenimiento y garantía de sostenibilidad de proyectos eléctricos, en los términos del artículo 288 de la Ley 1955 de 2019, adicionado por el artículo 30 de la Ley 2099 de 2021.</w:t>
      </w:r>
    </w:p>
    <w:p w14:paraId="11B85A75"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6873020F" w14:textId="0F954B6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5.</w:t>
      </w:r>
      <w:r w:rsidRPr="00C63186">
        <w:rPr>
          <w:rFonts w:ascii="Calibri" w:eastAsia="Times New Roman" w:hAnsi="Calibri" w:cs="Calibri"/>
          <w:lang w:eastAsia="es-CO"/>
        </w:rPr>
        <w:t> </w:t>
      </w:r>
      <w:r w:rsidR="004B5D52">
        <w:rPr>
          <w:rFonts w:ascii="Arial" w:eastAsia="Times New Roman" w:hAnsi="Arial" w:cs="Arial"/>
          <w:sz w:val="24"/>
          <w:szCs w:val="24"/>
          <w:lang w:eastAsia="es-CO"/>
        </w:rPr>
        <w:t>Que s</w:t>
      </w:r>
      <w:r w:rsidRPr="00C63186">
        <w:rPr>
          <w:rFonts w:ascii="Arial" w:eastAsia="Times New Roman" w:hAnsi="Arial" w:cs="Arial"/>
          <w:sz w:val="24"/>
          <w:szCs w:val="24"/>
          <w:lang w:eastAsia="es-CO"/>
        </w:rPr>
        <w:t xml:space="preserve">uperen y/o cumplan con los referentes técnicos y administrativos establecidos para evaluar la gestión y los resultados publicados por la Superintendencia de Servicios Públicos Domiciliarios (SSPD), de conformidad con lo dispuesto en las Resoluciones CREG 072 de 2002 y CREG 034 de 2004. </w:t>
      </w:r>
    </w:p>
    <w:p w14:paraId="1F22E533"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18BF90A6" w14:textId="64E4AA8A" w:rsidR="006C7D1F" w:rsidRPr="00060EE4" w:rsidRDefault="00060EE4" w:rsidP="00517B59">
      <w:pPr>
        <w:pStyle w:val="Ttulo5"/>
        <w:ind w:left="1008" w:hanging="1008"/>
      </w:pPr>
      <w:bookmarkStart w:id="150" w:name="_Toc205496163"/>
      <w:bookmarkStart w:id="151" w:name="_Toc219397271"/>
      <w:bookmarkStart w:id="152" w:name="_Toc224844369"/>
      <w:r w:rsidRPr="00060EE4">
        <w:rPr>
          <w:bCs/>
        </w:rPr>
        <w:lastRenderedPageBreak/>
        <w:t>III-3.</w:t>
      </w:r>
      <w:r w:rsidR="00D34480">
        <w:rPr>
          <w:bCs/>
        </w:rPr>
        <w:t>3</w:t>
      </w:r>
      <w:r w:rsidRPr="00060EE4">
        <w:rPr>
          <w:bCs/>
        </w:rPr>
        <w:t xml:space="preserve"> </w:t>
      </w:r>
      <w:r w:rsidR="006C7D1F" w:rsidRPr="00060EE4">
        <w:t>Acreditación de la capacidad financiera.</w:t>
      </w:r>
      <w:bookmarkEnd w:id="150"/>
      <w:bookmarkEnd w:id="151"/>
      <w:bookmarkEnd w:id="152"/>
    </w:p>
    <w:p w14:paraId="081CEFD9" w14:textId="77777777" w:rsidR="006C7D1F" w:rsidRPr="00C63186" w:rsidRDefault="006C7D1F" w:rsidP="008E39FD">
      <w:pPr>
        <w:shd w:val="clear" w:color="auto" w:fill="FFFFFF"/>
        <w:spacing w:after="0"/>
        <w:jc w:val="both"/>
        <w:rPr>
          <w:rFonts w:ascii="Arial" w:eastAsia="Times New Roman" w:hAnsi="Arial" w:cs="Arial"/>
          <w:b/>
          <w:bCs/>
          <w:i/>
          <w:iCs/>
          <w:sz w:val="24"/>
          <w:szCs w:val="24"/>
          <w:lang w:eastAsia="es-CO"/>
        </w:rPr>
      </w:pPr>
    </w:p>
    <w:p w14:paraId="592A0C81" w14:textId="77777777" w:rsidR="006C7D1F" w:rsidRPr="00C63186" w:rsidRDefault="006C7D1F" w:rsidP="008E39FD">
      <w:pPr>
        <w:shd w:val="clear" w:color="auto" w:fill="FFFFFF" w:themeFill="background1"/>
        <w:spacing w:after="0"/>
        <w:jc w:val="both"/>
        <w:rPr>
          <w:rFonts w:ascii="Arial" w:eastAsia="Times New Roman" w:hAnsi="Arial" w:cs="Arial"/>
          <w:b/>
          <w:bCs/>
          <w:i/>
          <w:iCs/>
          <w:sz w:val="24"/>
          <w:szCs w:val="24"/>
          <w:lang w:eastAsia="es-CO"/>
        </w:rPr>
      </w:pPr>
      <w:r w:rsidRPr="1A65CE1C">
        <w:rPr>
          <w:rFonts w:ascii="Arial" w:eastAsia="Times New Roman" w:hAnsi="Arial" w:cs="Arial"/>
          <w:sz w:val="24"/>
          <w:szCs w:val="24"/>
          <w:lang w:eastAsia="es-CO"/>
        </w:rPr>
        <w:t xml:space="preserve">El prestador del servicio público domiciliario de energía eléctrica que se comprometa a garantizar la sostenibilidad de proyectos eléctricos individuales </w:t>
      </w:r>
      <w:r>
        <w:rPr>
          <w:rFonts w:ascii="Arial" w:eastAsia="Times New Roman" w:hAnsi="Arial" w:cs="Arial"/>
          <w:sz w:val="24"/>
          <w:szCs w:val="24"/>
          <w:lang w:eastAsia="es-CO"/>
        </w:rPr>
        <w:t xml:space="preserve">o colectivas </w:t>
      </w:r>
      <w:r w:rsidRPr="1A65CE1C">
        <w:rPr>
          <w:rFonts w:ascii="Arial" w:eastAsia="Times New Roman" w:hAnsi="Arial" w:cs="Arial"/>
          <w:sz w:val="24"/>
          <w:szCs w:val="24"/>
          <w:lang w:eastAsia="es-CO"/>
        </w:rPr>
        <w:t xml:space="preserve">en Zonas No Interconectadas (ZNI), y/o ampliación de cobertura en el Sistema Interconectado Nacional y soluciones eléctricas individuales o colectivas en el Sistema Interconectado Nacional, deberá acreditar que cuenta con un patrimonio neto igual o superior al 20% por ciento del costo total del proyecto presentado para viabilización. Esta condición se verificará sobre los estados financieros certificados a 31 de diciembre de la anualidad inmediatamente anterior a la fecha de presentación del proyecto, según la normatividad comercial y contable aplicable. </w:t>
      </w:r>
    </w:p>
    <w:p w14:paraId="3D2EA54D" w14:textId="77777777" w:rsidR="006C7D1F" w:rsidRPr="00C63186" w:rsidRDefault="006C7D1F" w:rsidP="008E39FD">
      <w:pPr>
        <w:shd w:val="clear" w:color="auto" w:fill="FFFFFF"/>
        <w:spacing w:after="0"/>
        <w:jc w:val="both"/>
        <w:rPr>
          <w:rFonts w:ascii="Arial" w:eastAsia="Times New Roman" w:hAnsi="Arial" w:cs="Arial"/>
          <w:b/>
          <w:bCs/>
          <w:i/>
          <w:iCs/>
          <w:sz w:val="24"/>
          <w:szCs w:val="24"/>
          <w:lang w:eastAsia="es-CO"/>
        </w:rPr>
      </w:pPr>
    </w:p>
    <w:p w14:paraId="41885F27" w14:textId="412A0475" w:rsidR="006C7D1F" w:rsidRPr="00C513AB" w:rsidRDefault="00C513AB" w:rsidP="00517B59">
      <w:pPr>
        <w:pStyle w:val="Ttulo5"/>
        <w:ind w:left="1008" w:hanging="1008"/>
      </w:pPr>
      <w:bookmarkStart w:id="153" w:name="_Toc205496164"/>
      <w:bookmarkStart w:id="154" w:name="_Toc219397272"/>
      <w:bookmarkStart w:id="155" w:name="_Toc224844370"/>
      <w:r w:rsidRPr="00C513AB">
        <w:rPr>
          <w:bCs/>
        </w:rPr>
        <w:t>III</w:t>
      </w:r>
      <w:r w:rsidR="00317BEF" w:rsidRPr="00C513AB">
        <w:rPr>
          <w:bCs/>
        </w:rPr>
        <w:t>-3.</w:t>
      </w:r>
      <w:r w:rsidR="00D34480">
        <w:rPr>
          <w:bCs/>
        </w:rPr>
        <w:t>4</w:t>
      </w:r>
      <w:r w:rsidR="00317BEF" w:rsidRPr="00C513AB">
        <w:rPr>
          <w:bCs/>
        </w:rPr>
        <w:t xml:space="preserve"> </w:t>
      </w:r>
      <w:r w:rsidR="006C7D1F" w:rsidRPr="00C513AB">
        <w:t>Acreditación de la experiencia.</w:t>
      </w:r>
      <w:bookmarkEnd w:id="153"/>
      <w:bookmarkEnd w:id="154"/>
      <w:bookmarkEnd w:id="155"/>
      <w:r w:rsidR="006C7D1F" w:rsidRPr="00C513AB">
        <w:t xml:space="preserve"> </w:t>
      </w:r>
    </w:p>
    <w:p w14:paraId="27B72F64" w14:textId="77777777" w:rsidR="006C7D1F" w:rsidRPr="00C63186" w:rsidRDefault="006C7D1F" w:rsidP="008E39FD">
      <w:pPr>
        <w:shd w:val="clear" w:color="auto" w:fill="FFFFFF"/>
        <w:spacing w:after="0"/>
        <w:jc w:val="both"/>
        <w:rPr>
          <w:rFonts w:ascii="Arial" w:eastAsia="Times New Roman" w:hAnsi="Arial" w:cs="Arial"/>
          <w:sz w:val="24"/>
          <w:szCs w:val="24"/>
          <w:lang w:eastAsia="es-CO"/>
        </w:rPr>
      </w:pPr>
    </w:p>
    <w:p w14:paraId="39A1C919" w14:textId="77777777" w:rsidR="006C7D1F" w:rsidRPr="00C63186" w:rsidRDefault="006C7D1F" w:rsidP="008E39FD">
      <w:pPr>
        <w:shd w:val="clear" w:color="auto" w:fill="FFFFFF"/>
        <w:spacing w:after="0"/>
        <w:jc w:val="both"/>
        <w:rPr>
          <w:rFonts w:ascii="Arial" w:eastAsia="Times New Roman" w:hAnsi="Arial" w:cs="Arial"/>
          <w:sz w:val="24"/>
          <w:szCs w:val="24"/>
          <w:lang w:eastAsia="es-CO"/>
        </w:rPr>
      </w:pPr>
      <w:r w:rsidRPr="00C63186">
        <w:rPr>
          <w:rFonts w:ascii="Arial" w:eastAsia="Times New Roman" w:hAnsi="Arial" w:cs="Arial"/>
          <w:sz w:val="24"/>
          <w:szCs w:val="24"/>
          <w:lang w:eastAsia="es-CO"/>
        </w:rPr>
        <w:t>En relación con proyectos de energía eléctrica se tendrán en cuenta los siguientes aspectos:</w:t>
      </w:r>
    </w:p>
    <w:p w14:paraId="0EAC9FA6" w14:textId="77777777" w:rsidR="006C7D1F" w:rsidRPr="00C63186" w:rsidRDefault="006C7D1F" w:rsidP="008E39FD">
      <w:pPr>
        <w:shd w:val="clear" w:color="auto" w:fill="FFFFFF"/>
        <w:spacing w:after="0"/>
        <w:jc w:val="both"/>
        <w:rPr>
          <w:rFonts w:ascii="Arial" w:eastAsia="Times New Roman" w:hAnsi="Arial" w:cs="Arial"/>
          <w:sz w:val="24"/>
          <w:szCs w:val="24"/>
          <w:lang w:eastAsia="es-CO"/>
        </w:rPr>
      </w:pPr>
    </w:p>
    <w:p w14:paraId="0F75556F"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1.</w:t>
      </w:r>
      <w:r w:rsidRPr="00C63186">
        <w:rPr>
          <w:rFonts w:ascii="Calibri" w:eastAsia="Times New Roman" w:hAnsi="Calibri" w:cs="Calibri"/>
          <w:lang w:eastAsia="es-CO"/>
        </w:rPr>
        <w:t> </w:t>
      </w:r>
      <w:r w:rsidRPr="00C63186">
        <w:rPr>
          <w:rFonts w:ascii="Arial" w:eastAsia="Times New Roman" w:hAnsi="Arial" w:cs="Arial"/>
          <w:sz w:val="24"/>
          <w:szCs w:val="24"/>
          <w:lang w:eastAsia="es-CO"/>
        </w:rPr>
        <w:t>El prestador del servicio debe estar inscrito en el Registro Único de Prestadores del Servicio (RUPS), por un término mayor a un (1) año para el momento de presentación del respectivo proyecto ante el FONENERGÍA para su viabilización.</w:t>
      </w:r>
    </w:p>
    <w:p w14:paraId="235B4AA8"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004BE5E1" w14:textId="77777777" w:rsidR="006C7D1F" w:rsidRPr="00C63186" w:rsidRDefault="006C7D1F" w:rsidP="008E39FD">
      <w:pPr>
        <w:shd w:val="clear" w:color="auto" w:fill="FFFFFF" w:themeFill="background1"/>
        <w:spacing w:after="0"/>
        <w:jc w:val="both"/>
        <w:rPr>
          <w:rFonts w:ascii="Calibri" w:eastAsia="Times New Roman" w:hAnsi="Calibri" w:cs="Calibri"/>
          <w:lang w:eastAsia="es-CO"/>
        </w:rPr>
      </w:pPr>
      <w:r w:rsidRPr="1A65CE1C">
        <w:rPr>
          <w:rFonts w:ascii="Arial" w:eastAsia="Times New Roman" w:hAnsi="Arial" w:cs="Arial"/>
          <w:sz w:val="24"/>
          <w:szCs w:val="24"/>
          <w:lang w:eastAsia="es-CO"/>
        </w:rPr>
        <w:t>2.</w:t>
      </w:r>
      <w:r w:rsidRPr="1A65CE1C">
        <w:rPr>
          <w:rFonts w:ascii="Calibri" w:eastAsia="Times New Roman" w:hAnsi="Calibri" w:cs="Calibri"/>
          <w:lang w:eastAsia="es-CO"/>
        </w:rPr>
        <w:t> </w:t>
      </w:r>
      <w:r w:rsidRPr="1A65CE1C">
        <w:rPr>
          <w:rFonts w:ascii="Arial" w:eastAsia="Times New Roman" w:hAnsi="Arial" w:cs="Arial"/>
          <w:sz w:val="24"/>
          <w:szCs w:val="24"/>
          <w:lang w:eastAsia="es-CO"/>
        </w:rPr>
        <w:t>El prestador del servicio haya realizado de manera ininterrumpida la prestación del servicio público domiciliario de energía eléctrica durante un (1) año, mediante soluciones eléctricas individuales o colectivas en las zonas no interconectadas, o de ampliación de cobertura o soluciones eléctricas individuales o colectivas en el Sistema Interconectado Nacional o de ampliación de cobertura de gas combustible. De manera sustitutiva, el prestador podrá acreditar que cuenta con experiencia no menor a dos (2) años en la prestación del servicio a usuarios regulados en el Sistema Interconectado Nacional o en las Zonas No Interconectadas.</w:t>
      </w:r>
    </w:p>
    <w:p w14:paraId="7ABE89DA"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7ABB7B56"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Este requisito se acreditará con la información reportada al Sistema Único de Información de los Servicios Públicos (SUI) administrado por la Superintendencia de Servicios Públicos Domiciliarios.</w:t>
      </w:r>
    </w:p>
    <w:p w14:paraId="0577864F" w14:textId="77777777" w:rsidR="006C7D1F" w:rsidRPr="00C63186" w:rsidRDefault="006C7D1F" w:rsidP="008E39FD">
      <w:pPr>
        <w:shd w:val="clear" w:color="auto" w:fill="FFFFFF"/>
        <w:spacing w:after="0"/>
        <w:jc w:val="both"/>
        <w:rPr>
          <w:rFonts w:ascii="Calibri" w:eastAsia="Times New Roman" w:hAnsi="Calibri" w:cs="Calibri"/>
          <w:lang w:eastAsia="es-CO"/>
        </w:rPr>
      </w:pPr>
      <w:r w:rsidRPr="00C63186">
        <w:rPr>
          <w:rFonts w:ascii="Arial" w:eastAsia="Times New Roman" w:hAnsi="Arial" w:cs="Arial"/>
          <w:sz w:val="24"/>
          <w:szCs w:val="24"/>
          <w:lang w:eastAsia="es-CO"/>
        </w:rPr>
        <w:t> </w:t>
      </w:r>
    </w:p>
    <w:p w14:paraId="5568461C" w14:textId="77777777" w:rsidR="006C7D1F" w:rsidRPr="00C63186" w:rsidRDefault="006C7D1F" w:rsidP="008E39FD">
      <w:pPr>
        <w:shd w:val="clear" w:color="auto" w:fill="FFFFFF" w:themeFill="background1"/>
        <w:spacing w:after="0"/>
        <w:jc w:val="both"/>
        <w:rPr>
          <w:rFonts w:ascii="Calibri" w:eastAsia="Times New Roman" w:hAnsi="Calibri" w:cs="Calibri"/>
          <w:lang w:eastAsia="es-CO"/>
        </w:rPr>
      </w:pPr>
      <w:r w:rsidRPr="1A65CE1C">
        <w:rPr>
          <w:rFonts w:ascii="Arial" w:eastAsia="Times New Roman" w:hAnsi="Arial" w:cs="Arial"/>
          <w:sz w:val="24"/>
          <w:szCs w:val="24"/>
          <w:lang w:eastAsia="es-CO"/>
        </w:rPr>
        <w:t>3.</w:t>
      </w:r>
      <w:r w:rsidRPr="1A65CE1C">
        <w:rPr>
          <w:rFonts w:ascii="Calibri" w:eastAsia="Times New Roman" w:hAnsi="Calibri" w:cs="Calibri"/>
          <w:lang w:eastAsia="es-CO"/>
        </w:rPr>
        <w:t> </w:t>
      </w:r>
      <w:r w:rsidRPr="1A65CE1C">
        <w:rPr>
          <w:rFonts w:ascii="Arial" w:eastAsia="Times New Roman" w:hAnsi="Arial" w:cs="Arial"/>
          <w:sz w:val="24"/>
          <w:szCs w:val="24"/>
          <w:lang w:eastAsia="es-CO"/>
        </w:rPr>
        <w:t xml:space="preserve">El prestador del servicio acredite que atiende comercialmente a un número de usuarios regulados igual o superior al 50% por ciento del total de usuarios que se pretende beneficiar con el respectivo proyecto eléctrico a financiar con recursos públicos, lo cual demostrará con la información reportada al Sistema Único de información de los Servicios Públicos (SUI). </w:t>
      </w:r>
    </w:p>
    <w:p w14:paraId="1C568FF8" w14:textId="77777777" w:rsidR="006C7D1F" w:rsidRPr="00C63186" w:rsidRDefault="006C7D1F" w:rsidP="008E39FD">
      <w:pPr>
        <w:shd w:val="clear" w:color="auto" w:fill="FFFFFF"/>
        <w:spacing w:after="0"/>
        <w:jc w:val="both"/>
        <w:rPr>
          <w:rFonts w:ascii="Calibri" w:eastAsia="Times New Roman" w:hAnsi="Calibri" w:cs="Calibri"/>
          <w:lang w:eastAsia="es-CO"/>
        </w:rPr>
      </w:pPr>
    </w:p>
    <w:p w14:paraId="3FDDD0DF" w14:textId="1A64E6E2" w:rsidR="006C7D1F" w:rsidRPr="00060EE4" w:rsidRDefault="00060EE4" w:rsidP="00517B59">
      <w:pPr>
        <w:pStyle w:val="Ttulo5"/>
        <w:ind w:left="1008" w:hanging="1008"/>
      </w:pPr>
      <w:bookmarkStart w:id="156" w:name="_Toc205496165"/>
      <w:bookmarkStart w:id="157" w:name="_Toc219397273"/>
      <w:bookmarkStart w:id="158" w:name="_Toc224844371"/>
      <w:r w:rsidRPr="00060EE4">
        <w:rPr>
          <w:bCs/>
        </w:rPr>
        <w:t>III-3.</w:t>
      </w:r>
      <w:r w:rsidR="00D34480">
        <w:rPr>
          <w:bCs/>
        </w:rPr>
        <w:t>5</w:t>
      </w:r>
      <w:r w:rsidRPr="00060EE4">
        <w:rPr>
          <w:bCs/>
        </w:rPr>
        <w:t xml:space="preserve"> </w:t>
      </w:r>
      <w:r w:rsidR="006C7D1F" w:rsidRPr="00060EE4">
        <w:t>Acreditación de parámetros adicionales</w:t>
      </w:r>
      <w:bookmarkEnd w:id="156"/>
      <w:bookmarkEnd w:id="157"/>
      <w:bookmarkEnd w:id="158"/>
    </w:p>
    <w:p w14:paraId="3BA2C232" w14:textId="77777777" w:rsidR="006C7D1F" w:rsidRPr="00C63186" w:rsidRDefault="006C7D1F" w:rsidP="008E39FD">
      <w:pPr>
        <w:shd w:val="clear" w:color="auto" w:fill="FFFFFF"/>
        <w:spacing w:after="0"/>
        <w:jc w:val="both"/>
        <w:rPr>
          <w:rFonts w:ascii="Arial" w:eastAsia="Times New Roman" w:hAnsi="Arial" w:cs="Arial"/>
          <w:b/>
          <w:bCs/>
          <w:sz w:val="24"/>
          <w:szCs w:val="24"/>
          <w:lang w:eastAsia="es-CO"/>
        </w:rPr>
      </w:pPr>
    </w:p>
    <w:p w14:paraId="6E00C111" w14:textId="77777777" w:rsidR="006C7D1F" w:rsidRPr="00C63186" w:rsidRDefault="006C7D1F" w:rsidP="008E39FD">
      <w:pPr>
        <w:suppressAutoHyphens w:val="0"/>
        <w:spacing w:after="160"/>
        <w:jc w:val="both"/>
        <w:rPr>
          <w:rFonts w:ascii="Arial" w:hAnsi="Arial" w:cs="Arial"/>
          <w:kern w:val="2"/>
          <w:sz w:val="24"/>
          <w:szCs w:val="24"/>
          <w14:ligatures w14:val="standardContextual"/>
        </w:rPr>
      </w:pPr>
      <w:r w:rsidRPr="00C63186">
        <w:rPr>
          <w:rFonts w:ascii="Arial" w:hAnsi="Arial" w:cs="Arial"/>
          <w:kern w:val="2"/>
          <w:sz w:val="24"/>
          <w:szCs w:val="24"/>
          <w14:ligatures w14:val="standardContextual"/>
        </w:rPr>
        <w:t>Para la aprobación de recursos por parte del Comité de Administración del Fondo se deberá acreditar que el proyecto presentado:</w:t>
      </w:r>
    </w:p>
    <w:p w14:paraId="2DFB9F44" w14:textId="77777777" w:rsidR="006C7D1F" w:rsidRPr="00C63186" w:rsidRDefault="006C7D1F" w:rsidP="008E39FD">
      <w:pPr>
        <w:shd w:val="clear" w:color="auto" w:fill="FFFFFF" w:themeFill="background1"/>
        <w:spacing w:after="0"/>
        <w:jc w:val="both"/>
        <w:rPr>
          <w:rFonts w:ascii="Arial" w:eastAsia="Times New Roman" w:hAnsi="Arial" w:cs="Arial"/>
          <w:sz w:val="24"/>
          <w:szCs w:val="24"/>
          <w:lang w:eastAsia="es-CO"/>
        </w:rPr>
      </w:pPr>
      <w:r w:rsidRPr="00C63186">
        <w:rPr>
          <w:rFonts w:ascii="Arial" w:eastAsia="Times New Roman" w:hAnsi="Arial" w:cs="Arial"/>
          <w:sz w:val="24"/>
          <w:szCs w:val="24"/>
          <w:lang w:eastAsia="es-CO"/>
        </w:rPr>
        <w:t>1) No se encuentre incluido en el Plan Quinquenal de Inversiones, ni en el Plan de Expansión de Cobertura de los Operadores de Red (PECOR) establecidos en los capítulos 6 y 13 de la Resolución CREG No. 015 de 2018 o la norma que la modifique o sustituya.</w:t>
      </w:r>
    </w:p>
    <w:p w14:paraId="2919B15F" w14:textId="77777777" w:rsidR="006C7D1F" w:rsidRPr="00C63186" w:rsidRDefault="006C7D1F" w:rsidP="008E39FD">
      <w:pPr>
        <w:shd w:val="clear" w:color="auto" w:fill="FFFFFF" w:themeFill="background1"/>
        <w:spacing w:after="0"/>
        <w:jc w:val="both"/>
        <w:rPr>
          <w:rFonts w:ascii="Arial" w:eastAsia="Times New Roman" w:hAnsi="Arial" w:cs="Arial"/>
          <w:sz w:val="24"/>
          <w:szCs w:val="24"/>
          <w:lang w:eastAsia="es-CO"/>
        </w:rPr>
      </w:pPr>
    </w:p>
    <w:p w14:paraId="59B64FCB" w14:textId="77777777" w:rsidR="006C7D1F" w:rsidRPr="00C63186" w:rsidRDefault="006C7D1F" w:rsidP="008E39FD">
      <w:pPr>
        <w:shd w:val="clear" w:color="auto" w:fill="FFFFFF"/>
        <w:spacing w:after="0"/>
        <w:jc w:val="both"/>
        <w:rPr>
          <w:rFonts w:ascii="Arial" w:eastAsia="Times New Roman" w:hAnsi="Arial" w:cs="Arial"/>
          <w:sz w:val="24"/>
          <w:szCs w:val="24"/>
          <w:lang w:eastAsia="es-CO"/>
        </w:rPr>
      </w:pPr>
      <w:r w:rsidRPr="00C63186">
        <w:rPr>
          <w:rFonts w:ascii="Arial" w:eastAsia="Times New Roman" w:hAnsi="Arial" w:cs="Arial"/>
          <w:sz w:val="24"/>
          <w:szCs w:val="24"/>
          <w:lang w:eastAsia="es-CO"/>
        </w:rPr>
        <w:t>2) El Prestador del Servicio haya solicitado la remuneración de las inversiones máximas prevista en el capítulo 13 de la Resolución CREG número 015 de 2018 o la norma que la modifique o sustituya.</w:t>
      </w:r>
    </w:p>
    <w:p w14:paraId="4220071F" w14:textId="77777777" w:rsidR="006C7D1F" w:rsidRPr="00C63186" w:rsidRDefault="006C7D1F" w:rsidP="008E39FD">
      <w:pPr>
        <w:shd w:val="clear" w:color="auto" w:fill="FFFFFF"/>
        <w:spacing w:after="0"/>
        <w:jc w:val="both"/>
        <w:rPr>
          <w:rFonts w:ascii="Arial" w:eastAsia="Times New Roman" w:hAnsi="Arial" w:cs="Arial"/>
          <w:sz w:val="24"/>
          <w:szCs w:val="24"/>
          <w:lang w:eastAsia="es-CO"/>
        </w:rPr>
      </w:pPr>
    </w:p>
    <w:p w14:paraId="61BE0B13" w14:textId="77777777" w:rsidR="006C7D1F" w:rsidRPr="00C63186" w:rsidRDefault="006C7D1F" w:rsidP="008E39FD">
      <w:pPr>
        <w:suppressAutoHyphens w:val="0"/>
        <w:spacing w:after="160"/>
        <w:jc w:val="both"/>
        <w:rPr>
          <w:rFonts w:ascii="Arial" w:hAnsi="Arial" w:cs="Arial"/>
          <w:kern w:val="2"/>
          <w:sz w:val="24"/>
          <w:szCs w:val="24"/>
          <w14:ligatures w14:val="standardContextual"/>
        </w:rPr>
      </w:pPr>
      <w:r w:rsidRPr="00C63186">
        <w:rPr>
          <w:rFonts w:ascii="Arial" w:hAnsi="Arial" w:cs="Arial"/>
          <w:kern w:val="2"/>
          <w:sz w:val="24"/>
          <w:szCs w:val="24"/>
          <w14:ligatures w14:val="standardContextual"/>
        </w:rPr>
        <w:t>El cumplimiento de estos requisitos será certificado por la Comisión de Regulación de Energía y Gas (CREG).</w:t>
      </w:r>
    </w:p>
    <w:p w14:paraId="52BBB76F" w14:textId="77777777" w:rsidR="006C7D1F" w:rsidRPr="00C63186" w:rsidRDefault="006C7D1F" w:rsidP="008E39FD">
      <w:pPr>
        <w:suppressAutoHyphens w:val="0"/>
        <w:spacing w:after="160"/>
        <w:jc w:val="both"/>
        <w:rPr>
          <w:rFonts w:ascii="Arial" w:hAnsi="Arial" w:cs="Arial"/>
          <w:kern w:val="2"/>
          <w:sz w:val="24"/>
          <w:szCs w:val="24"/>
          <w14:ligatures w14:val="standardContextual"/>
        </w:rPr>
      </w:pPr>
      <w:r w:rsidRPr="00C63186">
        <w:rPr>
          <w:rFonts w:ascii="Arial" w:hAnsi="Arial" w:cs="Arial"/>
          <w:kern w:val="2"/>
          <w:sz w:val="24"/>
          <w:szCs w:val="24"/>
          <w14:ligatures w14:val="standardContextual"/>
        </w:rPr>
        <w:t>Sin perjuicio de lo anterior, excepcionalmente podrá asignar recursos a proyectos que no cumplan esta característica, siempre y cuando el Ministerio de Minas y Energía identifique el mismo como de interés nacional por su potencial impacto social y energético, previo concepto de la Dirección de Energía Eléctrica o quien haga sus veces. Para estos efectos, el Ministerio de Minas y Energía podrá solicitar un concepto técnico a la Unidad de Planeación Minero Energética-UPME, el que contendrá un análisis de los posibles efectos energéticos de los proyectos a los que se refiere este inciso, con miras a que el Ministerio pueda establecer si es necesaria su identificación como proyecto de interés nacional.</w:t>
      </w:r>
    </w:p>
    <w:p w14:paraId="37F30A79" w14:textId="4F8332D3" w:rsidR="006C7D1F" w:rsidRDefault="006C7D1F" w:rsidP="008E39FD">
      <w:pPr>
        <w:suppressAutoHyphens w:val="0"/>
        <w:spacing w:after="160"/>
        <w:jc w:val="both"/>
        <w:rPr>
          <w:rFonts w:ascii="Arial" w:hAnsi="Arial" w:cs="Arial"/>
          <w:kern w:val="2"/>
          <w:sz w:val="24"/>
          <w:szCs w:val="24"/>
          <w14:ligatures w14:val="standardContextual"/>
        </w:rPr>
      </w:pPr>
      <w:r w:rsidRPr="00C63186">
        <w:rPr>
          <w:rFonts w:ascii="Arial" w:hAnsi="Arial" w:cs="Arial"/>
          <w:kern w:val="2"/>
          <w:sz w:val="24"/>
          <w:szCs w:val="24"/>
          <w14:ligatures w14:val="standardContextual"/>
        </w:rPr>
        <w:t>Lo anterior no aplica para los proyectos de ampliación de cobertura que presenten los entes territoriales, prestadores del servicio de las Zonas No Interconectadas o el Instituto de Planificación y Promoción de Soluciones Energéticas para las Zonas No Interconectadas – IPSE.</w:t>
      </w:r>
    </w:p>
    <w:p w14:paraId="068FBE1F" w14:textId="64287EEC" w:rsidR="5D146CA7" w:rsidRDefault="00915957" w:rsidP="00517B59">
      <w:pPr>
        <w:pStyle w:val="Ttulo3"/>
        <w:jc w:val="center"/>
      </w:pPr>
      <w:bookmarkStart w:id="159" w:name="_Toc224844372"/>
      <w:r>
        <w:t xml:space="preserve">CAPÍTULO </w:t>
      </w:r>
      <w:r w:rsidR="00AE2B81">
        <w:t>IV</w:t>
      </w:r>
      <w:bookmarkEnd w:id="159"/>
    </w:p>
    <w:p w14:paraId="79D802E4" w14:textId="18F602B5" w:rsidR="00B27B57" w:rsidRDefault="00B27B57" w:rsidP="00517B59">
      <w:pPr>
        <w:pStyle w:val="Ttulo4"/>
        <w:jc w:val="center"/>
      </w:pPr>
      <w:bookmarkStart w:id="160" w:name="_Toc224844373"/>
      <w:r>
        <w:t>PRIORIZACIÓN</w:t>
      </w:r>
      <w:bookmarkEnd w:id="160"/>
    </w:p>
    <w:p w14:paraId="00187986" w14:textId="77777777" w:rsidR="00BA116F" w:rsidRPr="00BA116F" w:rsidRDefault="00BA116F" w:rsidP="00BA116F"/>
    <w:p w14:paraId="07F16437" w14:textId="4EC213AA" w:rsidR="009E0388" w:rsidRPr="000E413B" w:rsidRDefault="000E413B" w:rsidP="00517B59">
      <w:pPr>
        <w:pStyle w:val="Ttulo5"/>
        <w:ind w:left="1008" w:hanging="1008"/>
      </w:pPr>
      <w:bookmarkStart w:id="161" w:name="_Toc224844374"/>
      <w:bookmarkStart w:id="162" w:name="_Hlk219711697"/>
      <w:r w:rsidRPr="000E413B">
        <w:t xml:space="preserve">III-4.1 </w:t>
      </w:r>
      <w:r w:rsidR="00A40916" w:rsidRPr="000E413B">
        <w:t xml:space="preserve">Criterios de </w:t>
      </w:r>
      <w:r w:rsidR="00786697">
        <w:t>p</w:t>
      </w:r>
      <w:r w:rsidR="00A40916" w:rsidRPr="000E413B">
        <w:t xml:space="preserve">riorización </w:t>
      </w:r>
      <w:r w:rsidR="00786697">
        <w:t>p</w:t>
      </w:r>
      <w:r w:rsidR="00A40916" w:rsidRPr="000E413B">
        <w:t xml:space="preserve">ara </w:t>
      </w:r>
      <w:r w:rsidR="00786697">
        <w:t>p</w:t>
      </w:r>
      <w:r w:rsidR="00A40916" w:rsidRPr="000E413B">
        <w:t>royecto</w:t>
      </w:r>
      <w:r w:rsidR="00786697">
        <w:t>s</w:t>
      </w:r>
      <w:r w:rsidR="00A40916" w:rsidRPr="000E413B">
        <w:t xml:space="preserve"> de </w:t>
      </w:r>
      <w:r w:rsidR="00786697">
        <w:t>e</w:t>
      </w:r>
      <w:r w:rsidR="00A40916" w:rsidRPr="000E413B">
        <w:t xml:space="preserve">nergía </w:t>
      </w:r>
      <w:r w:rsidR="00786697">
        <w:t>e</w:t>
      </w:r>
      <w:r w:rsidR="00A40916" w:rsidRPr="000E413B">
        <w:t>léctrica</w:t>
      </w:r>
      <w:bookmarkEnd w:id="161"/>
    </w:p>
    <w:bookmarkEnd w:id="162"/>
    <w:p w14:paraId="57821B96" w14:textId="77777777" w:rsidR="002E3DB0" w:rsidRDefault="002E3DB0" w:rsidP="008E39FD">
      <w:pPr>
        <w:suppressAutoHyphens w:val="0"/>
        <w:spacing w:after="0"/>
        <w:jc w:val="both"/>
        <w:rPr>
          <w:rFonts w:ascii="Arial" w:eastAsia="Times New Roman" w:hAnsi="Arial" w:cs="Arial"/>
          <w:spacing w:val="2"/>
          <w:sz w:val="24"/>
          <w:szCs w:val="24"/>
          <w:lang w:eastAsia="es-CO"/>
        </w:rPr>
      </w:pPr>
    </w:p>
    <w:p w14:paraId="6CD8A0E0" w14:textId="5429828C" w:rsidR="009E0388" w:rsidRPr="00C63186" w:rsidRDefault="2283D05A" w:rsidP="008E39FD">
      <w:pPr>
        <w:suppressAutoHyphens w:val="0"/>
        <w:spacing w:after="0"/>
        <w:jc w:val="both"/>
        <w:rPr>
          <w:rFonts w:cs="Arial"/>
        </w:rPr>
      </w:pPr>
      <w:r w:rsidRPr="00C63186">
        <w:rPr>
          <w:rFonts w:ascii="Arial" w:eastAsia="Times New Roman" w:hAnsi="Arial" w:cs="Arial"/>
          <w:spacing w:val="2"/>
          <w:sz w:val="24"/>
          <w:szCs w:val="24"/>
          <w:lang w:eastAsia="es-CO"/>
        </w:rPr>
        <w:t>Para la asignación de recursos por parte del FONENERGÍA</w:t>
      </w:r>
      <w:r>
        <w:rPr>
          <w:rFonts w:ascii="Arial" w:eastAsia="Times New Roman" w:hAnsi="Arial" w:cs="Arial"/>
          <w:spacing w:val="2"/>
          <w:sz w:val="24"/>
          <w:szCs w:val="24"/>
          <w:lang w:eastAsia="es-CO"/>
        </w:rPr>
        <w:t xml:space="preserve"> para proyectos de ampliación de cobertura, mejoramiento y normalización de redes eléctricas</w:t>
      </w:r>
      <w:r w:rsidRPr="00C63186">
        <w:rPr>
          <w:rFonts w:ascii="Arial" w:eastAsia="Times New Roman" w:hAnsi="Arial" w:cs="Arial"/>
          <w:spacing w:val="2"/>
          <w:sz w:val="24"/>
          <w:szCs w:val="24"/>
          <w:lang w:eastAsia="es-CO"/>
        </w:rPr>
        <w:t>, se tendrán en cuenta los siguientes criterios de elegibilidad de proyectos eléctricos:</w:t>
      </w:r>
    </w:p>
    <w:p w14:paraId="4DA0939B" w14:textId="77777777" w:rsidR="009E0388" w:rsidRPr="00C63186" w:rsidRDefault="009E0388" w:rsidP="008E39FD">
      <w:pPr>
        <w:pStyle w:val="Textoindependiente"/>
        <w:spacing w:line="276" w:lineRule="auto"/>
        <w:contextualSpacing/>
        <w:rPr>
          <w:rFonts w:cs="Arial"/>
        </w:rPr>
      </w:pPr>
    </w:p>
    <w:p w14:paraId="01F9F60A" w14:textId="24FF5D48" w:rsidR="00F11382" w:rsidRPr="00F11382" w:rsidRDefault="009E0388" w:rsidP="00F11382">
      <w:pPr>
        <w:pStyle w:val="Textoindependiente"/>
        <w:spacing w:line="276" w:lineRule="auto"/>
        <w:contextualSpacing/>
        <w:jc w:val="center"/>
        <w:rPr>
          <w:rFonts w:cs="Arial"/>
          <w:i/>
          <w:iCs/>
        </w:rPr>
      </w:pPr>
      <m:oMath>
        <m:r>
          <w:rPr>
            <w:rFonts w:ascii="Cambria Math" w:hAnsi="Cambria Math" w:cs="Arial"/>
          </w:rPr>
          <m:t>OEP </m:t>
        </m:r>
      </m:oMath>
      <w:r w:rsidRPr="00C63186">
        <w:rPr>
          <w:rFonts w:cs="Arial"/>
          <w:i/>
        </w:rPr>
        <w:t xml:space="preserve">= </w:t>
      </w:r>
      <m:oMath>
        <m:f>
          <m:fPr>
            <m:ctrlPr>
              <w:rPr>
                <w:rFonts w:ascii="Cambria Math" w:hAnsi="Cambria Math" w:cs="Arial"/>
                <w:i/>
                <w:iCs/>
              </w:rPr>
            </m:ctrlPr>
          </m:fPr>
          <m:num>
            <m:sSub>
              <m:sSubPr>
                <m:ctrlPr>
                  <w:rPr>
                    <w:rFonts w:ascii="Cambria Math" w:hAnsi="Cambria Math" w:cs="Arial"/>
                    <w:i/>
                    <w:iCs/>
                  </w:rPr>
                </m:ctrlPr>
              </m:sSubPr>
              <m:e>
                <m:r>
                  <w:rPr>
                    <w:rFonts w:ascii="Cambria Math" w:hAnsi="Cambria Math" w:cs="Arial"/>
                  </w:rPr>
                  <m:t>UN</m:t>
                </m:r>
              </m:e>
              <m:sub>
                <m:r>
                  <w:rPr>
                    <w:rFonts w:ascii="Cambria Math" w:hAnsi="Cambria Math" w:cs="Arial"/>
                  </w:rPr>
                  <m:t>B</m:t>
                </m:r>
              </m:sub>
            </m:sSub>
          </m:num>
          <m:den>
            <m:sSub>
              <m:sSubPr>
                <m:ctrlPr>
                  <w:rPr>
                    <w:rFonts w:ascii="Cambria Math" w:hAnsi="Cambria Math" w:cs="Arial"/>
                    <w:i/>
                    <w:iCs/>
                  </w:rPr>
                </m:ctrlPr>
              </m:sSubPr>
              <m:e>
                <m:r>
                  <w:rPr>
                    <w:rFonts w:ascii="Cambria Math" w:hAnsi="Cambria Math" w:cs="Arial"/>
                  </w:rPr>
                  <m:t>UN</m:t>
                </m:r>
              </m:e>
              <m:sub>
                <m:r>
                  <w:rPr>
                    <w:rFonts w:ascii="Cambria Math" w:hAnsi="Cambria Math" w:cs="Arial"/>
                  </w:rPr>
                  <m:t>A</m:t>
                </m:r>
              </m:sub>
            </m:sSub>
          </m:den>
        </m:f>
        <m:r>
          <w:rPr>
            <w:rFonts w:ascii="Cambria Math" w:hAnsi="Cambria Math" w:cs="Arial"/>
          </w:rPr>
          <m:t>*20%+</m:t>
        </m:r>
        <m:f>
          <m:fPr>
            <m:ctrlPr>
              <w:rPr>
                <w:rFonts w:ascii="Cambria Math" w:hAnsi="Cambria Math" w:cs="Arial"/>
                <w:i/>
                <w:iCs/>
              </w:rPr>
            </m:ctrlPr>
          </m:fPr>
          <m:num>
            <m:sSub>
              <m:sSubPr>
                <m:ctrlPr>
                  <w:rPr>
                    <w:rFonts w:ascii="Cambria Math" w:hAnsi="Cambria Math" w:cs="Arial"/>
                    <w:i/>
                    <w:iCs/>
                  </w:rPr>
                </m:ctrlPr>
              </m:sSubPr>
              <m:e>
                <m:r>
                  <w:rPr>
                    <w:rFonts w:ascii="Cambria Math" w:hAnsi="Cambria Math" w:cs="Arial"/>
                  </w:rPr>
                  <m:t>UE</m:t>
                </m:r>
              </m:e>
              <m:sub>
                <m:r>
                  <w:rPr>
                    <w:rFonts w:ascii="Cambria Math" w:hAnsi="Cambria Math" w:cs="Arial"/>
                  </w:rPr>
                  <m:t>B</m:t>
                </m:r>
              </m:sub>
            </m:sSub>
          </m:num>
          <m:den>
            <m:sSub>
              <m:sSubPr>
                <m:ctrlPr>
                  <w:rPr>
                    <w:rFonts w:ascii="Cambria Math" w:hAnsi="Cambria Math" w:cs="Arial"/>
                    <w:i/>
                    <w:iCs/>
                  </w:rPr>
                </m:ctrlPr>
              </m:sSubPr>
              <m:e>
                <m:r>
                  <w:rPr>
                    <w:rFonts w:ascii="Cambria Math" w:hAnsi="Cambria Math" w:cs="Arial"/>
                  </w:rPr>
                  <m:t>UE</m:t>
                </m:r>
              </m:e>
              <m:sub>
                <m:r>
                  <w:rPr>
                    <w:rFonts w:ascii="Cambria Math" w:hAnsi="Cambria Math" w:cs="Arial"/>
                  </w:rPr>
                  <m:t>A</m:t>
                </m:r>
              </m:sub>
            </m:sSub>
          </m:den>
        </m:f>
        <m:r>
          <w:rPr>
            <w:rFonts w:ascii="Cambria Math" w:hAnsi="Cambria Math" w:cs="Arial"/>
          </w:rPr>
          <m:t>*5%+</m:t>
        </m:r>
        <m:f>
          <m:fPr>
            <m:ctrlPr>
              <w:rPr>
                <w:rFonts w:ascii="Cambria Math" w:hAnsi="Cambria Math" w:cs="Arial"/>
                <w:i/>
                <w:iCs/>
              </w:rPr>
            </m:ctrlPr>
          </m:fPr>
          <m:num>
            <m:sSub>
              <m:sSubPr>
                <m:ctrlPr>
                  <w:rPr>
                    <w:rFonts w:ascii="Cambria Math" w:hAnsi="Cambria Math" w:cs="Arial"/>
                    <w:i/>
                    <w:iCs/>
                  </w:rPr>
                </m:ctrlPr>
              </m:sSubPr>
              <m:e>
                <m:r>
                  <w:rPr>
                    <w:rFonts w:ascii="Cambria Math" w:hAnsi="Cambria Math" w:cs="Arial"/>
                  </w:rPr>
                  <m:t>CxU</m:t>
                </m:r>
              </m:e>
              <m:sub>
                <m:r>
                  <w:rPr>
                    <w:rFonts w:ascii="Cambria Math" w:hAnsi="Cambria Math" w:cs="Arial"/>
                  </w:rPr>
                  <m:t>A-A</m:t>
                </m:r>
              </m:sub>
            </m:sSub>
          </m:num>
          <m:den>
            <m:sSub>
              <m:sSubPr>
                <m:ctrlPr>
                  <w:rPr>
                    <w:rFonts w:ascii="Cambria Math" w:hAnsi="Cambria Math" w:cs="Arial"/>
                    <w:i/>
                    <w:iCs/>
                  </w:rPr>
                </m:ctrlPr>
              </m:sSubPr>
              <m:e>
                <m:r>
                  <w:rPr>
                    <w:rFonts w:ascii="Cambria Math" w:hAnsi="Cambria Math" w:cs="Arial"/>
                  </w:rPr>
                  <m:t>CxU</m:t>
                </m:r>
              </m:e>
              <m:sub>
                <m:r>
                  <w:rPr>
                    <w:rFonts w:ascii="Cambria Math" w:hAnsi="Cambria Math" w:cs="Arial"/>
                  </w:rPr>
                  <m:t>B</m:t>
                </m:r>
              </m:sub>
            </m:sSub>
            <m:r>
              <w:rPr>
                <w:rFonts w:ascii="Cambria Math" w:hAnsi="Cambria Math" w:cs="Arial"/>
              </w:rPr>
              <m:t>-A</m:t>
            </m:r>
          </m:den>
        </m:f>
        <m:r>
          <w:rPr>
            <w:rFonts w:ascii="Cambria Math" w:hAnsi="Cambria Math" w:cs="Arial"/>
          </w:rPr>
          <m:t>*20%+</m:t>
        </m:r>
        <m:f>
          <m:fPr>
            <m:ctrlPr>
              <w:rPr>
                <w:rFonts w:ascii="Cambria Math" w:hAnsi="Cambria Math" w:cs="Arial"/>
                <w:i/>
                <w:iCs/>
              </w:rPr>
            </m:ctrlPr>
          </m:fPr>
          <m:num>
            <m:sSub>
              <m:sSubPr>
                <m:ctrlPr>
                  <w:rPr>
                    <w:rFonts w:ascii="Cambria Math" w:hAnsi="Cambria Math" w:cs="Arial"/>
                    <w:i/>
                    <w:iCs/>
                  </w:rPr>
                </m:ctrlPr>
              </m:sSubPr>
              <m:e>
                <m:r>
                  <w:rPr>
                    <w:rFonts w:ascii="Cambria Math" w:hAnsi="Cambria Math" w:cs="Arial"/>
                  </w:rPr>
                  <m:t>CxU</m:t>
                </m:r>
              </m:e>
              <m:sub>
                <m:r>
                  <w:rPr>
                    <w:rFonts w:ascii="Cambria Math" w:hAnsi="Cambria Math" w:cs="Arial"/>
                  </w:rPr>
                  <m:t>A-MN</m:t>
                </m:r>
              </m:sub>
            </m:sSub>
          </m:num>
          <m:den>
            <m:sSub>
              <m:sSubPr>
                <m:ctrlPr>
                  <w:rPr>
                    <w:rFonts w:ascii="Cambria Math" w:hAnsi="Cambria Math" w:cs="Arial"/>
                    <w:i/>
                    <w:iCs/>
                  </w:rPr>
                </m:ctrlPr>
              </m:sSubPr>
              <m:e>
                <m:r>
                  <w:rPr>
                    <w:rFonts w:ascii="Cambria Math" w:hAnsi="Cambria Math" w:cs="Arial"/>
                  </w:rPr>
                  <m:t>CxU</m:t>
                </m:r>
              </m:e>
              <m:sub>
                <m:r>
                  <w:rPr>
                    <w:rFonts w:ascii="Cambria Math" w:hAnsi="Cambria Math" w:cs="Arial"/>
                  </w:rPr>
                  <m:t>B</m:t>
                </m:r>
              </m:sub>
            </m:sSub>
            <m:r>
              <w:rPr>
                <w:rFonts w:ascii="Cambria Math" w:hAnsi="Cambria Math" w:cs="Arial"/>
              </w:rPr>
              <m:t>-MN</m:t>
            </m:r>
          </m:den>
        </m:f>
        <m:r>
          <w:rPr>
            <w:rFonts w:ascii="Cambria Math" w:hAnsi="Cambria Math" w:cs="Arial"/>
          </w:rPr>
          <m:t>*5%+</m:t>
        </m:r>
        <m:sPre>
          <m:sPrePr>
            <m:ctrlPr>
              <w:rPr>
                <w:rFonts w:ascii="Cambria Math" w:hAnsi="Cambria Math" w:cs="Arial"/>
                <w:i/>
              </w:rPr>
            </m:ctrlPr>
          </m:sPrePr>
          <m:sub>
            <m:r>
              <w:rPr>
                <w:rFonts w:ascii="Cambria Math" w:hAnsi="Cambria Math" w:cs="Arial"/>
              </w:rPr>
              <m:t>C mnpio</m:t>
            </m:r>
          </m:sub>
          <m:sup>
            <m:r>
              <w:rPr>
                <w:rFonts w:ascii="Cambria Math" w:hAnsi="Cambria Math" w:cs="Arial"/>
              </w:rPr>
              <m:t>FNCER</m:t>
            </m:r>
          </m:sup>
          <m:e>
            <m:r>
              <w:rPr>
                <w:rFonts w:ascii="Cambria Math" w:hAnsi="Cambria Math" w:cs="Arial"/>
              </w:rPr>
              <m:t>*15 %</m:t>
            </m:r>
          </m:e>
        </m:sPre>
        <m:r>
          <w:rPr>
            <w:rFonts w:ascii="Cambria Math" w:hAnsi="Cambria Math" w:cs="Arial"/>
          </w:rPr>
          <m:t>+</m:t>
        </m:r>
        <m:sSub>
          <m:sSubPr>
            <m:ctrlPr>
              <w:rPr>
                <w:rFonts w:ascii="Cambria Math" w:hAnsi="Cambria Math" w:cs="Arial"/>
                <w:i/>
              </w:rPr>
            </m:ctrlPr>
          </m:sSubPr>
          <m:e>
            <m:r>
              <w:rPr>
                <w:rFonts w:ascii="Cambria Math" w:hAnsi="Cambria Math" w:cs="Arial"/>
              </w:rPr>
              <m:t>M</m:t>
            </m:r>
          </m:e>
          <m:sub>
            <m:r>
              <w:rPr>
                <w:rFonts w:ascii="Cambria Math" w:hAnsi="Cambria Math" w:cs="Arial"/>
              </w:rPr>
              <m:t>PAZ</m:t>
            </m:r>
          </m:sub>
        </m:sSub>
        <m:r>
          <w:rPr>
            <w:rFonts w:ascii="Cambria Math" w:hAnsi="Cambria Math" w:cs="Arial"/>
          </w:rPr>
          <m:t>*15%+</m:t>
        </m:r>
        <m:sSub>
          <m:sSubPr>
            <m:ctrlPr>
              <w:rPr>
                <w:rFonts w:ascii="Cambria Math" w:hAnsi="Cambria Math" w:cs="Arial"/>
                <w:i/>
              </w:rPr>
            </m:ctrlPr>
          </m:sSubPr>
          <m:e>
            <m:r>
              <w:rPr>
                <w:rFonts w:ascii="Cambria Math" w:hAnsi="Cambria Math" w:cs="Arial"/>
              </w:rPr>
              <m:t>E</m:t>
            </m:r>
          </m:e>
          <m:sub>
            <m:r>
              <w:rPr>
                <w:rFonts w:ascii="Cambria Math" w:hAnsi="Cambria Math" w:cs="Arial"/>
              </w:rPr>
              <m:t>tnicos</m:t>
            </m:r>
          </m:sub>
        </m:sSub>
        <m:r>
          <w:rPr>
            <w:rFonts w:ascii="Cambria Math" w:hAnsi="Cambria Math" w:cs="Arial"/>
          </w:rPr>
          <m:t>*10%+</m:t>
        </m:r>
        <m:f>
          <m:fPr>
            <m:ctrlPr>
              <w:rPr>
                <w:rFonts w:ascii="Cambria Math" w:hAnsi="Cambria Math" w:cs="Arial"/>
                <w:spacing w:val="2"/>
                <w:szCs w:val="24"/>
                <w:lang w:eastAsia="es-CO"/>
              </w:rPr>
            </m:ctrlPr>
          </m:fPr>
          <m:num>
            <m:sSub>
              <m:sSubPr>
                <m:ctrlPr>
                  <w:rPr>
                    <w:rFonts w:ascii="Cambria Math" w:hAnsi="Cambria Math" w:cs="Arial"/>
                    <w:spacing w:val="2"/>
                    <w:szCs w:val="24"/>
                    <w:lang w:eastAsia="es-CO"/>
                  </w:rPr>
                </m:ctrlPr>
              </m:sSubPr>
              <m:e>
                <m:r>
                  <w:rPr>
                    <w:rFonts w:ascii="Cambria Math" w:hAnsi="Cambria Math" w:cs="Arial"/>
                    <w:spacing w:val="2"/>
                    <w:szCs w:val="24"/>
                    <w:lang w:eastAsia="es-CO"/>
                  </w:rPr>
                  <m:t>Cof</m:t>
                </m:r>
              </m:e>
              <m:sub>
                <m:r>
                  <w:rPr>
                    <w:rFonts w:ascii="Cambria Math" w:hAnsi="Cambria Math" w:cs="Arial"/>
                    <w:spacing w:val="2"/>
                    <w:szCs w:val="24"/>
                    <w:lang w:eastAsia="es-CO"/>
                  </w:rPr>
                  <m:t>B</m:t>
                </m:r>
              </m:sub>
            </m:sSub>
          </m:num>
          <m:den>
            <m:sSub>
              <m:sSubPr>
                <m:ctrlPr>
                  <w:rPr>
                    <w:rFonts w:ascii="Cambria Math" w:hAnsi="Cambria Math" w:cs="Arial"/>
                    <w:spacing w:val="2"/>
                    <w:szCs w:val="24"/>
                    <w:lang w:eastAsia="es-CO"/>
                  </w:rPr>
                </m:ctrlPr>
              </m:sSubPr>
              <m:e>
                <m:r>
                  <w:rPr>
                    <w:rFonts w:ascii="Cambria Math" w:hAnsi="Cambria Math" w:cs="Arial"/>
                    <w:spacing w:val="2"/>
                    <w:szCs w:val="24"/>
                    <w:lang w:eastAsia="es-CO"/>
                  </w:rPr>
                  <m:t>Cof</m:t>
                </m:r>
              </m:e>
              <m:sub>
                <m:r>
                  <w:rPr>
                    <w:rFonts w:ascii="Cambria Math" w:hAnsi="Cambria Math" w:cs="Arial"/>
                    <w:spacing w:val="2"/>
                    <w:szCs w:val="24"/>
                    <w:lang w:eastAsia="es-CO"/>
                  </w:rPr>
                  <m:t>A</m:t>
                </m:r>
              </m:sub>
            </m:sSub>
          </m:den>
        </m:f>
        <m:r>
          <w:rPr>
            <w:rFonts w:ascii="Cambria Math" w:hAnsi="Cambria Math" w:cs="Arial"/>
            <w:spacing w:val="2"/>
            <w:szCs w:val="24"/>
            <w:lang w:eastAsia="es-CO"/>
          </w:rPr>
          <m:t>*5%+</m:t>
        </m:r>
        <m:sSub>
          <m:sSubPr>
            <m:ctrlPr>
              <w:rPr>
                <w:rFonts w:ascii="Cambria Math" w:hAnsi="Cambria Math" w:cs="Arial"/>
                <w:spacing w:val="2"/>
                <w:szCs w:val="24"/>
                <w:lang w:eastAsia="es-CO"/>
              </w:rPr>
            </m:ctrlPr>
          </m:sSubPr>
          <m:e>
            <m:r>
              <w:rPr>
                <w:rFonts w:ascii="Cambria Math" w:hAnsi="Cambria Math" w:cs="Arial"/>
                <w:spacing w:val="2"/>
                <w:szCs w:val="24"/>
                <w:lang w:eastAsia="es-CO"/>
              </w:rPr>
              <m:t>C</m:t>
            </m:r>
          </m:e>
          <m:sub>
            <m:r>
              <w:rPr>
                <w:rFonts w:ascii="Cambria Math" w:hAnsi="Cambria Math" w:cs="Arial"/>
                <w:spacing w:val="2"/>
                <w:szCs w:val="24"/>
                <w:lang w:eastAsia="es-CO"/>
              </w:rPr>
              <m:t>onpes</m:t>
            </m:r>
          </m:sub>
        </m:sSub>
        <m:r>
          <w:rPr>
            <w:rFonts w:ascii="Cambria Math" w:hAnsi="Cambria Math" w:cs="Arial"/>
            <w:spacing w:val="2"/>
            <w:szCs w:val="24"/>
            <w:lang w:eastAsia="es-CO"/>
          </w:rPr>
          <m:t>*5%</m:t>
        </m:r>
      </m:oMath>
    </w:p>
    <w:p w14:paraId="79116C46" w14:textId="77777777" w:rsidR="009E0388" w:rsidRPr="00C63186" w:rsidRDefault="009E0388" w:rsidP="008E39FD">
      <w:pPr>
        <w:suppressAutoHyphens w:val="0"/>
        <w:spacing w:after="240"/>
        <w:jc w:val="both"/>
        <w:rPr>
          <w:rFonts w:ascii="Arial" w:eastAsia="Times New Roman" w:hAnsi="Arial" w:cs="Arial"/>
          <w:spacing w:val="2"/>
          <w:sz w:val="24"/>
          <w:szCs w:val="24"/>
          <w:lang w:eastAsia="es-CO"/>
        </w:rPr>
      </w:pPr>
      <w:r w:rsidRPr="00C63186">
        <w:rPr>
          <w:rFonts w:ascii="Arial" w:eastAsia="Times New Roman" w:hAnsi="Arial" w:cs="Arial"/>
          <w:spacing w:val="2"/>
          <w:sz w:val="24"/>
          <w:szCs w:val="24"/>
          <w:lang w:eastAsia="es-CO"/>
        </w:rPr>
        <w:t>Donde:</w:t>
      </w:r>
    </w:p>
    <w:p w14:paraId="2C73A135"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OEP: </w:t>
      </w:r>
      <w:r w:rsidRPr="00C63186">
        <w:rPr>
          <w:rFonts w:ascii="Arial" w:eastAsia="Times New Roman" w:hAnsi="Arial" w:cs="Arial"/>
          <w:spacing w:val="2"/>
          <w:sz w:val="24"/>
          <w:szCs w:val="24"/>
          <w:lang w:eastAsia="es-CO"/>
        </w:rPr>
        <w:t>Orden de elegibilidad de los proyectos.</w:t>
      </w:r>
    </w:p>
    <w:p w14:paraId="6AFC37C2"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68F3EE95" w14:textId="77777777" w:rsidR="009E0388"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UN</w:t>
      </w:r>
      <w:r w:rsidRPr="00C63186">
        <w:rPr>
          <w:rFonts w:ascii="Arial" w:eastAsia="Times New Roman" w:hAnsi="Arial" w:cs="Arial"/>
          <w:b/>
          <w:bCs/>
          <w:spacing w:val="2"/>
          <w:sz w:val="24"/>
          <w:szCs w:val="24"/>
          <w:vertAlign w:val="subscript"/>
          <w:lang w:eastAsia="es-CO"/>
        </w:rPr>
        <w:t>B</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Usuarios nuevos beneficiados con cada proyecto objeto de evaluación.</w:t>
      </w:r>
    </w:p>
    <w:p w14:paraId="7114B38D"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p>
    <w:p w14:paraId="423917DE"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UN</w:t>
      </w:r>
      <w:r w:rsidRPr="00C63186">
        <w:rPr>
          <w:rFonts w:ascii="Arial" w:eastAsia="Times New Roman" w:hAnsi="Arial" w:cs="Arial"/>
          <w:b/>
          <w:bCs/>
          <w:spacing w:val="2"/>
          <w:sz w:val="24"/>
          <w:szCs w:val="24"/>
          <w:vertAlign w:val="subscript"/>
          <w:lang w:eastAsia="es-CO"/>
        </w:rPr>
        <w:t>A</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El mayor UNB de los proyectos objeto de evaluación.</w:t>
      </w:r>
    </w:p>
    <w:p w14:paraId="23556C01"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1F1D195D"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UE</w:t>
      </w:r>
      <w:r w:rsidRPr="00C63186">
        <w:rPr>
          <w:rFonts w:ascii="Arial" w:eastAsia="Times New Roman" w:hAnsi="Arial" w:cs="Arial"/>
          <w:b/>
          <w:bCs/>
          <w:spacing w:val="2"/>
          <w:sz w:val="24"/>
          <w:szCs w:val="24"/>
          <w:vertAlign w:val="subscript"/>
          <w:lang w:eastAsia="es-CO"/>
        </w:rPr>
        <w:t>B</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Usuarios existentes beneficiados con cada proyecto objeto de evaluación.</w:t>
      </w:r>
    </w:p>
    <w:p w14:paraId="3A62C4B3"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7A20DE8A"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UE</w:t>
      </w:r>
      <w:r w:rsidRPr="00C63186">
        <w:rPr>
          <w:rFonts w:ascii="Arial" w:eastAsia="Times New Roman" w:hAnsi="Arial" w:cs="Arial"/>
          <w:b/>
          <w:bCs/>
          <w:spacing w:val="2"/>
          <w:sz w:val="24"/>
          <w:szCs w:val="24"/>
          <w:vertAlign w:val="subscript"/>
          <w:lang w:eastAsia="es-CO"/>
        </w:rPr>
        <w:t>A</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El mayor UEB de los proyectos objeto de evaluación.</w:t>
      </w:r>
    </w:p>
    <w:p w14:paraId="5A065A54"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40C42EA5"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CxU</w:t>
      </w:r>
      <w:r w:rsidRPr="00C63186">
        <w:rPr>
          <w:rFonts w:ascii="Arial" w:eastAsia="Times New Roman" w:hAnsi="Arial" w:cs="Arial"/>
          <w:b/>
          <w:bCs/>
          <w:spacing w:val="2"/>
          <w:sz w:val="24"/>
          <w:szCs w:val="24"/>
          <w:vertAlign w:val="subscript"/>
          <w:lang w:eastAsia="es-CO"/>
        </w:rPr>
        <w:t>A</w:t>
      </w:r>
      <w:r>
        <w:rPr>
          <w:rFonts w:ascii="Arial" w:eastAsia="Times New Roman" w:hAnsi="Arial" w:cs="Arial"/>
          <w:b/>
          <w:bCs/>
          <w:spacing w:val="2"/>
          <w:sz w:val="24"/>
          <w:szCs w:val="24"/>
          <w:vertAlign w:val="subscript"/>
          <w:lang w:eastAsia="es-CO"/>
        </w:rPr>
        <w:t>-A</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 xml:space="preserve">El menor costo por usuario de los proyectos </w:t>
      </w:r>
      <w:r>
        <w:rPr>
          <w:rFonts w:ascii="Arial" w:eastAsia="Times New Roman" w:hAnsi="Arial" w:cs="Arial"/>
          <w:spacing w:val="2"/>
          <w:sz w:val="24"/>
          <w:szCs w:val="24"/>
          <w:lang w:eastAsia="es-CO"/>
        </w:rPr>
        <w:t xml:space="preserve">de ampliación de cobertura </w:t>
      </w:r>
      <w:r w:rsidRPr="00C63186">
        <w:rPr>
          <w:rFonts w:ascii="Arial" w:eastAsia="Times New Roman" w:hAnsi="Arial" w:cs="Arial"/>
          <w:spacing w:val="2"/>
          <w:sz w:val="24"/>
          <w:szCs w:val="24"/>
          <w:lang w:eastAsia="es-CO"/>
        </w:rPr>
        <w:t>objeto de evaluación.</w:t>
      </w:r>
    </w:p>
    <w:p w14:paraId="0B318B65" w14:textId="77777777" w:rsidR="009E0388"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lastRenderedPageBreak/>
        <w:t>CxU</w:t>
      </w:r>
      <w:r w:rsidRPr="00C63186">
        <w:rPr>
          <w:rFonts w:ascii="Arial" w:eastAsia="Times New Roman" w:hAnsi="Arial" w:cs="Arial"/>
          <w:b/>
          <w:bCs/>
          <w:spacing w:val="2"/>
          <w:sz w:val="24"/>
          <w:szCs w:val="24"/>
          <w:vertAlign w:val="subscript"/>
          <w:lang w:eastAsia="es-CO"/>
        </w:rPr>
        <w:t>B</w:t>
      </w:r>
      <w:r>
        <w:rPr>
          <w:rFonts w:ascii="Arial" w:eastAsia="Times New Roman" w:hAnsi="Arial" w:cs="Arial"/>
          <w:b/>
          <w:bCs/>
          <w:spacing w:val="2"/>
          <w:sz w:val="24"/>
          <w:szCs w:val="24"/>
          <w:vertAlign w:val="subscript"/>
          <w:lang w:eastAsia="es-CO"/>
        </w:rPr>
        <w:t>-A</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Costo por usuario de cada proyecto</w:t>
      </w:r>
      <w:r>
        <w:rPr>
          <w:rFonts w:ascii="Arial" w:eastAsia="Times New Roman" w:hAnsi="Arial" w:cs="Arial"/>
          <w:spacing w:val="2"/>
          <w:sz w:val="24"/>
          <w:szCs w:val="24"/>
          <w:lang w:eastAsia="es-CO"/>
        </w:rPr>
        <w:t xml:space="preserve"> de ampliación de cobertura</w:t>
      </w:r>
      <w:r w:rsidRPr="00C63186">
        <w:rPr>
          <w:rFonts w:ascii="Arial" w:eastAsia="Times New Roman" w:hAnsi="Arial" w:cs="Arial"/>
          <w:spacing w:val="2"/>
          <w:sz w:val="24"/>
          <w:szCs w:val="24"/>
          <w:lang w:eastAsia="es-CO"/>
        </w:rPr>
        <w:t xml:space="preserve"> objeto de evaluación.</w:t>
      </w:r>
    </w:p>
    <w:p w14:paraId="06BD60A3" w14:textId="77777777" w:rsidR="009E0388" w:rsidRDefault="009E0388" w:rsidP="008E39FD">
      <w:pPr>
        <w:suppressAutoHyphens w:val="0"/>
        <w:spacing w:after="0"/>
        <w:jc w:val="both"/>
        <w:rPr>
          <w:rFonts w:ascii="Arial" w:eastAsia="Times New Roman" w:hAnsi="Arial" w:cs="Arial"/>
          <w:spacing w:val="2"/>
          <w:sz w:val="24"/>
          <w:szCs w:val="24"/>
          <w:lang w:eastAsia="es-CO"/>
        </w:rPr>
      </w:pPr>
    </w:p>
    <w:p w14:paraId="2A30F082"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CxU</w:t>
      </w:r>
      <w:r w:rsidRPr="00C63186">
        <w:rPr>
          <w:rFonts w:ascii="Arial" w:eastAsia="Times New Roman" w:hAnsi="Arial" w:cs="Arial"/>
          <w:b/>
          <w:bCs/>
          <w:spacing w:val="2"/>
          <w:sz w:val="24"/>
          <w:szCs w:val="24"/>
          <w:vertAlign w:val="subscript"/>
          <w:lang w:eastAsia="es-CO"/>
        </w:rPr>
        <w:t>A</w:t>
      </w:r>
      <w:r>
        <w:rPr>
          <w:rFonts w:ascii="Arial" w:eastAsia="Times New Roman" w:hAnsi="Arial" w:cs="Arial"/>
          <w:b/>
          <w:bCs/>
          <w:spacing w:val="2"/>
          <w:sz w:val="24"/>
          <w:szCs w:val="24"/>
          <w:vertAlign w:val="subscript"/>
          <w:lang w:eastAsia="es-CO"/>
        </w:rPr>
        <w:t>-MN</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 xml:space="preserve">El menor costo por usuario de los proyectos </w:t>
      </w:r>
      <w:r>
        <w:rPr>
          <w:rFonts w:ascii="Arial" w:eastAsia="Times New Roman" w:hAnsi="Arial" w:cs="Arial"/>
          <w:spacing w:val="2"/>
          <w:sz w:val="24"/>
          <w:szCs w:val="24"/>
          <w:lang w:eastAsia="es-CO"/>
        </w:rPr>
        <w:t xml:space="preserve">de mejoramiento o normalización de redes eléctricas </w:t>
      </w:r>
      <w:r w:rsidRPr="00C63186">
        <w:rPr>
          <w:rFonts w:ascii="Arial" w:eastAsia="Times New Roman" w:hAnsi="Arial" w:cs="Arial"/>
          <w:spacing w:val="2"/>
          <w:sz w:val="24"/>
          <w:szCs w:val="24"/>
          <w:lang w:eastAsia="es-CO"/>
        </w:rPr>
        <w:t>objeto de evaluación.</w:t>
      </w:r>
    </w:p>
    <w:p w14:paraId="328773E8"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11766C77"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CxU</w:t>
      </w:r>
      <w:r w:rsidRPr="00C63186">
        <w:rPr>
          <w:rFonts w:ascii="Arial" w:eastAsia="Times New Roman" w:hAnsi="Arial" w:cs="Arial"/>
          <w:b/>
          <w:bCs/>
          <w:spacing w:val="2"/>
          <w:sz w:val="24"/>
          <w:szCs w:val="24"/>
          <w:vertAlign w:val="subscript"/>
          <w:lang w:eastAsia="es-CO"/>
        </w:rPr>
        <w:t>B</w:t>
      </w:r>
      <w:r>
        <w:rPr>
          <w:rFonts w:ascii="Arial" w:eastAsia="Times New Roman" w:hAnsi="Arial" w:cs="Arial"/>
          <w:b/>
          <w:bCs/>
          <w:spacing w:val="2"/>
          <w:sz w:val="24"/>
          <w:szCs w:val="24"/>
          <w:vertAlign w:val="subscript"/>
          <w:lang w:eastAsia="es-CO"/>
        </w:rPr>
        <w:t>-MN</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Costo por usuario de cada proyecto</w:t>
      </w:r>
      <w:r>
        <w:rPr>
          <w:rFonts w:ascii="Arial" w:eastAsia="Times New Roman" w:hAnsi="Arial" w:cs="Arial"/>
          <w:spacing w:val="2"/>
          <w:sz w:val="24"/>
          <w:szCs w:val="24"/>
          <w:lang w:eastAsia="es-CO"/>
        </w:rPr>
        <w:t xml:space="preserve"> de mejoramiento o normalización de redes eléctricas</w:t>
      </w:r>
      <w:r w:rsidRPr="00C63186">
        <w:rPr>
          <w:rFonts w:ascii="Arial" w:eastAsia="Times New Roman" w:hAnsi="Arial" w:cs="Arial"/>
          <w:spacing w:val="2"/>
          <w:sz w:val="24"/>
          <w:szCs w:val="24"/>
          <w:lang w:eastAsia="es-CO"/>
        </w:rPr>
        <w:t xml:space="preserve"> objeto de evaluación.</w:t>
      </w:r>
    </w:p>
    <w:p w14:paraId="072BDB43"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38875E80" w14:textId="77777777" w:rsidR="009E0388"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FNCER: </w:t>
      </w:r>
      <w:r w:rsidRPr="00C63186">
        <w:rPr>
          <w:rFonts w:ascii="Arial" w:eastAsia="Times New Roman" w:hAnsi="Arial" w:cs="Arial"/>
          <w:spacing w:val="2"/>
          <w:sz w:val="24"/>
          <w:szCs w:val="24"/>
          <w:lang w:eastAsia="es-CO"/>
        </w:rPr>
        <w:t>Fuente No Convencional de Energía Renovable: Si el proyecto incluye al menos una fuente de generación renovable no convencional tendrá el valor de 1 de lo contrario el valor será 0</w:t>
      </w:r>
      <w:r>
        <w:rPr>
          <w:rFonts w:ascii="Arial" w:eastAsia="Times New Roman" w:hAnsi="Arial" w:cs="Arial"/>
          <w:spacing w:val="2"/>
          <w:sz w:val="24"/>
          <w:szCs w:val="24"/>
          <w:lang w:eastAsia="es-CO"/>
        </w:rPr>
        <w:t>, aplica cuando el proyecto pertenezca a la ZNI.</w:t>
      </w:r>
    </w:p>
    <w:p w14:paraId="3C412114" w14:textId="77777777" w:rsidR="009E0388" w:rsidRDefault="009E0388" w:rsidP="008E39FD">
      <w:pPr>
        <w:suppressAutoHyphens w:val="0"/>
        <w:spacing w:after="0"/>
        <w:jc w:val="both"/>
        <w:rPr>
          <w:rFonts w:ascii="Arial" w:eastAsia="Times New Roman" w:hAnsi="Arial" w:cs="Arial"/>
          <w:spacing w:val="2"/>
          <w:sz w:val="24"/>
          <w:szCs w:val="24"/>
          <w:lang w:eastAsia="es-CO"/>
        </w:rPr>
      </w:pPr>
    </w:p>
    <w:p w14:paraId="299EC82B" w14:textId="77777777" w:rsidR="009E0388" w:rsidRPr="00E06162" w:rsidRDefault="009E0388" w:rsidP="008E39FD">
      <w:pPr>
        <w:suppressAutoHyphens w:val="0"/>
        <w:spacing w:after="0"/>
        <w:jc w:val="both"/>
        <w:rPr>
          <w:rFonts w:ascii="Arial" w:eastAsia="Times New Roman" w:hAnsi="Arial" w:cs="Arial"/>
          <w:spacing w:val="2"/>
          <w:sz w:val="24"/>
          <w:szCs w:val="24"/>
          <w:lang w:eastAsia="es-CO"/>
        </w:rPr>
      </w:pPr>
      <w:r w:rsidRPr="00AA2487">
        <w:rPr>
          <w:rFonts w:ascii="Arial" w:eastAsia="Times New Roman" w:hAnsi="Arial" w:cs="Arial"/>
          <w:b/>
          <w:bCs/>
          <w:spacing w:val="2"/>
          <w:sz w:val="24"/>
          <w:szCs w:val="24"/>
          <w:lang w:eastAsia="es-CO"/>
        </w:rPr>
        <w:t>C</w:t>
      </w:r>
      <w:r w:rsidRPr="00AA2487">
        <w:rPr>
          <w:rFonts w:ascii="Arial" w:eastAsia="Times New Roman" w:hAnsi="Arial" w:cs="Arial"/>
          <w:b/>
          <w:bCs/>
          <w:spacing w:val="2"/>
          <w:sz w:val="24"/>
          <w:szCs w:val="24"/>
          <w:vertAlign w:val="subscript"/>
          <w:lang w:eastAsia="es-CO"/>
        </w:rPr>
        <w:t>mnpio</w:t>
      </w:r>
      <w:r w:rsidRPr="00AA2487">
        <w:rPr>
          <w:rFonts w:ascii="Arial" w:eastAsia="Times New Roman" w:hAnsi="Arial" w:cs="Arial"/>
          <w:b/>
          <w:bCs/>
          <w:spacing w:val="2"/>
          <w:sz w:val="24"/>
          <w:szCs w:val="24"/>
          <w:lang w:eastAsia="es-CO"/>
        </w:rPr>
        <w:t>:</w:t>
      </w:r>
      <w:r>
        <w:rPr>
          <w:rFonts w:ascii="Arial" w:eastAsia="Times New Roman" w:hAnsi="Arial" w:cs="Arial"/>
          <w:spacing w:val="2"/>
          <w:sz w:val="24"/>
          <w:szCs w:val="24"/>
          <w:lang w:eastAsia="es-CO"/>
        </w:rPr>
        <w:t xml:space="preserve"> Municipios categoría 6: Si el proyecto incluye un municipio categoría 6 se asignará el valor de 1, de lo contrario el valor será 0, aplica cuando el proyecto pertenezca al SIN.</w:t>
      </w:r>
    </w:p>
    <w:p w14:paraId="4B71F389" w14:textId="77777777" w:rsidR="009E0388" w:rsidRDefault="009E0388" w:rsidP="008E39FD">
      <w:pPr>
        <w:suppressAutoHyphens w:val="0"/>
        <w:spacing w:after="0"/>
        <w:jc w:val="both"/>
        <w:rPr>
          <w:rFonts w:ascii="Arial" w:eastAsia="Times New Roman" w:hAnsi="Arial" w:cs="Arial"/>
          <w:b/>
          <w:bCs/>
          <w:spacing w:val="2"/>
          <w:sz w:val="24"/>
          <w:szCs w:val="24"/>
          <w:lang w:eastAsia="es-CO"/>
        </w:rPr>
      </w:pPr>
    </w:p>
    <w:p w14:paraId="6D98A768" w14:textId="77777777" w:rsidR="009E0388" w:rsidRPr="00C63186"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M</w:t>
      </w:r>
      <w:r w:rsidRPr="00C63186">
        <w:rPr>
          <w:rFonts w:ascii="Arial" w:eastAsia="Times New Roman" w:hAnsi="Arial" w:cs="Arial"/>
          <w:b/>
          <w:bCs/>
          <w:spacing w:val="2"/>
          <w:sz w:val="24"/>
          <w:szCs w:val="24"/>
          <w:vertAlign w:val="subscript"/>
          <w:lang w:eastAsia="es-CO"/>
        </w:rPr>
        <w:t>paz</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Municipios de paz: Si el proyecto incluye al menos un municipio que haga parte de las Zonas más Afectadas por el Conflicto Armado (ZOMAC) y/o haya sido priorizado para la implementación de Programas de Desarrollo con Enfoque Territorial (PDET), se asignará el valor de 1, de lo contrario el valor será 0.</w:t>
      </w:r>
    </w:p>
    <w:p w14:paraId="145B3C6A" w14:textId="77777777" w:rsidR="009E0388" w:rsidRPr="00C63186" w:rsidRDefault="009E0388" w:rsidP="008E39FD">
      <w:pPr>
        <w:suppressAutoHyphens w:val="0"/>
        <w:spacing w:after="0"/>
        <w:jc w:val="both"/>
        <w:rPr>
          <w:rFonts w:ascii="Arial" w:eastAsia="Times New Roman" w:hAnsi="Arial" w:cs="Arial"/>
          <w:b/>
          <w:bCs/>
          <w:spacing w:val="2"/>
          <w:sz w:val="24"/>
          <w:szCs w:val="24"/>
          <w:lang w:eastAsia="es-CO"/>
        </w:rPr>
      </w:pPr>
    </w:p>
    <w:p w14:paraId="0B297D43" w14:textId="77777777" w:rsidR="009E0388" w:rsidRDefault="009E0388" w:rsidP="008E39FD">
      <w:pPr>
        <w:suppressAutoHyphens w:val="0"/>
        <w:spacing w:after="0"/>
        <w:jc w:val="both"/>
        <w:rPr>
          <w:rFonts w:ascii="Arial" w:eastAsia="Times New Roman" w:hAnsi="Arial" w:cs="Arial"/>
          <w:spacing w:val="2"/>
          <w:sz w:val="24"/>
          <w:szCs w:val="24"/>
          <w:lang w:eastAsia="es-CO"/>
        </w:rPr>
      </w:pPr>
      <w:r w:rsidRPr="00C63186">
        <w:rPr>
          <w:rFonts w:ascii="Arial" w:eastAsia="Times New Roman" w:hAnsi="Arial" w:cs="Arial"/>
          <w:b/>
          <w:bCs/>
          <w:spacing w:val="2"/>
          <w:sz w:val="24"/>
          <w:szCs w:val="24"/>
          <w:lang w:eastAsia="es-CO"/>
        </w:rPr>
        <w:t>E</w:t>
      </w:r>
      <w:r w:rsidRPr="00C63186">
        <w:rPr>
          <w:rFonts w:ascii="Arial" w:eastAsia="Times New Roman" w:hAnsi="Arial" w:cs="Arial"/>
          <w:b/>
          <w:bCs/>
          <w:spacing w:val="2"/>
          <w:sz w:val="24"/>
          <w:szCs w:val="24"/>
          <w:vertAlign w:val="subscript"/>
          <w:lang w:eastAsia="es-CO"/>
        </w:rPr>
        <w:t>tnicos</w:t>
      </w:r>
      <w:r w:rsidRPr="00C63186">
        <w:rPr>
          <w:rFonts w:ascii="Arial" w:eastAsia="Times New Roman" w:hAnsi="Arial" w:cs="Arial"/>
          <w:b/>
          <w:bCs/>
          <w:spacing w:val="2"/>
          <w:sz w:val="24"/>
          <w:szCs w:val="24"/>
          <w:lang w:eastAsia="es-CO"/>
        </w:rPr>
        <w:t>: </w:t>
      </w:r>
      <w:r w:rsidRPr="00C63186">
        <w:rPr>
          <w:rFonts w:ascii="Arial" w:eastAsia="Times New Roman" w:hAnsi="Arial" w:cs="Arial"/>
          <w:spacing w:val="2"/>
          <w:sz w:val="24"/>
          <w:szCs w:val="24"/>
          <w:lang w:eastAsia="es-CO"/>
        </w:rPr>
        <w:t>Grupos étnicos: Si el proyecto incluye al menos un grupo étnico (Indígenas y Comunidades Negros, Afrocolombianas, Raizales y Palenqueros) se asignará el valor de 1, de lo contrario el valor será 0.</w:t>
      </w:r>
    </w:p>
    <w:p w14:paraId="51B72325" w14:textId="77777777" w:rsidR="009E0388" w:rsidRDefault="009E0388" w:rsidP="008E39FD">
      <w:pPr>
        <w:suppressAutoHyphens w:val="0"/>
        <w:spacing w:after="0"/>
        <w:jc w:val="both"/>
        <w:rPr>
          <w:rFonts w:ascii="Arial" w:eastAsia="Times New Roman" w:hAnsi="Arial" w:cs="Arial"/>
          <w:spacing w:val="2"/>
          <w:sz w:val="24"/>
          <w:szCs w:val="24"/>
          <w:lang w:eastAsia="es-CO"/>
        </w:rPr>
      </w:pPr>
    </w:p>
    <w:p w14:paraId="79CC17EE" w14:textId="77777777" w:rsidR="009E0388" w:rsidRPr="00C63186" w:rsidRDefault="009E0388" w:rsidP="008E39FD">
      <w:pPr>
        <w:pStyle w:val="Textoindependiente"/>
        <w:spacing w:line="276" w:lineRule="auto"/>
        <w:contextualSpacing/>
        <w:rPr>
          <w:rFonts w:cs="Arial"/>
          <w:lang w:val="es-ES"/>
        </w:rPr>
      </w:pPr>
      <w:r w:rsidRPr="00C63186">
        <w:rPr>
          <w:rFonts w:cs="Arial"/>
          <w:b/>
          <w:bCs/>
          <w:i/>
          <w:iCs/>
          <w:lang w:val="es-ES"/>
        </w:rPr>
        <w:t>Cof</w:t>
      </w:r>
      <w:r w:rsidRPr="00C63186">
        <w:rPr>
          <w:rFonts w:cs="Arial"/>
          <w:b/>
          <w:bCs/>
          <w:i/>
          <w:iCs/>
          <w:vertAlign w:val="subscript"/>
          <w:lang w:val="es-ES"/>
        </w:rPr>
        <w:t>B</w:t>
      </w:r>
      <w:r w:rsidRPr="00C63186">
        <w:tab/>
      </w:r>
      <w:r w:rsidRPr="00C63186">
        <w:rPr>
          <w:rFonts w:cs="Arial"/>
          <w:lang w:val="es-ES"/>
        </w:rPr>
        <w:t>Cofinanciación proyecto objeto de evaluación.</w:t>
      </w:r>
    </w:p>
    <w:p w14:paraId="25BF0F55" w14:textId="77777777" w:rsidR="009E0388" w:rsidRPr="00C63186" w:rsidRDefault="009E0388" w:rsidP="008E39FD">
      <w:pPr>
        <w:pStyle w:val="Textoindependiente"/>
        <w:spacing w:line="276" w:lineRule="auto"/>
        <w:ind w:hanging="1410"/>
        <w:contextualSpacing/>
        <w:rPr>
          <w:rFonts w:cs="Arial"/>
          <w:i/>
        </w:rPr>
      </w:pPr>
    </w:p>
    <w:p w14:paraId="2DBBEBC0" w14:textId="77777777" w:rsidR="009E0388" w:rsidRDefault="009E0388" w:rsidP="008E39FD">
      <w:pPr>
        <w:pStyle w:val="Textoindependiente"/>
        <w:spacing w:line="276" w:lineRule="auto"/>
        <w:contextualSpacing/>
        <w:rPr>
          <w:rFonts w:cs="Arial"/>
          <w:lang w:val="es-ES"/>
        </w:rPr>
      </w:pPr>
      <w:r w:rsidRPr="00C63186">
        <w:rPr>
          <w:rFonts w:cs="Arial"/>
          <w:b/>
          <w:bCs/>
          <w:i/>
          <w:iCs/>
          <w:lang w:val="es-ES"/>
        </w:rPr>
        <w:t>Cof</w:t>
      </w:r>
      <w:r w:rsidRPr="00C63186">
        <w:rPr>
          <w:rFonts w:cs="Arial"/>
          <w:b/>
          <w:bCs/>
          <w:i/>
          <w:iCs/>
          <w:vertAlign w:val="subscript"/>
          <w:lang w:val="es-ES"/>
        </w:rPr>
        <w:t>A</w:t>
      </w:r>
      <w:r w:rsidRPr="00C63186">
        <w:tab/>
      </w:r>
      <w:r w:rsidRPr="00C63186">
        <w:rPr>
          <w:rFonts w:cs="Arial"/>
          <w:lang w:val="es-ES"/>
        </w:rPr>
        <w:t>Mayor valor de cofinanciación entre todos los proyectos objeto de evaluación.</w:t>
      </w:r>
    </w:p>
    <w:p w14:paraId="3402B8F8" w14:textId="1CA42110" w:rsidR="007D514C" w:rsidRPr="00C63186" w:rsidRDefault="00000000" w:rsidP="002E3DB0">
      <w:pPr>
        <w:pStyle w:val="Textoindependiente"/>
        <w:spacing w:line="276" w:lineRule="auto"/>
        <w:contextualSpacing/>
        <w:rPr>
          <w:rFonts w:cs="Arial"/>
          <w:lang w:val="es-ES"/>
        </w:rPr>
      </w:pPr>
      <m:oMath>
        <m:sSub>
          <m:sSubPr>
            <m:ctrlPr>
              <w:rPr>
                <w:rFonts w:ascii="Cambria Math" w:hAnsi="Cambria Math" w:cs="Arial"/>
                <w:b/>
                <w:bCs/>
                <w:spacing w:val="2"/>
                <w:szCs w:val="24"/>
                <w:lang w:eastAsia="es-CO"/>
              </w:rPr>
            </m:ctrlPr>
          </m:sSubPr>
          <m:e>
            <m:r>
              <m:rPr>
                <m:sty m:val="bi"/>
              </m:rPr>
              <w:rPr>
                <w:rFonts w:ascii="Cambria Math" w:hAnsi="Cambria Math" w:cs="Arial"/>
                <w:spacing w:val="2"/>
                <w:szCs w:val="24"/>
                <w:lang w:eastAsia="es-CO"/>
              </w:rPr>
              <m:t>C</m:t>
            </m:r>
          </m:e>
          <m:sub>
            <m:r>
              <m:rPr>
                <m:sty m:val="bi"/>
              </m:rPr>
              <w:rPr>
                <w:rFonts w:ascii="Cambria Math" w:hAnsi="Cambria Math" w:cs="Arial"/>
                <w:spacing w:val="2"/>
                <w:szCs w:val="24"/>
                <w:lang w:eastAsia="es-CO"/>
              </w:rPr>
              <m:t>onpes</m:t>
            </m:r>
          </m:sub>
        </m:sSub>
      </m:oMath>
      <w:r w:rsidR="007D514C" w:rsidRPr="007D514C">
        <w:rPr>
          <w:rFonts w:cs="Arial"/>
          <w:lang w:val="es-ES"/>
        </w:rPr>
        <w:t>: Proyectos estructurados bajo una acción CONPES: Se asignará un puntaje de 1 al proyecto que acredite estar estructurado en el marco de una acción definida en un documento CONPES vigente. En caso contrario, se asignará un puntaje de 0.</w:t>
      </w:r>
      <w:r w:rsidR="007D514C" w:rsidRPr="007D514C">
        <w:rPr>
          <w:rFonts w:cs="Arial"/>
          <w:lang w:val="es-CO"/>
        </w:rPr>
        <w:t> </w:t>
      </w:r>
    </w:p>
    <w:p w14:paraId="6E1DCA93" w14:textId="77777777" w:rsidR="009E0388" w:rsidRDefault="009E0388" w:rsidP="002E3DB0">
      <w:pPr>
        <w:spacing w:after="0"/>
        <w:rPr>
          <w:lang w:val="es-ES"/>
        </w:rPr>
      </w:pPr>
    </w:p>
    <w:p w14:paraId="17CED903" w14:textId="4E1DDAE8" w:rsidR="009E0388" w:rsidRDefault="005831A6" w:rsidP="002E3DB0">
      <w:pPr>
        <w:pStyle w:val="Ttulo5"/>
        <w:spacing w:before="0"/>
        <w:ind w:left="1008" w:hanging="1008"/>
        <w:jc w:val="both"/>
      </w:pPr>
      <w:bookmarkStart w:id="163" w:name="_Toc224844375"/>
      <w:r w:rsidRPr="005831A6">
        <w:rPr>
          <w:bCs/>
        </w:rPr>
        <w:t xml:space="preserve">III-4.2 </w:t>
      </w:r>
      <w:r w:rsidR="00A40916" w:rsidRPr="005831A6">
        <w:t>Presentación de Proyectos al Comité de Administración del FONENERGÍA</w:t>
      </w:r>
      <w:bookmarkEnd w:id="163"/>
    </w:p>
    <w:p w14:paraId="72954167" w14:textId="77777777" w:rsidR="006327FA" w:rsidRPr="006327FA" w:rsidRDefault="006327FA" w:rsidP="002E3DB0">
      <w:pPr>
        <w:spacing w:after="0"/>
      </w:pPr>
    </w:p>
    <w:p w14:paraId="29DF45FB" w14:textId="60039284" w:rsidR="000F5398" w:rsidRDefault="4BD7E9AA" w:rsidP="008E39FD">
      <w:pPr>
        <w:jc w:val="both"/>
        <w:rPr>
          <w:rFonts w:ascii="Arial" w:hAnsi="Arial" w:cs="Arial"/>
          <w:sz w:val="24"/>
          <w:szCs w:val="24"/>
          <w:lang w:val="es-ES"/>
        </w:rPr>
      </w:pPr>
      <w:r w:rsidRPr="5D146CA7">
        <w:rPr>
          <w:rFonts w:ascii="Arial" w:hAnsi="Arial" w:cs="Arial"/>
          <w:sz w:val="24"/>
          <w:szCs w:val="24"/>
          <w:lang w:val="es-ES"/>
        </w:rPr>
        <w:t xml:space="preserve">Una vez la Secretaría Técnica cuente con el listado de proyectos priorizados, de conformidad con lo establecido en el </w:t>
      </w:r>
      <w:r w:rsidRPr="00CF385A">
        <w:rPr>
          <w:rFonts w:ascii="Arial" w:hAnsi="Arial" w:cs="Arial"/>
          <w:sz w:val="24"/>
          <w:szCs w:val="24"/>
          <w:highlight w:val="yellow"/>
          <w:lang w:val="es-ES"/>
        </w:rPr>
        <w:t xml:space="preserve">numeral </w:t>
      </w:r>
      <w:r w:rsidRPr="5D146CA7">
        <w:rPr>
          <w:rFonts w:ascii="Arial" w:hAnsi="Arial" w:cs="Arial"/>
          <w:sz w:val="24"/>
          <w:szCs w:val="24"/>
          <w:highlight w:val="yellow"/>
          <w:lang w:val="es-ES"/>
        </w:rPr>
        <w:t>3.5</w:t>
      </w:r>
      <w:r w:rsidRPr="5D146CA7">
        <w:rPr>
          <w:rFonts w:ascii="Arial" w:hAnsi="Arial" w:cs="Arial"/>
          <w:sz w:val="24"/>
          <w:szCs w:val="24"/>
          <w:lang w:val="es-ES"/>
        </w:rPr>
        <w:t xml:space="preserve"> del presente Manual Operativo, estos serán presentados al Comité de Administración de FONENERGÍA (CAFONENERGÍA). La presentación incluirá la información general de cada proyecto, así como los aspectos técnicos, financieros, sociales y estratégicos más relevantes, con el fin de garantizar una visión integral de las iniciativas propuestas facilitando a los miembros del Comité una revisión estructurada y objetiva, permitiendo analizar su pertinencia, coherencia con los objetivos del Fondo y alineación con la normativa vigente. A partir de dicho análisis, el CAFONENERGÍA podrá impartir los lineamientos, observaciones y directrices necesarias para la adecuada toma de decisiones, asegurando la correcta orientación de los recursos y el cumplimiento de los fines misionales del Fondo.</w:t>
      </w:r>
    </w:p>
    <w:p w14:paraId="75CA1F37" w14:textId="48DD34E3" w:rsidR="0080563F" w:rsidRDefault="00F50CC7" w:rsidP="008E39FD">
      <w:pPr>
        <w:jc w:val="both"/>
        <w:rPr>
          <w:rFonts w:ascii="Arial" w:hAnsi="Arial" w:cs="Arial"/>
          <w:sz w:val="24"/>
          <w:szCs w:val="24"/>
          <w:lang w:val="es-ES"/>
        </w:rPr>
      </w:pPr>
      <w:r w:rsidRPr="00F50CC7">
        <w:rPr>
          <w:rFonts w:ascii="Arial" w:hAnsi="Arial" w:cs="Arial"/>
          <w:sz w:val="24"/>
          <w:szCs w:val="24"/>
          <w:lang w:val="es-ES"/>
        </w:rPr>
        <w:t xml:space="preserve">En caso de que el Comité apruebe la financiación de los proyectos presentados, se dará inicio a los trámites precontractuales correspondientes, con el fin de adelantar los </w:t>
      </w:r>
      <w:r w:rsidRPr="00F50CC7">
        <w:rPr>
          <w:rFonts w:ascii="Arial" w:hAnsi="Arial" w:cs="Arial"/>
          <w:sz w:val="24"/>
          <w:szCs w:val="24"/>
          <w:lang w:val="es-ES"/>
        </w:rPr>
        <w:lastRenderedPageBreak/>
        <w:t xml:space="preserve">procesos de selección y adjudicación de los proyectos, y proceder posteriormente al inicio de su ejecución, </w:t>
      </w:r>
      <w:r>
        <w:rPr>
          <w:rFonts w:ascii="Arial" w:hAnsi="Arial" w:cs="Arial"/>
          <w:sz w:val="24"/>
          <w:szCs w:val="24"/>
          <w:lang w:val="es-ES"/>
        </w:rPr>
        <w:t xml:space="preserve">de </w:t>
      </w:r>
      <w:r w:rsidRPr="00F50CC7">
        <w:rPr>
          <w:rFonts w:ascii="Arial" w:hAnsi="Arial" w:cs="Arial"/>
          <w:sz w:val="24"/>
          <w:szCs w:val="24"/>
          <w:lang w:val="es-ES"/>
        </w:rPr>
        <w:t>conform</w:t>
      </w:r>
      <w:r>
        <w:rPr>
          <w:rFonts w:ascii="Arial" w:hAnsi="Arial" w:cs="Arial"/>
          <w:sz w:val="24"/>
          <w:szCs w:val="24"/>
          <w:lang w:val="es-ES"/>
        </w:rPr>
        <w:t>idad al cronograma aprobado en cada proyecto y</w:t>
      </w:r>
      <w:r w:rsidRPr="00F50CC7">
        <w:rPr>
          <w:rFonts w:ascii="Arial" w:hAnsi="Arial" w:cs="Arial"/>
          <w:sz w:val="24"/>
          <w:szCs w:val="24"/>
          <w:lang w:val="es-ES"/>
        </w:rPr>
        <w:t xml:space="preserve"> los lineamientos establecidos por el Fondo.</w:t>
      </w:r>
    </w:p>
    <w:p w14:paraId="1AD2129F" w14:textId="732D34AD" w:rsidR="00CE0407" w:rsidRPr="008D54F2" w:rsidRDefault="008D54F2" w:rsidP="00517B59">
      <w:pPr>
        <w:pStyle w:val="Ttulo5"/>
        <w:ind w:left="1008" w:hanging="1008"/>
      </w:pPr>
      <w:bookmarkStart w:id="164" w:name="_Toc224844376"/>
      <w:r w:rsidRPr="008D54F2">
        <w:rPr>
          <w:bCs/>
        </w:rPr>
        <w:t xml:space="preserve">III-4.3 </w:t>
      </w:r>
      <w:r w:rsidR="00391E3F" w:rsidRPr="008D54F2">
        <w:t>Etapa Precontractual</w:t>
      </w:r>
      <w:bookmarkEnd w:id="164"/>
    </w:p>
    <w:p w14:paraId="124E4CCF" w14:textId="77777777" w:rsidR="00391E3F" w:rsidRPr="00391E3F" w:rsidRDefault="00391E3F" w:rsidP="008E39FD">
      <w:pPr>
        <w:spacing w:after="0"/>
        <w:jc w:val="both"/>
        <w:rPr>
          <w:rFonts w:ascii="Arial" w:hAnsi="Arial" w:cs="Arial"/>
          <w:sz w:val="24"/>
          <w:szCs w:val="24"/>
          <w:lang w:val="es-ES"/>
        </w:rPr>
      </w:pPr>
    </w:p>
    <w:p w14:paraId="6CB3F37C" w14:textId="032AA337" w:rsidR="00391E3F" w:rsidRPr="00391E3F" w:rsidRDefault="00391E3F" w:rsidP="008E39FD">
      <w:pPr>
        <w:jc w:val="both"/>
        <w:rPr>
          <w:rFonts w:ascii="Arial" w:hAnsi="Arial" w:cs="Arial"/>
          <w:sz w:val="24"/>
          <w:szCs w:val="24"/>
          <w:lang w:val="es-ES"/>
        </w:rPr>
      </w:pPr>
      <w:r w:rsidRPr="00391E3F">
        <w:rPr>
          <w:rFonts w:ascii="Arial" w:hAnsi="Arial" w:cs="Arial"/>
          <w:sz w:val="24"/>
          <w:szCs w:val="24"/>
          <w:lang w:val="es-ES"/>
        </w:rPr>
        <w:t xml:space="preserve">Una vez </w:t>
      </w:r>
      <w:r>
        <w:rPr>
          <w:rFonts w:ascii="Arial" w:hAnsi="Arial" w:cs="Arial"/>
          <w:sz w:val="24"/>
          <w:szCs w:val="24"/>
          <w:lang w:val="es-ES"/>
        </w:rPr>
        <w:t xml:space="preserve">se surta todo el procedimiento mencionado anteriormente y </w:t>
      </w:r>
      <w:r w:rsidRPr="00391E3F">
        <w:rPr>
          <w:rFonts w:ascii="Arial" w:hAnsi="Arial" w:cs="Arial"/>
          <w:sz w:val="24"/>
          <w:szCs w:val="24"/>
          <w:lang w:val="es-ES"/>
        </w:rPr>
        <w:t>los proyectos sean aprobados por el Comité de Administración de FONENERGÍA, se dará inicio a la etapa precontractual, la cual comprende el conjunto de actuaciones técnicas, jurídicas, administrativas, financieras y presupuestales necesarias para adelantar la contratación de los proyectos aprobados.</w:t>
      </w:r>
    </w:p>
    <w:p w14:paraId="4E90CE50" w14:textId="11678D8A" w:rsidR="00391E3F" w:rsidRPr="00391E3F" w:rsidRDefault="00391E3F" w:rsidP="008E39FD">
      <w:pPr>
        <w:jc w:val="both"/>
        <w:rPr>
          <w:rFonts w:ascii="Arial" w:hAnsi="Arial" w:cs="Arial"/>
          <w:sz w:val="24"/>
          <w:szCs w:val="24"/>
          <w:lang w:val="es-ES"/>
        </w:rPr>
      </w:pPr>
      <w:r w:rsidRPr="00391E3F">
        <w:rPr>
          <w:rFonts w:ascii="Arial" w:hAnsi="Arial" w:cs="Arial"/>
          <w:sz w:val="24"/>
          <w:szCs w:val="24"/>
          <w:lang w:val="es-ES"/>
        </w:rPr>
        <w:t>Esta etapa tiene como finalidad garantizar la legalidad, transparencia, eficiencia y viabilidad integral de la contratación, asegurando que cada proyecto cuente con los soportes suficientes que justifiquen su conveniencia y oportunidad. En desarrollo de la etapa precontractual se elaborarán y/o validarán, los estudios y documentos previos, la definición clara de la necesidad a atender y del alcance del proyecto, la verificación de la disponibilidad presupuestal correspondiente</w:t>
      </w:r>
      <w:r>
        <w:rPr>
          <w:rFonts w:ascii="Arial" w:hAnsi="Arial" w:cs="Arial"/>
          <w:sz w:val="24"/>
          <w:szCs w:val="24"/>
          <w:lang w:val="es-ES"/>
        </w:rPr>
        <w:t xml:space="preserve"> mediante los certificados de disponibilidad presupuestal y aprobaciones de vigencias futuras si es necesario</w:t>
      </w:r>
      <w:r w:rsidRPr="00391E3F">
        <w:rPr>
          <w:rFonts w:ascii="Arial" w:hAnsi="Arial" w:cs="Arial"/>
          <w:sz w:val="24"/>
          <w:szCs w:val="24"/>
          <w:lang w:val="es-ES"/>
        </w:rPr>
        <w:t>.</w:t>
      </w:r>
    </w:p>
    <w:p w14:paraId="78B3166A" w14:textId="5BD29946" w:rsidR="00CE0407" w:rsidRDefault="00391E3F" w:rsidP="008E39FD">
      <w:pPr>
        <w:jc w:val="both"/>
        <w:rPr>
          <w:rFonts w:ascii="Arial" w:hAnsi="Arial" w:cs="Arial"/>
          <w:sz w:val="24"/>
          <w:szCs w:val="24"/>
          <w:lang w:val="es-ES"/>
        </w:rPr>
      </w:pPr>
      <w:r w:rsidRPr="00391E3F">
        <w:rPr>
          <w:rFonts w:ascii="Arial" w:hAnsi="Arial" w:cs="Arial"/>
          <w:sz w:val="24"/>
          <w:szCs w:val="24"/>
          <w:lang w:val="es-ES"/>
        </w:rPr>
        <w:t xml:space="preserve">Asimismo, se realizará el análisis del sector y del mercado </w:t>
      </w:r>
      <w:r>
        <w:rPr>
          <w:rFonts w:ascii="Arial" w:hAnsi="Arial" w:cs="Arial"/>
          <w:sz w:val="24"/>
          <w:szCs w:val="24"/>
          <w:lang w:val="es-ES"/>
        </w:rPr>
        <w:t>para</w:t>
      </w:r>
      <w:r w:rsidRPr="00391E3F">
        <w:rPr>
          <w:rFonts w:ascii="Arial" w:hAnsi="Arial" w:cs="Arial"/>
          <w:sz w:val="24"/>
          <w:szCs w:val="24"/>
          <w:lang w:val="es-ES"/>
        </w:rPr>
        <w:t xml:space="preserve"> establecer</w:t>
      </w:r>
      <w:r>
        <w:rPr>
          <w:rFonts w:ascii="Arial" w:hAnsi="Arial" w:cs="Arial"/>
          <w:sz w:val="24"/>
          <w:szCs w:val="24"/>
          <w:lang w:val="es-ES"/>
        </w:rPr>
        <w:t xml:space="preserve"> las</w:t>
      </w:r>
      <w:r w:rsidRPr="00391E3F">
        <w:rPr>
          <w:rFonts w:ascii="Arial" w:hAnsi="Arial" w:cs="Arial"/>
          <w:sz w:val="24"/>
          <w:szCs w:val="24"/>
          <w:lang w:val="es-ES"/>
        </w:rPr>
        <w:t xml:space="preserve"> condiciones objetivas y acordes con la realidad; se definirá la modalidad de contratación, el tipo de contrato y el esquema de ejecución más adecuado</w:t>
      </w:r>
      <w:r>
        <w:rPr>
          <w:rFonts w:ascii="Arial" w:hAnsi="Arial" w:cs="Arial"/>
          <w:sz w:val="24"/>
          <w:szCs w:val="24"/>
          <w:lang w:val="es-ES"/>
        </w:rPr>
        <w:t xml:space="preserve"> </w:t>
      </w:r>
      <w:r w:rsidRPr="00391E3F">
        <w:rPr>
          <w:rFonts w:ascii="Arial" w:hAnsi="Arial" w:cs="Arial"/>
          <w:sz w:val="24"/>
          <w:szCs w:val="24"/>
          <w:lang w:val="es-ES"/>
        </w:rPr>
        <w:t>y se elaborarán los pliegos de condiciones o términos de referencia</w:t>
      </w:r>
      <w:r w:rsidR="00F46449">
        <w:rPr>
          <w:rFonts w:ascii="Arial" w:hAnsi="Arial" w:cs="Arial"/>
          <w:sz w:val="24"/>
          <w:szCs w:val="24"/>
          <w:lang w:val="es-ES"/>
        </w:rPr>
        <w:t xml:space="preserve"> de acuerdo a lo mencionado en el </w:t>
      </w:r>
      <w:r w:rsidR="00916408" w:rsidRPr="00F46449">
        <w:rPr>
          <w:rFonts w:ascii="Arial" w:hAnsi="Arial" w:cs="Arial"/>
          <w:sz w:val="24"/>
          <w:szCs w:val="24"/>
          <w:highlight w:val="cyan"/>
          <w:lang w:val="es-ES"/>
        </w:rPr>
        <w:t>capítulo</w:t>
      </w:r>
      <w:r w:rsidR="00F46449" w:rsidRPr="00F46449">
        <w:rPr>
          <w:rFonts w:ascii="Arial" w:hAnsi="Arial" w:cs="Arial"/>
          <w:sz w:val="24"/>
          <w:szCs w:val="24"/>
          <w:highlight w:val="cyan"/>
          <w:lang w:val="es-ES"/>
        </w:rPr>
        <w:t xml:space="preserve"> </w:t>
      </w:r>
      <w:r w:rsidR="00916408">
        <w:rPr>
          <w:rFonts w:ascii="Arial" w:hAnsi="Arial" w:cs="Arial"/>
          <w:sz w:val="24"/>
          <w:szCs w:val="24"/>
          <w:highlight w:val="cyan"/>
          <w:lang w:val="es-ES"/>
        </w:rPr>
        <w:t xml:space="preserve"> </w:t>
      </w:r>
      <w:r w:rsidR="00916408">
        <w:rPr>
          <w:rFonts w:ascii="Arial" w:hAnsi="Arial" w:cs="Arial"/>
          <w:sz w:val="24"/>
          <w:szCs w:val="24"/>
          <w:highlight w:val="cyan"/>
          <w:lang w:val="es-ES"/>
        </w:rPr>
        <w:fldChar w:fldCharType="begin"/>
      </w:r>
      <w:r w:rsidR="00916408">
        <w:rPr>
          <w:rFonts w:ascii="Arial" w:hAnsi="Arial" w:cs="Arial"/>
          <w:sz w:val="24"/>
          <w:szCs w:val="24"/>
          <w:highlight w:val="cyan"/>
          <w:lang w:val="es-ES"/>
        </w:rPr>
        <w:instrText xml:space="preserve"> REF _Ref220065325 \r \h </w:instrText>
      </w:r>
      <w:r w:rsidR="00916408">
        <w:rPr>
          <w:rFonts w:ascii="Arial" w:hAnsi="Arial" w:cs="Arial"/>
          <w:sz w:val="24"/>
          <w:szCs w:val="24"/>
          <w:highlight w:val="cyan"/>
          <w:lang w:val="es-ES"/>
        </w:rPr>
      </w:r>
      <w:r w:rsidR="00916408">
        <w:rPr>
          <w:rFonts w:ascii="Arial" w:hAnsi="Arial" w:cs="Arial"/>
          <w:sz w:val="24"/>
          <w:szCs w:val="24"/>
          <w:highlight w:val="cyan"/>
          <w:lang w:val="es-ES"/>
        </w:rPr>
        <w:fldChar w:fldCharType="separate"/>
      </w:r>
      <w:r w:rsidR="00005B8A">
        <w:rPr>
          <w:rFonts w:ascii="Arial" w:hAnsi="Arial" w:cs="Arial"/>
          <w:sz w:val="24"/>
          <w:szCs w:val="24"/>
          <w:highlight w:val="cyan"/>
          <w:lang w:val="es-ES"/>
        </w:rPr>
        <w:t>7</w:t>
      </w:r>
      <w:r w:rsidR="00916408">
        <w:rPr>
          <w:rFonts w:ascii="Arial" w:hAnsi="Arial" w:cs="Arial"/>
          <w:sz w:val="24"/>
          <w:szCs w:val="24"/>
          <w:highlight w:val="cyan"/>
          <w:lang w:val="es-ES"/>
        </w:rPr>
        <w:fldChar w:fldCharType="end"/>
      </w:r>
      <w:r w:rsidR="00F46449">
        <w:rPr>
          <w:rFonts w:ascii="Arial" w:hAnsi="Arial" w:cs="Arial"/>
          <w:sz w:val="24"/>
          <w:szCs w:val="24"/>
          <w:lang w:val="es-ES"/>
        </w:rPr>
        <w:t xml:space="preserve"> del presente manual.</w:t>
      </w:r>
    </w:p>
    <w:p w14:paraId="31CD12B4" w14:textId="379C0821" w:rsidR="00F96ABD" w:rsidRDefault="00AB732E" w:rsidP="00517B59">
      <w:pPr>
        <w:pStyle w:val="Ttulo3"/>
        <w:ind w:left="720" w:hanging="720"/>
        <w:jc w:val="center"/>
        <w:rPr>
          <w:lang w:val="es-ES"/>
        </w:rPr>
      </w:pPr>
      <w:bookmarkStart w:id="165" w:name="_Toc224844377"/>
      <w:r>
        <w:rPr>
          <w:lang w:val="es-ES"/>
        </w:rPr>
        <w:t xml:space="preserve">CAPÍTULO </w:t>
      </w:r>
      <w:r w:rsidR="0048554C">
        <w:rPr>
          <w:lang w:val="es-ES"/>
        </w:rPr>
        <w:t>V</w:t>
      </w:r>
      <w:bookmarkEnd w:id="165"/>
    </w:p>
    <w:p w14:paraId="1367D264" w14:textId="114037DF" w:rsidR="00AB732E" w:rsidRDefault="008E0140" w:rsidP="002E3DB0">
      <w:pPr>
        <w:pStyle w:val="Ttulo4"/>
        <w:spacing w:before="0"/>
        <w:ind w:left="864" w:hanging="864"/>
        <w:jc w:val="center"/>
        <w:rPr>
          <w:lang w:val="es-ES"/>
        </w:rPr>
      </w:pPr>
      <w:bookmarkStart w:id="166" w:name="_Toc224844378"/>
      <w:r>
        <w:rPr>
          <w:lang w:val="es-ES"/>
        </w:rPr>
        <w:t>SEGUIMIENTO</w:t>
      </w:r>
      <w:bookmarkEnd w:id="166"/>
    </w:p>
    <w:p w14:paraId="1EB35F52" w14:textId="77777777" w:rsidR="003E593B" w:rsidRPr="003E593B" w:rsidRDefault="003E593B" w:rsidP="002E3DB0">
      <w:pPr>
        <w:spacing w:after="0"/>
        <w:rPr>
          <w:lang w:val="es-ES"/>
        </w:rPr>
      </w:pPr>
    </w:p>
    <w:p w14:paraId="70354FB0" w14:textId="7E310A11" w:rsidR="00F46449" w:rsidRDefault="00E43E26" w:rsidP="008E39FD">
      <w:pPr>
        <w:jc w:val="both"/>
        <w:rPr>
          <w:rFonts w:ascii="Arial" w:hAnsi="Arial" w:cs="Arial"/>
          <w:sz w:val="24"/>
          <w:szCs w:val="24"/>
          <w:lang w:val="es-ES"/>
        </w:rPr>
      </w:pPr>
      <w:r>
        <w:rPr>
          <w:rFonts w:ascii="Arial" w:hAnsi="Arial" w:cs="Arial"/>
          <w:sz w:val="24"/>
          <w:szCs w:val="24"/>
          <w:lang w:val="es-ES"/>
        </w:rPr>
        <w:t xml:space="preserve">El Equipo Técnico de FONENERGÍA </w:t>
      </w:r>
      <w:r w:rsidR="00BD2C8A">
        <w:rPr>
          <w:rFonts w:ascii="Arial" w:hAnsi="Arial" w:cs="Arial"/>
          <w:sz w:val="24"/>
          <w:szCs w:val="24"/>
          <w:lang w:val="es-ES"/>
        </w:rPr>
        <w:t>adelantará las labores</w:t>
      </w:r>
      <w:r>
        <w:rPr>
          <w:rFonts w:ascii="Arial" w:hAnsi="Arial" w:cs="Arial"/>
          <w:sz w:val="24"/>
          <w:szCs w:val="24"/>
          <w:lang w:val="es-ES"/>
        </w:rPr>
        <w:t xml:space="preserve"> </w:t>
      </w:r>
      <w:r w:rsidR="00E63A90">
        <w:rPr>
          <w:rFonts w:ascii="Arial" w:hAnsi="Arial" w:cs="Arial"/>
          <w:sz w:val="24"/>
          <w:szCs w:val="24"/>
          <w:lang w:val="es-ES"/>
        </w:rPr>
        <w:t>correspondientes</w:t>
      </w:r>
      <w:r w:rsidR="00BE5DA1">
        <w:rPr>
          <w:rFonts w:ascii="Arial" w:hAnsi="Arial" w:cs="Arial"/>
          <w:sz w:val="24"/>
          <w:szCs w:val="24"/>
          <w:lang w:val="es-ES"/>
        </w:rPr>
        <w:t xml:space="preserve"> que conlleven a efectuar un seguimiento a la ejecución de los </w:t>
      </w:r>
      <w:r w:rsidR="00051E5B">
        <w:rPr>
          <w:rFonts w:ascii="Arial" w:hAnsi="Arial" w:cs="Arial"/>
          <w:sz w:val="24"/>
          <w:szCs w:val="24"/>
          <w:lang w:val="es-ES"/>
        </w:rPr>
        <w:t xml:space="preserve">contratos </w:t>
      </w:r>
      <w:r w:rsidR="00B856F1">
        <w:rPr>
          <w:rFonts w:ascii="Arial" w:hAnsi="Arial" w:cs="Arial"/>
          <w:sz w:val="24"/>
          <w:szCs w:val="24"/>
          <w:lang w:val="es-ES"/>
        </w:rPr>
        <w:t>y el logro de sus objetos</w:t>
      </w:r>
      <w:r w:rsidR="000104A8">
        <w:rPr>
          <w:rFonts w:ascii="Arial" w:hAnsi="Arial" w:cs="Arial"/>
          <w:sz w:val="24"/>
          <w:szCs w:val="24"/>
          <w:lang w:val="es-ES"/>
        </w:rPr>
        <w:t xml:space="preserve">, </w:t>
      </w:r>
      <w:r w:rsidR="00F46449" w:rsidRPr="00F46449">
        <w:rPr>
          <w:rFonts w:ascii="Arial" w:hAnsi="Arial" w:cs="Arial"/>
          <w:sz w:val="24"/>
          <w:szCs w:val="24"/>
          <w:lang w:val="es-ES"/>
        </w:rPr>
        <w:t>verifica</w:t>
      </w:r>
      <w:r w:rsidR="00DC65A9">
        <w:rPr>
          <w:rFonts w:ascii="Arial" w:hAnsi="Arial" w:cs="Arial"/>
          <w:sz w:val="24"/>
          <w:szCs w:val="24"/>
          <w:lang w:val="es-ES"/>
        </w:rPr>
        <w:t>ndo</w:t>
      </w:r>
      <w:r w:rsidR="00F46449" w:rsidRPr="00F46449">
        <w:rPr>
          <w:rFonts w:ascii="Arial" w:hAnsi="Arial" w:cs="Arial"/>
          <w:sz w:val="24"/>
          <w:szCs w:val="24"/>
          <w:lang w:val="es-ES"/>
        </w:rPr>
        <w:t xml:space="preserve"> el cumplimiento de las obligaciones y cláusulas contractuales</w:t>
      </w:r>
      <w:r w:rsidR="000563DF">
        <w:rPr>
          <w:rFonts w:ascii="Arial" w:hAnsi="Arial" w:cs="Arial"/>
          <w:sz w:val="24"/>
          <w:szCs w:val="24"/>
          <w:lang w:val="es-ES"/>
        </w:rPr>
        <w:t xml:space="preserve"> desde el punto de vista técnico</w:t>
      </w:r>
      <w:r w:rsidR="006424D5">
        <w:rPr>
          <w:rFonts w:ascii="Arial" w:hAnsi="Arial" w:cs="Arial"/>
          <w:sz w:val="24"/>
          <w:szCs w:val="24"/>
          <w:lang w:val="es-ES"/>
        </w:rPr>
        <w:t xml:space="preserve"> y</w:t>
      </w:r>
      <w:r w:rsidR="000563DF">
        <w:rPr>
          <w:rFonts w:ascii="Arial" w:hAnsi="Arial" w:cs="Arial"/>
          <w:sz w:val="24"/>
          <w:szCs w:val="24"/>
          <w:lang w:val="es-ES"/>
        </w:rPr>
        <w:t xml:space="preserve"> financiero</w:t>
      </w:r>
      <w:r w:rsidR="00F46449" w:rsidRPr="00F46449">
        <w:rPr>
          <w:rFonts w:ascii="Arial" w:hAnsi="Arial" w:cs="Arial"/>
          <w:sz w:val="24"/>
          <w:szCs w:val="24"/>
          <w:lang w:val="es-ES"/>
        </w:rPr>
        <w:t>.</w:t>
      </w:r>
    </w:p>
    <w:p w14:paraId="6FB92B88" w14:textId="759B824D" w:rsidR="008E0140" w:rsidRDefault="008E0140" w:rsidP="00517B59">
      <w:pPr>
        <w:pStyle w:val="Ttulo3"/>
        <w:ind w:left="720" w:hanging="720"/>
        <w:jc w:val="center"/>
        <w:rPr>
          <w:lang w:val="es-ES"/>
        </w:rPr>
      </w:pPr>
      <w:bookmarkStart w:id="167" w:name="_Toc224844379"/>
      <w:r>
        <w:rPr>
          <w:lang w:val="es-ES"/>
        </w:rPr>
        <w:t xml:space="preserve">CAPÍTULO </w:t>
      </w:r>
      <w:r w:rsidR="00240C23">
        <w:rPr>
          <w:lang w:val="es-ES"/>
        </w:rPr>
        <w:t>VI</w:t>
      </w:r>
      <w:bookmarkEnd w:id="167"/>
    </w:p>
    <w:p w14:paraId="798D4FE1" w14:textId="52AC8D26" w:rsidR="008E0140" w:rsidRPr="00B03685" w:rsidRDefault="008E0140" w:rsidP="00517B59">
      <w:pPr>
        <w:pStyle w:val="Ttulo4"/>
        <w:ind w:left="864" w:hanging="864"/>
        <w:jc w:val="center"/>
        <w:rPr>
          <w:lang w:val="es-ES"/>
        </w:rPr>
      </w:pPr>
      <w:bookmarkStart w:id="168" w:name="_Toc224844380"/>
      <w:r>
        <w:rPr>
          <w:lang w:val="es-ES"/>
        </w:rPr>
        <w:t>ACTIVOS ENERGÍA ELÉCTRICA</w:t>
      </w:r>
      <w:bookmarkEnd w:id="168"/>
    </w:p>
    <w:p w14:paraId="49EA365A" w14:textId="77777777" w:rsidR="000F2C0D" w:rsidRPr="00C63186" w:rsidRDefault="000F2C0D" w:rsidP="008E39FD">
      <w:pPr>
        <w:tabs>
          <w:tab w:val="left" w:pos="4474"/>
        </w:tabs>
        <w:spacing w:after="0"/>
        <w:jc w:val="center"/>
        <w:rPr>
          <w:rFonts w:ascii="Arial" w:hAnsi="Arial" w:cs="Arial"/>
          <w:b/>
          <w:bCs/>
          <w:sz w:val="24"/>
          <w:szCs w:val="24"/>
        </w:rPr>
      </w:pPr>
    </w:p>
    <w:p w14:paraId="16C659A3" w14:textId="77777777" w:rsidR="000F2C0D"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La infraestructura resultante de la inversión de los recursos públicos tendrá el siguiente tratamiento:</w:t>
      </w:r>
    </w:p>
    <w:p w14:paraId="7916B622" w14:textId="77777777" w:rsidR="000F2C0D" w:rsidRPr="00C63186" w:rsidRDefault="000F2C0D" w:rsidP="008E39FD">
      <w:pPr>
        <w:tabs>
          <w:tab w:val="left" w:pos="4474"/>
        </w:tabs>
        <w:spacing w:after="0"/>
        <w:jc w:val="both"/>
        <w:rPr>
          <w:rFonts w:ascii="Arial" w:hAnsi="Arial" w:cs="Arial"/>
          <w:sz w:val="24"/>
          <w:szCs w:val="24"/>
        </w:rPr>
      </w:pPr>
    </w:p>
    <w:p w14:paraId="52698546" w14:textId="6652113B" w:rsidR="000F2C0D" w:rsidRPr="005F218F" w:rsidRDefault="00A332DC" w:rsidP="00517B59">
      <w:pPr>
        <w:pStyle w:val="Ttulo5"/>
        <w:ind w:left="1008" w:hanging="1008"/>
      </w:pPr>
      <w:bookmarkStart w:id="169" w:name="_Toc205496187"/>
      <w:bookmarkStart w:id="170" w:name="_Toc224844381"/>
      <w:r w:rsidRPr="005F218F">
        <w:rPr>
          <w:bCs/>
        </w:rPr>
        <w:t>III-</w:t>
      </w:r>
      <w:r w:rsidR="005F218F" w:rsidRPr="005F218F">
        <w:rPr>
          <w:bCs/>
        </w:rPr>
        <w:t xml:space="preserve">6.1 </w:t>
      </w:r>
      <w:r w:rsidR="000F2C0D" w:rsidRPr="005F218F">
        <w:t>Propiedad de la infraestructura construida y cofinanciada.</w:t>
      </w:r>
      <w:bookmarkEnd w:id="169"/>
      <w:bookmarkEnd w:id="170"/>
      <w:r w:rsidR="000F2C0D" w:rsidRPr="005F218F">
        <w:t xml:space="preserve"> </w:t>
      </w:r>
    </w:p>
    <w:p w14:paraId="2DF659B4" w14:textId="77777777" w:rsidR="000F2C0D" w:rsidRPr="000F2C0D" w:rsidRDefault="000F2C0D" w:rsidP="008E39FD">
      <w:pPr>
        <w:spacing w:after="0"/>
      </w:pPr>
    </w:p>
    <w:p w14:paraId="352ABE13" w14:textId="77777777" w:rsidR="000F2C0D" w:rsidRPr="00C63186" w:rsidRDefault="000F2C0D" w:rsidP="00B03685">
      <w:pPr>
        <w:shd w:val="clear" w:color="auto" w:fill="FFFFFF" w:themeFill="background1"/>
        <w:spacing w:after="0"/>
        <w:jc w:val="both"/>
        <w:rPr>
          <w:rFonts w:ascii="Arial" w:hAnsi="Arial" w:cs="Arial"/>
          <w:sz w:val="24"/>
          <w:szCs w:val="24"/>
        </w:rPr>
      </w:pPr>
      <w:r w:rsidRPr="00C63186">
        <w:rPr>
          <w:rFonts w:ascii="Arial" w:hAnsi="Arial" w:cs="Arial"/>
          <w:sz w:val="24"/>
          <w:szCs w:val="24"/>
        </w:rPr>
        <w:t xml:space="preserve">La propiedad de la infraestructura construida y cofinanciada con recursos del FONENERGÍA o de las fuentes de recursos que habilite el Gobierno Nacional en procura de </w:t>
      </w:r>
      <w:r>
        <w:rPr>
          <w:rFonts w:ascii="Arial" w:hAnsi="Arial" w:cs="Arial"/>
          <w:sz w:val="24"/>
          <w:szCs w:val="24"/>
        </w:rPr>
        <w:t>ampliar</w:t>
      </w:r>
      <w:r w:rsidRPr="00C63186">
        <w:rPr>
          <w:rFonts w:ascii="Arial" w:hAnsi="Arial" w:cs="Arial"/>
          <w:sz w:val="24"/>
          <w:szCs w:val="24"/>
        </w:rPr>
        <w:t xml:space="preserve"> la cobertura del servicio público domiciliario de energía eléctrica, estará en cabeza de la Nación – Ministerio de Minas y Energía, en proporción directa al aporte de recursos de cofinanciación, </w:t>
      </w:r>
      <w:r>
        <w:rPr>
          <w:rFonts w:ascii="Arial" w:hAnsi="Arial" w:cs="Arial"/>
          <w:sz w:val="24"/>
          <w:szCs w:val="24"/>
        </w:rPr>
        <w:t xml:space="preserve">mientras </w:t>
      </w:r>
      <w:r w:rsidRPr="00C63186">
        <w:rPr>
          <w:rFonts w:ascii="Arial" w:hAnsi="Arial" w:cs="Arial"/>
          <w:sz w:val="24"/>
          <w:szCs w:val="24"/>
        </w:rPr>
        <w:t xml:space="preserve">no se efectúe la reposición de dicha infraestructura por parte de la persona prestadora del servicio público domiciliario de energía eléctrica beneficiaria. </w:t>
      </w:r>
    </w:p>
    <w:p w14:paraId="43CAAB1B" w14:textId="77777777" w:rsidR="000F2C0D" w:rsidRPr="00C63186" w:rsidRDefault="000F2C0D" w:rsidP="00B03685">
      <w:pPr>
        <w:shd w:val="clear" w:color="auto" w:fill="FFFFFF" w:themeFill="background1"/>
        <w:spacing w:after="0"/>
        <w:jc w:val="both"/>
        <w:rPr>
          <w:rFonts w:ascii="Arial" w:hAnsi="Arial" w:cs="Arial"/>
          <w:sz w:val="24"/>
          <w:szCs w:val="24"/>
        </w:rPr>
      </w:pPr>
    </w:p>
    <w:p w14:paraId="5112FA3B" w14:textId="77777777" w:rsidR="000F2C0D" w:rsidRPr="00C63186" w:rsidRDefault="000F2C0D" w:rsidP="00B03685">
      <w:pPr>
        <w:shd w:val="clear" w:color="auto" w:fill="FFFFFF" w:themeFill="background1"/>
        <w:spacing w:after="0"/>
        <w:jc w:val="both"/>
        <w:rPr>
          <w:rFonts w:ascii="Arial" w:hAnsi="Arial" w:cs="Arial"/>
          <w:b/>
          <w:bCs/>
          <w:sz w:val="24"/>
          <w:szCs w:val="24"/>
        </w:rPr>
      </w:pPr>
      <w:r w:rsidRPr="496D1C69">
        <w:rPr>
          <w:rFonts w:ascii="Arial" w:hAnsi="Arial" w:cs="Arial"/>
          <w:sz w:val="24"/>
          <w:szCs w:val="24"/>
        </w:rPr>
        <w:lastRenderedPageBreak/>
        <w:t>No serán objeto de remuneración vía tarifa la proporción de la inversión realizada con recursos de los extintos Fondos de Financiación que se fusionan en el FONENERGÍA y/o otras fuentes de financiación, así como los que provengan del mismo FONENERGIA, de conformidad con lo previsto en el numeral 87.9 del artículo 87 de la Ley 142 de 1994, modificado por el artículo 99 de la Ley 1450 de 2011 y el artículo 8° del Decreto Legislativo 819 de 2020.</w:t>
      </w:r>
    </w:p>
    <w:p w14:paraId="601697F4" w14:textId="77777777" w:rsidR="000F2C0D" w:rsidRPr="00C63186" w:rsidRDefault="000F2C0D" w:rsidP="00B03685">
      <w:pPr>
        <w:shd w:val="clear" w:color="auto" w:fill="FFFFFF"/>
        <w:spacing w:after="0"/>
        <w:jc w:val="both"/>
        <w:rPr>
          <w:rFonts w:ascii="Arial" w:hAnsi="Arial" w:cs="Arial"/>
          <w:bCs/>
          <w:sz w:val="24"/>
          <w:szCs w:val="24"/>
        </w:rPr>
      </w:pPr>
    </w:p>
    <w:p w14:paraId="5DD04268" w14:textId="0C95BE50" w:rsidR="000F2C0D" w:rsidRPr="00674E7A" w:rsidRDefault="00674E7A" w:rsidP="00517B59">
      <w:pPr>
        <w:pStyle w:val="Ttulo5"/>
        <w:ind w:left="1008" w:hanging="1008"/>
      </w:pPr>
      <w:bookmarkStart w:id="171" w:name="_Toc205496188"/>
      <w:bookmarkStart w:id="172" w:name="_Toc224844382"/>
      <w:r w:rsidRPr="00674E7A">
        <w:rPr>
          <w:bCs/>
        </w:rPr>
        <w:t xml:space="preserve">III-6.2 </w:t>
      </w:r>
      <w:r w:rsidR="000F2C0D" w:rsidRPr="00674E7A">
        <w:t>Valoración de la infraestructura.</w:t>
      </w:r>
      <w:bookmarkEnd w:id="171"/>
      <w:bookmarkEnd w:id="172"/>
    </w:p>
    <w:p w14:paraId="199076A9" w14:textId="77777777" w:rsidR="000F2C0D" w:rsidRPr="00C63186" w:rsidRDefault="000F2C0D" w:rsidP="00B03685">
      <w:pPr>
        <w:shd w:val="clear" w:color="auto" w:fill="FFFFFF" w:themeFill="background1"/>
        <w:spacing w:after="0"/>
        <w:jc w:val="both"/>
        <w:rPr>
          <w:rFonts w:ascii="Arial" w:hAnsi="Arial" w:cs="Arial"/>
          <w:b/>
          <w:bCs/>
          <w:sz w:val="24"/>
          <w:szCs w:val="24"/>
        </w:rPr>
      </w:pPr>
    </w:p>
    <w:p w14:paraId="5624F3EE" w14:textId="77777777" w:rsidR="000F2C0D" w:rsidRPr="001D3ED0" w:rsidRDefault="000F2C0D" w:rsidP="00B03685">
      <w:pPr>
        <w:shd w:val="clear" w:color="auto" w:fill="FFFFFF" w:themeFill="background1"/>
        <w:spacing w:after="0"/>
        <w:jc w:val="both"/>
        <w:rPr>
          <w:rFonts w:ascii="Arial" w:hAnsi="Arial" w:cs="Arial"/>
          <w:sz w:val="24"/>
          <w:szCs w:val="24"/>
        </w:rPr>
      </w:pPr>
      <w:r w:rsidRPr="001D3ED0">
        <w:rPr>
          <w:rFonts w:ascii="Arial" w:hAnsi="Arial" w:cs="Arial"/>
          <w:sz w:val="24"/>
          <w:szCs w:val="24"/>
        </w:rPr>
        <w:t xml:space="preserve">Para establecer el valor (costo histórico) de los activos resultantes de la ejecución de proyectos destinados a la prestación del servicio público domiciliario de energía eléctrica, se tomará como referencia la inversión base determinada a partir de la construcción del inventario que incluye todas las erogaciones directamente atribuibles a la adquisición y construcción del activo conforme a la normatividad contable vigente.  </w:t>
      </w:r>
    </w:p>
    <w:p w14:paraId="62AED6B0" w14:textId="77777777" w:rsidR="000F2C0D" w:rsidRPr="001D3ED0" w:rsidRDefault="000F2C0D" w:rsidP="00B03685">
      <w:pPr>
        <w:shd w:val="clear" w:color="auto" w:fill="FFFFFF" w:themeFill="background1"/>
        <w:spacing w:after="0"/>
        <w:jc w:val="both"/>
        <w:rPr>
          <w:rFonts w:ascii="Arial" w:hAnsi="Arial" w:cs="Arial"/>
          <w:sz w:val="24"/>
          <w:szCs w:val="24"/>
        </w:rPr>
      </w:pPr>
    </w:p>
    <w:p w14:paraId="686F06FC" w14:textId="77777777" w:rsidR="000F2C0D" w:rsidRPr="00C63186" w:rsidRDefault="651E2C61" w:rsidP="00B03685">
      <w:pPr>
        <w:shd w:val="clear" w:color="auto" w:fill="FFFFFF" w:themeFill="background1"/>
        <w:spacing w:after="0"/>
        <w:jc w:val="both"/>
        <w:rPr>
          <w:rFonts w:ascii="Arial" w:hAnsi="Arial" w:cs="Arial"/>
          <w:sz w:val="24"/>
          <w:szCs w:val="24"/>
        </w:rPr>
      </w:pPr>
      <w:r w:rsidRPr="001D3ED0">
        <w:rPr>
          <w:rFonts w:ascii="Arial" w:hAnsi="Arial" w:cs="Arial"/>
          <w:sz w:val="24"/>
          <w:szCs w:val="24"/>
        </w:rPr>
        <w:t>En este contexto, la clasificación de los activos en dicho inventario se realizará atendiendo a la metodología establecida por el Ministerio de Minas y Energía (MME), la cual se fundamenta en las resoluciones emitidas por la Comisión de Regulación de Energía y Gas (CREG)</w:t>
      </w:r>
      <w:r w:rsidR="000F2C0D">
        <w:rPr>
          <w:rStyle w:val="Refdenotaalpie"/>
          <w:rFonts w:ascii="Arial" w:hAnsi="Arial" w:cs="Arial"/>
          <w:sz w:val="24"/>
          <w:szCs w:val="24"/>
        </w:rPr>
        <w:footnoteReference w:id="35"/>
      </w:r>
      <w:r w:rsidRPr="001D3ED0">
        <w:rPr>
          <w:rFonts w:ascii="Arial" w:hAnsi="Arial" w:cs="Arial"/>
          <w:sz w:val="24"/>
          <w:szCs w:val="24"/>
        </w:rPr>
        <w:t>, relacionadas con la remuneración por prestación del servicio de energía eléctrica a través de infraestructura conectada al Sistema Interconectado Nacional (SIN), en Zonas No Interconectadas (ZNI) o mediante generación centralizada.</w:t>
      </w:r>
    </w:p>
    <w:p w14:paraId="066BE4B7" w14:textId="77777777" w:rsidR="000F2C0D" w:rsidRDefault="000F2C0D" w:rsidP="00B03685">
      <w:pPr>
        <w:shd w:val="clear" w:color="auto" w:fill="FFFFFF" w:themeFill="background1"/>
        <w:spacing w:after="0"/>
        <w:jc w:val="both"/>
        <w:rPr>
          <w:rFonts w:ascii="Arial" w:hAnsi="Arial" w:cs="Arial"/>
          <w:sz w:val="24"/>
          <w:szCs w:val="24"/>
        </w:rPr>
      </w:pPr>
    </w:p>
    <w:p w14:paraId="7431FAEC" w14:textId="6184E82F" w:rsidR="000F2C0D" w:rsidRDefault="00674E7A" w:rsidP="00517B59">
      <w:pPr>
        <w:pStyle w:val="Ttulo5"/>
        <w:jc w:val="both"/>
      </w:pPr>
      <w:bookmarkStart w:id="173" w:name="_Toc205496189"/>
      <w:bookmarkStart w:id="174" w:name="_Toc224844383"/>
      <w:r w:rsidRPr="00674E7A">
        <w:rPr>
          <w:bCs/>
        </w:rPr>
        <w:t xml:space="preserve">III-6.3 </w:t>
      </w:r>
      <w:r w:rsidR="000F2C0D" w:rsidRPr="00674E7A">
        <w:t>Determinación de porcentajes de copropiedad de los activos de proyectos de energía eléctrica</w:t>
      </w:r>
      <w:r w:rsidR="00406F96" w:rsidRPr="00674E7A">
        <w:t xml:space="preserve"> cuando hay cofinanciación</w:t>
      </w:r>
      <w:r w:rsidR="000F2C0D" w:rsidRPr="00674E7A">
        <w:t>.</w:t>
      </w:r>
      <w:bookmarkEnd w:id="173"/>
      <w:bookmarkEnd w:id="174"/>
    </w:p>
    <w:p w14:paraId="68DBD5AD" w14:textId="77777777" w:rsidR="000776F5" w:rsidRPr="000776F5" w:rsidRDefault="000776F5" w:rsidP="000776F5"/>
    <w:p w14:paraId="3C7423A6"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r w:rsidRPr="496D1C69">
        <w:rPr>
          <w:rFonts w:ascii="Arial" w:eastAsia="Arial" w:hAnsi="Arial" w:cs="Arial"/>
          <w:color w:val="000000" w:themeColor="text1"/>
          <w:sz w:val="24"/>
          <w:szCs w:val="24"/>
        </w:rPr>
        <w:t xml:space="preserve">Los porcentajes de copropiedad de la infraestructura construida y cofinanciada conjuntamente entre el FONENERGÍA y la </w:t>
      </w:r>
      <w:r w:rsidRPr="496D1C69">
        <w:rPr>
          <w:rFonts w:ascii="Arial" w:eastAsia="Arial" w:hAnsi="Arial" w:cs="Arial"/>
          <w:color w:val="000000" w:themeColor="text1"/>
          <w:sz w:val="24"/>
          <w:szCs w:val="24"/>
          <w:highlight w:val="yellow"/>
        </w:rPr>
        <w:t>entidad cofinanciadora</w:t>
      </w:r>
      <w:r w:rsidRPr="496D1C69">
        <w:rPr>
          <w:rFonts w:ascii="Arial" w:eastAsia="Arial" w:hAnsi="Arial" w:cs="Arial"/>
          <w:color w:val="000000" w:themeColor="text1"/>
          <w:sz w:val="24"/>
          <w:szCs w:val="24"/>
        </w:rPr>
        <w:t xml:space="preserve"> se establecerán en el Contrato suscrito entre las partes, de acuerdo con la siguiente expresión: </w:t>
      </w:r>
    </w:p>
    <w:p w14:paraId="4E887125" w14:textId="77777777" w:rsidR="000F2C0D" w:rsidRDefault="000F2C0D" w:rsidP="00B03685">
      <w:pPr>
        <w:shd w:val="clear" w:color="auto" w:fill="FFFFFF" w:themeFill="background1"/>
        <w:spacing w:after="0"/>
        <w:jc w:val="both"/>
        <w:rPr>
          <w:rFonts w:ascii="Arial" w:eastAsia="Arial" w:hAnsi="Arial" w:cs="Arial"/>
          <w:sz w:val="24"/>
          <w:szCs w:val="24"/>
        </w:rPr>
      </w:pPr>
      <w:r w:rsidRPr="496D1C69">
        <w:rPr>
          <w:rFonts w:ascii="Arial" w:eastAsia="Arial" w:hAnsi="Arial" w:cs="Arial"/>
          <w:sz w:val="24"/>
          <w:szCs w:val="24"/>
        </w:rPr>
        <w:t xml:space="preserve"> </w:t>
      </w:r>
    </w:p>
    <w:p w14:paraId="63696A1D" w14:textId="77777777" w:rsidR="000F2C0D" w:rsidRPr="009F7447" w:rsidRDefault="000F2C0D" w:rsidP="00B03685">
      <w:pPr>
        <w:shd w:val="clear" w:color="auto" w:fill="FFFFFF" w:themeFill="background1"/>
        <w:spacing w:after="0"/>
        <w:jc w:val="center"/>
        <w:rPr>
          <w:rFonts w:ascii="Segoe UI" w:eastAsia="Segoe UI" w:hAnsi="Segoe UI" w:cs="Segoe UI"/>
          <w:sz w:val="24"/>
          <w:szCs w:val="24"/>
          <w:highlight w:val="yellow"/>
        </w:rPr>
      </w:pPr>
      <w:r w:rsidRPr="496D1C69">
        <w:rPr>
          <w:rFonts w:ascii="Segoe UI" w:eastAsia="Segoe UI" w:hAnsi="Segoe UI" w:cs="Segoe UI"/>
          <w:sz w:val="24"/>
          <w:szCs w:val="24"/>
        </w:rPr>
        <w:t xml:space="preserve"> </w:t>
      </w:r>
      <m:oMath>
        <m:r>
          <w:rPr>
            <w:rFonts w:ascii="Cambria Math" w:hAnsi="Cambria Math"/>
          </w:rPr>
          <m:t>VPC=VAN+VA</m:t>
        </m:r>
        <m:sSub>
          <m:sSubPr>
            <m:ctrlPr>
              <w:rPr>
                <w:rFonts w:ascii="Cambria Math" w:hAnsi="Cambria Math"/>
              </w:rPr>
            </m:ctrlPr>
          </m:sSubPr>
          <m:e>
            <m:r>
              <w:rPr>
                <w:rFonts w:ascii="Cambria Math" w:hAnsi="Cambria Math"/>
              </w:rPr>
              <m:t>E</m:t>
            </m:r>
          </m:e>
          <m:sub>
            <m:r>
              <w:rPr>
                <w:rFonts w:ascii="Cambria Math" w:hAnsi="Cambria Math"/>
              </w:rPr>
              <m:t>1</m:t>
            </m:r>
          </m:sub>
        </m:sSub>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2</m:t>
            </m:r>
          </m:sub>
        </m:sSub>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3</m:t>
            </m:r>
          </m:sub>
        </m:sSub>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n</m:t>
            </m:r>
          </m:sub>
        </m:sSub>
      </m:oMath>
    </w:p>
    <w:p w14:paraId="5E18B3EC" w14:textId="77777777" w:rsidR="000F2C0D" w:rsidRDefault="000F2C0D" w:rsidP="00B03685">
      <w:pPr>
        <w:shd w:val="clear" w:color="auto" w:fill="FFFFFF" w:themeFill="background1"/>
        <w:spacing w:after="0"/>
        <w:jc w:val="center"/>
        <w:rPr>
          <w:rFonts w:ascii="Segoe UI" w:eastAsia="Segoe UI" w:hAnsi="Segoe UI" w:cs="Segoe UI"/>
          <w:sz w:val="24"/>
          <w:szCs w:val="24"/>
        </w:rPr>
      </w:pPr>
    </w:p>
    <w:p w14:paraId="74BB5952" w14:textId="77777777" w:rsidR="000F2C0D" w:rsidRDefault="000F2C0D" w:rsidP="00B03685">
      <w:pPr>
        <w:shd w:val="clear" w:color="auto" w:fill="FFFFFF" w:themeFill="background1"/>
        <w:spacing w:after="0"/>
        <w:jc w:val="center"/>
      </w:pPr>
      <m:oMathPara>
        <m:oMath>
          <m:r>
            <w:rPr>
              <w:rFonts w:ascii="Cambria Math" w:hAnsi="Cambria Math"/>
            </w:rPr>
            <m:t>PA</m:t>
          </m:r>
          <m:sSub>
            <m:sSubPr>
              <m:ctrlPr>
                <w:rPr>
                  <w:rFonts w:ascii="Cambria Math" w:hAnsi="Cambria Math"/>
                </w:rPr>
              </m:ctrlPr>
            </m:sSubPr>
            <m:e>
              <m:r>
                <w:rPr>
                  <w:rFonts w:ascii="Cambria Math" w:hAnsi="Cambria Math"/>
                </w:rPr>
                <m:t>E</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1</m:t>
                  </m:r>
                </m:sub>
              </m:sSub>
            </m:num>
            <m:den>
              <m:r>
                <w:rPr>
                  <w:rFonts w:ascii="Cambria Math" w:hAnsi="Cambria Math"/>
                </w:rPr>
                <m:t>VPC</m:t>
              </m:r>
            </m:den>
          </m:f>
          <m:r>
            <w:rPr>
              <w:rFonts w:ascii="Cambria Math" w:hAnsi="Cambria Math"/>
            </w:rPr>
            <m:t>×100</m:t>
          </m:r>
        </m:oMath>
      </m:oMathPara>
    </w:p>
    <w:p w14:paraId="525E90E7" w14:textId="77777777" w:rsidR="000F2C0D" w:rsidRDefault="000F2C0D" w:rsidP="00B03685">
      <w:pPr>
        <w:shd w:val="clear" w:color="auto" w:fill="FFFFFF" w:themeFill="background1"/>
        <w:spacing w:after="0"/>
        <w:jc w:val="center"/>
      </w:pPr>
    </w:p>
    <w:p w14:paraId="10E9E056" w14:textId="77777777" w:rsidR="000F2C0D" w:rsidRDefault="000F2C0D" w:rsidP="00B03685">
      <w:pPr>
        <w:shd w:val="clear" w:color="auto" w:fill="FFFFFF" w:themeFill="background1"/>
        <w:spacing w:after="0"/>
        <w:jc w:val="center"/>
      </w:pPr>
      <m:oMathPara>
        <m:oMath>
          <m:r>
            <w:rPr>
              <w:rFonts w:ascii="Cambria Math" w:hAnsi="Cambria Math"/>
            </w:rPr>
            <m:t>PA</m:t>
          </m:r>
          <m:sSub>
            <m:sSubPr>
              <m:ctrlPr>
                <w:rPr>
                  <w:rFonts w:ascii="Cambria Math" w:hAnsi="Cambria Math"/>
                </w:rPr>
              </m:ctrlPr>
            </m:sSubPr>
            <m:e>
              <m:r>
                <w:rPr>
                  <w:rFonts w:ascii="Cambria Math" w:hAnsi="Cambria Math"/>
                </w:rPr>
                <m:t>E</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2</m:t>
                  </m:r>
                </m:sub>
              </m:sSub>
            </m:num>
            <m:den>
              <m:r>
                <w:rPr>
                  <w:rFonts w:ascii="Cambria Math" w:hAnsi="Cambria Math"/>
                </w:rPr>
                <m:t>VPC</m:t>
              </m:r>
            </m:den>
          </m:f>
          <m:r>
            <w:rPr>
              <w:rFonts w:ascii="Cambria Math" w:hAnsi="Cambria Math"/>
            </w:rPr>
            <m:t>×100</m:t>
          </m:r>
        </m:oMath>
      </m:oMathPara>
    </w:p>
    <w:p w14:paraId="775004BA" w14:textId="77777777" w:rsidR="000F2C0D" w:rsidRDefault="000F2C0D" w:rsidP="00B03685">
      <w:pPr>
        <w:shd w:val="clear" w:color="auto" w:fill="FFFFFF" w:themeFill="background1"/>
        <w:spacing w:after="0"/>
        <w:jc w:val="center"/>
        <w:rPr>
          <w:rFonts w:ascii="Segoe UI" w:eastAsia="Segoe UI" w:hAnsi="Segoe UI" w:cs="Segoe UI"/>
          <w:sz w:val="24"/>
          <w:szCs w:val="24"/>
        </w:rPr>
      </w:pPr>
    </w:p>
    <w:p w14:paraId="53D24A55" w14:textId="77777777" w:rsidR="000F2C0D" w:rsidRDefault="000F2C0D" w:rsidP="00B03685">
      <w:pPr>
        <w:shd w:val="clear" w:color="auto" w:fill="FFFFFF" w:themeFill="background1"/>
        <w:spacing w:after="0"/>
        <w:jc w:val="center"/>
        <w:rPr>
          <w:rFonts w:ascii="Segoe UI" w:eastAsia="Segoe UI" w:hAnsi="Segoe UI" w:cs="Segoe UI"/>
          <w:sz w:val="24"/>
          <w:szCs w:val="24"/>
        </w:rPr>
      </w:pPr>
      <m:oMathPara>
        <m:oMath>
          <m:r>
            <w:rPr>
              <w:rFonts w:ascii="Cambria Math" w:hAnsi="Cambria Math"/>
            </w:rPr>
            <m:t>PA</m:t>
          </m:r>
          <m:sSub>
            <m:sSubPr>
              <m:ctrlPr>
                <w:rPr>
                  <w:rFonts w:ascii="Cambria Math" w:hAnsi="Cambria Math"/>
                </w:rPr>
              </m:ctrlPr>
            </m:sSubPr>
            <m:e>
              <m:r>
                <w:rPr>
                  <w:rFonts w:ascii="Cambria Math" w:hAnsi="Cambria Math"/>
                </w:rPr>
                <m:t>E</m:t>
              </m:r>
            </m:e>
            <m:sub>
              <m:r>
                <w:rPr>
                  <w:rFonts w:ascii="Cambria Math" w:hAnsi="Cambria Math"/>
                </w:rPr>
                <m:t>3</m:t>
              </m:r>
            </m:sub>
          </m:sSub>
          <m:r>
            <w:rPr>
              <w:rFonts w:ascii="Cambria Math" w:hAnsi="Cambria Math"/>
            </w:rPr>
            <m:t>=</m:t>
          </m:r>
          <m:f>
            <m:fPr>
              <m:ctrlPr>
                <w:rPr>
                  <w:rFonts w:ascii="Cambria Math" w:hAnsi="Cambria Math"/>
                </w:rPr>
              </m:ctrlPr>
            </m:fPr>
            <m:num>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3</m:t>
                  </m:r>
                </m:sub>
              </m:sSub>
            </m:num>
            <m:den>
              <m:r>
                <w:rPr>
                  <w:rFonts w:ascii="Cambria Math" w:hAnsi="Cambria Math"/>
                </w:rPr>
                <m:t>VPC</m:t>
              </m:r>
            </m:den>
          </m:f>
          <m:r>
            <w:rPr>
              <w:rFonts w:ascii="Cambria Math" w:hAnsi="Cambria Math"/>
            </w:rPr>
            <m:t>×100</m:t>
          </m:r>
        </m:oMath>
      </m:oMathPara>
    </w:p>
    <w:p w14:paraId="457A74F9" w14:textId="77777777" w:rsidR="000F2C0D" w:rsidRDefault="000F2C0D" w:rsidP="00B03685">
      <w:pPr>
        <w:shd w:val="clear" w:color="auto" w:fill="FFFFFF" w:themeFill="background1"/>
        <w:spacing w:after="0"/>
        <w:jc w:val="center"/>
        <w:rPr>
          <w:rFonts w:ascii="Segoe UI" w:eastAsia="Segoe UI" w:hAnsi="Segoe UI" w:cs="Segoe UI"/>
          <w:sz w:val="24"/>
          <w:szCs w:val="24"/>
        </w:rPr>
      </w:pPr>
      <w:r w:rsidRPr="496D1C69">
        <w:rPr>
          <w:rFonts w:ascii="Segoe UI" w:eastAsia="Segoe UI" w:hAnsi="Segoe UI" w:cs="Segoe UI"/>
          <w:sz w:val="24"/>
          <w:szCs w:val="24"/>
        </w:rPr>
        <w:t>.</w:t>
      </w:r>
    </w:p>
    <w:p w14:paraId="05E642FC" w14:textId="77777777" w:rsidR="000F2C0D" w:rsidRDefault="000F2C0D" w:rsidP="00B03685">
      <w:pPr>
        <w:shd w:val="clear" w:color="auto" w:fill="FFFFFF" w:themeFill="background1"/>
        <w:spacing w:after="0"/>
        <w:jc w:val="center"/>
        <w:rPr>
          <w:rFonts w:ascii="Segoe UI" w:eastAsia="Segoe UI" w:hAnsi="Segoe UI" w:cs="Segoe UI"/>
          <w:sz w:val="24"/>
          <w:szCs w:val="24"/>
        </w:rPr>
      </w:pPr>
      <w:r w:rsidRPr="496D1C69">
        <w:rPr>
          <w:rFonts w:ascii="Segoe UI" w:eastAsia="Segoe UI" w:hAnsi="Segoe UI" w:cs="Segoe UI"/>
          <w:sz w:val="24"/>
          <w:szCs w:val="24"/>
        </w:rPr>
        <w:t>.</w:t>
      </w:r>
    </w:p>
    <w:p w14:paraId="6DA47ECF" w14:textId="77777777" w:rsidR="000F2C0D" w:rsidRDefault="000F2C0D" w:rsidP="00B03685">
      <w:pPr>
        <w:shd w:val="clear" w:color="auto" w:fill="FFFFFF" w:themeFill="background1"/>
        <w:spacing w:after="0"/>
        <w:jc w:val="center"/>
        <w:rPr>
          <w:rFonts w:ascii="Segoe UI" w:eastAsia="Segoe UI" w:hAnsi="Segoe UI" w:cs="Segoe UI"/>
          <w:sz w:val="24"/>
          <w:szCs w:val="24"/>
        </w:rPr>
      </w:pPr>
      <w:r w:rsidRPr="496D1C69">
        <w:rPr>
          <w:rFonts w:ascii="Segoe UI" w:eastAsia="Segoe UI" w:hAnsi="Segoe UI" w:cs="Segoe UI"/>
          <w:sz w:val="24"/>
          <w:szCs w:val="24"/>
        </w:rPr>
        <w:t>.</w:t>
      </w:r>
    </w:p>
    <w:p w14:paraId="5AA1AD0E" w14:textId="77777777" w:rsidR="000F2C0D" w:rsidRDefault="000F2C0D" w:rsidP="00B03685">
      <w:pPr>
        <w:shd w:val="clear" w:color="auto" w:fill="FFFFFF" w:themeFill="background1"/>
        <w:spacing w:after="0"/>
        <w:jc w:val="center"/>
        <w:rPr>
          <w:rFonts w:ascii="Segoe UI" w:eastAsia="Segoe UI" w:hAnsi="Segoe UI" w:cs="Segoe UI"/>
          <w:sz w:val="24"/>
          <w:szCs w:val="24"/>
        </w:rPr>
      </w:pPr>
      <m:oMathPara>
        <m:oMath>
          <m:r>
            <w:rPr>
              <w:rFonts w:ascii="Cambria Math" w:hAnsi="Cambria Math"/>
            </w:rPr>
            <m:t>PA</m:t>
          </m:r>
          <m:sSub>
            <m:sSubPr>
              <m:ctrlPr>
                <w:rPr>
                  <w:rFonts w:ascii="Cambria Math" w:hAnsi="Cambria Math"/>
                </w:rPr>
              </m:ctrlPr>
            </m:sSubPr>
            <m:e>
              <m:r>
                <w:rPr>
                  <w:rFonts w:ascii="Cambria Math" w:hAnsi="Cambria Math"/>
                </w:rPr>
                <m:t>E</m:t>
              </m:r>
            </m:e>
            <m:sub>
              <m:r>
                <w:rPr>
                  <w:rFonts w:ascii="Cambria Math" w:hAnsi="Cambria Math"/>
                </w:rPr>
                <m:t>n</m:t>
              </m:r>
            </m:sub>
          </m:sSub>
          <m:r>
            <w:rPr>
              <w:rFonts w:ascii="Cambria Math" w:hAnsi="Cambria Math"/>
            </w:rPr>
            <m:t>=</m:t>
          </m:r>
          <m:f>
            <m:fPr>
              <m:ctrlPr>
                <w:rPr>
                  <w:rFonts w:ascii="Cambria Math" w:hAnsi="Cambria Math"/>
                </w:rPr>
              </m:ctrlPr>
            </m:fPr>
            <m:num>
              <m:r>
                <w:rPr>
                  <w:rFonts w:ascii="Cambria Math" w:hAnsi="Cambria Math"/>
                </w:rPr>
                <m:t>VA</m:t>
              </m:r>
              <m:sSub>
                <m:sSubPr>
                  <m:ctrlPr>
                    <w:rPr>
                      <w:rFonts w:ascii="Cambria Math" w:hAnsi="Cambria Math"/>
                    </w:rPr>
                  </m:ctrlPr>
                </m:sSubPr>
                <m:e>
                  <m:r>
                    <w:rPr>
                      <w:rFonts w:ascii="Cambria Math" w:hAnsi="Cambria Math"/>
                    </w:rPr>
                    <m:t>E</m:t>
                  </m:r>
                </m:e>
                <m:sub>
                  <m:r>
                    <w:rPr>
                      <w:rFonts w:ascii="Cambria Math" w:hAnsi="Cambria Math"/>
                    </w:rPr>
                    <m:t>n</m:t>
                  </m:r>
                </m:sub>
              </m:sSub>
            </m:num>
            <m:den>
              <m:r>
                <w:rPr>
                  <w:rFonts w:ascii="Cambria Math" w:hAnsi="Cambria Math"/>
                </w:rPr>
                <m:t>VPC</m:t>
              </m:r>
            </m:den>
          </m:f>
          <m:r>
            <w:rPr>
              <w:rFonts w:ascii="Cambria Math" w:hAnsi="Cambria Math"/>
            </w:rPr>
            <m:t>×100</m:t>
          </m:r>
        </m:oMath>
      </m:oMathPara>
    </w:p>
    <w:p w14:paraId="0778D49F" w14:textId="77777777" w:rsidR="000F2C0D" w:rsidRDefault="000F2C0D" w:rsidP="00B03685">
      <w:pPr>
        <w:shd w:val="clear" w:color="auto" w:fill="FFFFFF" w:themeFill="background1"/>
        <w:spacing w:after="0"/>
        <w:jc w:val="center"/>
        <w:rPr>
          <w:rFonts w:ascii="Arial" w:eastAsia="Arial" w:hAnsi="Arial" w:cs="Arial"/>
          <w:color w:val="000000" w:themeColor="text1"/>
          <w:sz w:val="24"/>
          <w:szCs w:val="24"/>
        </w:rPr>
      </w:pPr>
      <w:r w:rsidRPr="496D1C69">
        <w:rPr>
          <w:rFonts w:ascii="Arial" w:eastAsia="Arial" w:hAnsi="Arial" w:cs="Arial"/>
          <w:color w:val="000000" w:themeColor="text1"/>
          <w:sz w:val="24"/>
          <w:szCs w:val="24"/>
        </w:rPr>
        <w:t xml:space="preserve"> </w:t>
      </w:r>
    </w:p>
    <w:p w14:paraId="418185C5"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r w:rsidRPr="496D1C69">
        <w:rPr>
          <w:rFonts w:ascii="Arial" w:eastAsia="Arial" w:hAnsi="Arial" w:cs="Arial"/>
          <w:color w:val="000000" w:themeColor="text1"/>
          <w:sz w:val="24"/>
          <w:szCs w:val="24"/>
        </w:rPr>
        <w:t>Donde:</w:t>
      </w:r>
    </w:p>
    <w:p w14:paraId="20F59E46"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r w:rsidRPr="496D1C69">
        <w:rPr>
          <w:rFonts w:ascii="Arial" w:eastAsia="Arial" w:hAnsi="Arial" w:cs="Arial"/>
          <w:color w:val="000000" w:themeColor="text1"/>
          <w:sz w:val="24"/>
          <w:szCs w:val="24"/>
        </w:rPr>
        <w:lastRenderedPageBreak/>
        <w:t xml:space="preserve"> </w:t>
      </w:r>
    </w:p>
    <w:p w14:paraId="09C5B6C1"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r w:rsidRPr="496D1C69">
        <w:rPr>
          <w:rFonts w:ascii="Arial" w:eastAsia="Arial" w:hAnsi="Arial" w:cs="Arial"/>
          <w:b/>
          <w:bCs/>
          <w:color w:val="000000" w:themeColor="text1"/>
          <w:sz w:val="24"/>
          <w:szCs w:val="24"/>
        </w:rPr>
        <w:t>Valor del Proyecto Cofinanciado(VPC) =</w:t>
      </w:r>
      <w:r w:rsidRPr="496D1C69">
        <w:rPr>
          <w:rFonts w:ascii="Arial" w:eastAsia="Arial" w:hAnsi="Arial" w:cs="Arial"/>
          <w:color w:val="000000" w:themeColor="text1"/>
          <w:sz w:val="24"/>
          <w:szCs w:val="24"/>
        </w:rPr>
        <w:t xml:space="preserve"> Corresponde a la inversión total realizada en sistemas destinados a la prestación del servicio público domiciliario de energía eléctrica establecido en el respectivo Contrato.  </w:t>
      </w:r>
    </w:p>
    <w:p w14:paraId="0100BCFE" w14:textId="77777777" w:rsidR="000F2C0D" w:rsidRDefault="000F2C0D" w:rsidP="00B03685">
      <w:pPr>
        <w:shd w:val="clear" w:color="auto" w:fill="FFFFFF" w:themeFill="background1"/>
        <w:spacing w:after="0"/>
        <w:jc w:val="both"/>
        <w:rPr>
          <w:rFonts w:ascii="Segoe UI" w:eastAsia="Segoe UI" w:hAnsi="Segoe UI" w:cs="Segoe UI"/>
          <w:sz w:val="18"/>
          <w:szCs w:val="18"/>
        </w:rPr>
      </w:pPr>
      <w:r w:rsidRPr="496D1C69">
        <w:rPr>
          <w:rFonts w:ascii="Segoe UI" w:eastAsia="Segoe UI" w:hAnsi="Segoe UI" w:cs="Segoe UI"/>
          <w:sz w:val="18"/>
          <w:szCs w:val="18"/>
        </w:rPr>
        <w:t xml:space="preserve"> </w:t>
      </w:r>
    </w:p>
    <w:p w14:paraId="145F1C91" w14:textId="77777777" w:rsidR="000F2C0D" w:rsidRDefault="000F2C0D" w:rsidP="00B03685">
      <w:pPr>
        <w:shd w:val="clear" w:color="auto" w:fill="FFFFFF" w:themeFill="background1"/>
        <w:spacing w:after="0"/>
        <w:jc w:val="both"/>
        <w:rPr>
          <w:rFonts w:ascii="Arial" w:hAnsi="Arial" w:cs="Arial"/>
          <w:b/>
          <w:bCs/>
          <w:sz w:val="24"/>
          <w:szCs w:val="24"/>
        </w:rPr>
      </w:pPr>
      <w:r w:rsidRPr="496D1C69">
        <w:rPr>
          <w:rFonts w:ascii="Arial" w:eastAsia="Arial" w:hAnsi="Arial" w:cs="Arial"/>
          <w:b/>
          <w:bCs/>
          <w:color w:val="000000" w:themeColor="text1"/>
          <w:sz w:val="24"/>
          <w:szCs w:val="24"/>
        </w:rPr>
        <w:t>Valor Aportes Nación(VAN) =</w:t>
      </w:r>
      <w:r w:rsidRPr="496D1C69">
        <w:rPr>
          <w:rFonts w:ascii="Arial" w:eastAsia="Arial" w:hAnsi="Arial" w:cs="Arial"/>
          <w:color w:val="000000" w:themeColor="text1"/>
          <w:sz w:val="24"/>
          <w:szCs w:val="24"/>
        </w:rPr>
        <w:t xml:space="preserve"> Valor Aportes de la Nación a través de FONENERGÍA a un proyecto cofinanciado establecido en la suscripción del contrato.</w:t>
      </w:r>
    </w:p>
    <w:p w14:paraId="1FD79450"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r w:rsidRPr="496D1C69">
        <w:rPr>
          <w:rFonts w:ascii="Arial" w:eastAsia="Arial" w:hAnsi="Arial" w:cs="Arial"/>
          <w:b/>
          <w:bCs/>
          <w:color w:val="000000" w:themeColor="text1"/>
          <w:sz w:val="24"/>
          <w:szCs w:val="24"/>
        </w:rPr>
        <w:t>Valor Aportes Entidad Cofinanciadora (VAE</w:t>
      </w:r>
      <w:r w:rsidRPr="009F7447">
        <w:rPr>
          <w:rFonts w:ascii="Arial" w:eastAsia="Arial" w:hAnsi="Arial" w:cs="Arial"/>
          <w:b/>
          <w:bCs/>
          <w:color w:val="000000" w:themeColor="text1"/>
          <w:sz w:val="24"/>
          <w:szCs w:val="24"/>
          <w:vertAlign w:val="subscript"/>
        </w:rPr>
        <w:t>n</w:t>
      </w:r>
      <w:r w:rsidRPr="496D1C69">
        <w:rPr>
          <w:rFonts w:ascii="Arial" w:eastAsia="Arial" w:hAnsi="Arial" w:cs="Arial"/>
          <w:b/>
          <w:bCs/>
          <w:color w:val="000000" w:themeColor="text1"/>
          <w:sz w:val="24"/>
          <w:szCs w:val="24"/>
        </w:rPr>
        <w:t>)</w:t>
      </w:r>
      <w:r w:rsidRPr="009F7447">
        <w:rPr>
          <w:rFonts w:ascii="Arial" w:eastAsia="Arial" w:hAnsi="Arial" w:cs="Arial"/>
          <w:b/>
          <w:bCs/>
          <w:color w:val="000000" w:themeColor="text1"/>
          <w:sz w:val="24"/>
          <w:szCs w:val="24"/>
          <w:vertAlign w:val="subscript"/>
        </w:rPr>
        <w:t>=</w:t>
      </w:r>
      <w:r w:rsidRPr="496D1C69">
        <w:rPr>
          <w:rFonts w:ascii="Arial" w:eastAsia="Arial" w:hAnsi="Arial" w:cs="Arial"/>
          <w:color w:val="000000" w:themeColor="text1"/>
          <w:sz w:val="24"/>
          <w:szCs w:val="24"/>
        </w:rPr>
        <w:t xml:space="preserve"> Aportes de las entidades en un proyecto determinado, acumulados al momento de formalización del contrato suscrito.</w:t>
      </w:r>
    </w:p>
    <w:p w14:paraId="2C61716E"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p>
    <w:p w14:paraId="3149592C"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r w:rsidRPr="496D1C69">
        <w:rPr>
          <w:rFonts w:ascii="Arial" w:eastAsia="Arial" w:hAnsi="Arial" w:cs="Arial"/>
          <w:b/>
          <w:bCs/>
          <w:color w:val="000000" w:themeColor="text1"/>
          <w:sz w:val="24"/>
          <w:szCs w:val="24"/>
        </w:rPr>
        <w:t>Porcentaje Aportes Entidad Cofinanciadora (PAE</w:t>
      </w:r>
      <w:r w:rsidRPr="496D1C69">
        <w:rPr>
          <w:rFonts w:ascii="Arial" w:eastAsia="Arial" w:hAnsi="Arial" w:cs="Arial"/>
          <w:b/>
          <w:bCs/>
          <w:color w:val="000000" w:themeColor="text1"/>
          <w:sz w:val="24"/>
          <w:szCs w:val="24"/>
          <w:vertAlign w:val="subscript"/>
        </w:rPr>
        <w:t>n</w:t>
      </w:r>
      <w:r w:rsidRPr="496D1C69">
        <w:rPr>
          <w:rFonts w:ascii="Arial" w:eastAsia="Arial" w:hAnsi="Arial" w:cs="Arial"/>
          <w:b/>
          <w:bCs/>
          <w:color w:val="000000" w:themeColor="text1"/>
          <w:sz w:val="24"/>
          <w:szCs w:val="24"/>
        </w:rPr>
        <w:t xml:space="preserve">) = </w:t>
      </w:r>
      <w:r w:rsidRPr="009F7447">
        <w:rPr>
          <w:rFonts w:ascii="Arial" w:eastAsia="Arial" w:hAnsi="Arial" w:cs="Arial"/>
          <w:color w:val="000000" w:themeColor="text1"/>
          <w:sz w:val="24"/>
          <w:szCs w:val="24"/>
        </w:rPr>
        <w:t>Porcentaje</w:t>
      </w:r>
      <w:r w:rsidRPr="496D1C69">
        <w:rPr>
          <w:rFonts w:ascii="Arial" w:eastAsia="Arial" w:hAnsi="Arial" w:cs="Arial"/>
          <w:color w:val="000000" w:themeColor="text1"/>
          <w:sz w:val="24"/>
          <w:szCs w:val="24"/>
        </w:rPr>
        <w:t xml:space="preserve"> aportes de las entidades en un proyecto determinado, acumulados al momento de formalización del contrato suscrito.</w:t>
      </w:r>
    </w:p>
    <w:p w14:paraId="65EEC4C3" w14:textId="77777777" w:rsidR="000F2C0D" w:rsidRDefault="000F2C0D" w:rsidP="00B03685">
      <w:pPr>
        <w:shd w:val="clear" w:color="auto" w:fill="FFFFFF" w:themeFill="background1"/>
        <w:spacing w:after="0"/>
        <w:jc w:val="both"/>
        <w:rPr>
          <w:rFonts w:ascii="Arial" w:eastAsia="Arial" w:hAnsi="Arial" w:cs="Arial"/>
          <w:color w:val="000000" w:themeColor="text1"/>
          <w:sz w:val="24"/>
          <w:szCs w:val="24"/>
        </w:rPr>
      </w:pPr>
    </w:p>
    <w:p w14:paraId="13FF51E2" w14:textId="02130368" w:rsidR="000F2C0D" w:rsidRPr="00141995" w:rsidRDefault="009C13F7" w:rsidP="00517B59">
      <w:pPr>
        <w:pStyle w:val="Ttulo5"/>
        <w:ind w:left="1008" w:hanging="1008"/>
        <w:jc w:val="both"/>
      </w:pPr>
      <w:bookmarkStart w:id="175" w:name="_Toc205496194"/>
      <w:bookmarkStart w:id="176" w:name="_Toc224844384"/>
      <w:r w:rsidRPr="00141995">
        <w:t>III-</w:t>
      </w:r>
      <w:r w:rsidR="00141995" w:rsidRPr="00141995">
        <w:rPr>
          <w:bCs/>
        </w:rPr>
        <w:t xml:space="preserve">6.4 </w:t>
      </w:r>
      <w:r w:rsidR="000F2C0D" w:rsidRPr="00141995">
        <w:t>Contabilización de aportes de la Nación para proyectos de Energía Eléctrica.</w:t>
      </w:r>
      <w:bookmarkEnd w:id="175"/>
      <w:bookmarkEnd w:id="176"/>
    </w:p>
    <w:p w14:paraId="472D6D91" w14:textId="77777777" w:rsidR="002E3DB0" w:rsidRDefault="002E3DB0" w:rsidP="00B03685">
      <w:pPr>
        <w:shd w:val="clear" w:color="auto" w:fill="FFFFFF" w:themeFill="background1"/>
        <w:spacing w:after="0"/>
        <w:jc w:val="both"/>
        <w:rPr>
          <w:rFonts w:ascii="Arial" w:hAnsi="Arial" w:cs="Arial"/>
          <w:sz w:val="24"/>
          <w:szCs w:val="24"/>
        </w:rPr>
      </w:pPr>
    </w:p>
    <w:p w14:paraId="44F50F96" w14:textId="7DBC9858" w:rsidR="000F2C0D" w:rsidRPr="009F7447" w:rsidRDefault="000F2C0D" w:rsidP="00B03685">
      <w:pPr>
        <w:shd w:val="clear" w:color="auto" w:fill="FFFFFF" w:themeFill="background1"/>
        <w:spacing w:after="0"/>
        <w:jc w:val="both"/>
        <w:rPr>
          <w:rFonts w:ascii="Arial" w:hAnsi="Arial" w:cs="Arial"/>
          <w:sz w:val="24"/>
          <w:szCs w:val="24"/>
        </w:rPr>
      </w:pPr>
      <w:r w:rsidRPr="009F7447">
        <w:rPr>
          <w:rFonts w:ascii="Arial" w:hAnsi="Arial" w:cs="Arial"/>
          <w:sz w:val="24"/>
          <w:szCs w:val="24"/>
        </w:rPr>
        <w:t xml:space="preserve">Una vez </w:t>
      </w:r>
      <w:r w:rsidRPr="496D1C69">
        <w:rPr>
          <w:rFonts w:ascii="Arial" w:hAnsi="Arial" w:cs="Arial"/>
          <w:sz w:val="24"/>
          <w:szCs w:val="24"/>
        </w:rPr>
        <w:t>establecidos</w:t>
      </w:r>
      <w:r w:rsidRPr="009F7447">
        <w:rPr>
          <w:rFonts w:ascii="Arial" w:hAnsi="Arial" w:cs="Arial"/>
          <w:sz w:val="24"/>
          <w:szCs w:val="24"/>
        </w:rPr>
        <w:t xml:space="preserve"> los porcentajes de copropiedad y calculadas las inversiones realizadas por la Nación, el Ministerio de Minas y Energía registrará en su contabilidad el valor del activo correspondiente a su aporte, de conformidad con el Régimen de Contabilidad Pública vigente para entidades del gobierno, expedido por la Contaduría General de la Nación.</w:t>
      </w:r>
    </w:p>
    <w:p w14:paraId="0863C816" w14:textId="77777777" w:rsidR="000F2C0D" w:rsidRPr="009F7447" w:rsidRDefault="000F2C0D" w:rsidP="00B03685">
      <w:pPr>
        <w:shd w:val="clear" w:color="auto" w:fill="FFFFFF" w:themeFill="background1"/>
        <w:spacing w:after="0"/>
        <w:jc w:val="both"/>
        <w:rPr>
          <w:rFonts w:ascii="Arial" w:hAnsi="Arial" w:cs="Arial"/>
          <w:sz w:val="24"/>
          <w:szCs w:val="24"/>
        </w:rPr>
      </w:pPr>
      <w:r w:rsidRPr="009F7447">
        <w:rPr>
          <w:rFonts w:ascii="Arial" w:hAnsi="Arial" w:cs="Arial"/>
          <w:sz w:val="24"/>
          <w:szCs w:val="24"/>
        </w:rPr>
        <w:t xml:space="preserve"> </w:t>
      </w:r>
    </w:p>
    <w:p w14:paraId="76FF9841" w14:textId="77777777" w:rsidR="000F2C0D" w:rsidRPr="009F7447" w:rsidRDefault="000F2C0D" w:rsidP="00B03685">
      <w:pPr>
        <w:shd w:val="clear" w:color="auto" w:fill="FFFFFF" w:themeFill="background1"/>
        <w:spacing w:after="0"/>
        <w:jc w:val="both"/>
        <w:rPr>
          <w:rFonts w:ascii="Arial" w:hAnsi="Arial" w:cs="Arial"/>
          <w:sz w:val="24"/>
          <w:szCs w:val="24"/>
        </w:rPr>
      </w:pPr>
      <w:r w:rsidRPr="009F7447">
        <w:rPr>
          <w:rFonts w:ascii="Arial" w:hAnsi="Arial" w:cs="Arial"/>
          <w:sz w:val="24"/>
          <w:szCs w:val="24"/>
        </w:rPr>
        <w:t>El registro contable del activo se realizará en dos etapas:</w:t>
      </w:r>
    </w:p>
    <w:p w14:paraId="4680F285" w14:textId="77777777" w:rsidR="000F2C0D" w:rsidRPr="009F7447" w:rsidRDefault="000F2C0D" w:rsidP="00B03685">
      <w:pPr>
        <w:shd w:val="clear" w:color="auto" w:fill="FFFFFF" w:themeFill="background1"/>
        <w:spacing w:after="0"/>
        <w:jc w:val="both"/>
        <w:rPr>
          <w:rFonts w:ascii="Arial" w:hAnsi="Arial" w:cs="Arial"/>
          <w:sz w:val="24"/>
          <w:szCs w:val="24"/>
        </w:rPr>
      </w:pPr>
      <w:r w:rsidRPr="009F7447">
        <w:rPr>
          <w:rFonts w:ascii="Arial" w:hAnsi="Arial" w:cs="Arial"/>
          <w:sz w:val="24"/>
          <w:szCs w:val="24"/>
        </w:rPr>
        <w:t xml:space="preserve"> </w:t>
      </w:r>
    </w:p>
    <w:p w14:paraId="5BE4AA5D" w14:textId="77777777" w:rsidR="000F2C0D" w:rsidRPr="009F7447" w:rsidRDefault="000F2C0D" w:rsidP="00B320D0">
      <w:pPr>
        <w:pStyle w:val="Prrafodelista"/>
        <w:numPr>
          <w:ilvl w:val="0"/>
          <w:numId w:val="5"/>
        </w:numPr>
        <w:shd w:val="clear" w:color="auto" w:fill="FFFFFF" w:themeFill="background1"/>
        <w:spacing w:after="0"/>
        <w:jc w:val="both"/>
        <w:rPr>
          <w:rFonts w:ascii="Arial" w:hAnsi="Arial" w:cs="Arial"/>
        </w:rPr>
      </w:pPr>
      <w:r w:rsidRPr="009F7447">
        <w:rPr>
          <w:rFonts w:ascii="Arial" w:hAnsi="Arial" w:cs="Arial"/>
          <w:sz w:val="24"/>
          <w:szCs w:val="24"/>
        </w:rPr>
        <w:t>Ingreso preliminar: Se efectúa con base en la información disponible al momento de la suscripción del Acta de Recibo y Entrega de la infraestructura eléctrica, mediante la cual se formaliza el prestador del servicio responsable de la administración, operación y mantenimiento (AOM) de dicha infraestructura. En caso de requerirse, se suscribirá con el Ministerio de Minas y Energía el Contrato Especial de que trata el numeral 39.3 del artículo 39 de la Ley 142 de 1994, o la norma que lo modifique o sustituya.</w:t>
      </w:r>
    </w:p>
    <w:p w14:paraId="6E6887A7" w14:textId="77777777" w:rsidR="000F2C0D" w:rsidRPr="009F7447" w:rsidRDefault="000F2C0D" w:rsidP="00B03685">
      <w:pPr>
        <w:shd w:val="clear" w:color="auto" w:fill="FFFFFF" w:themeFill="background1"/>
        <w:spacing w:after="0"/>
        <w:jc w:val="both"/>
        <w:rPr>
          <w:rFonts w:ascii="Arial" w:hAnsi="Arial" w:cs="Arial"/>
          <w:sz w:val="24"/>
          <w:szCs w:val="24"/>
        </w:rPr>
      </w:pPr>
      <w:r w:rsidRPr="009F7447">
        <w:rPr>
          <w:rFonts w:ascii="Arial" w:hAnsi="Arial" w:cs="Arial"/>
          <w:sz w:val="24"/>
          <w:szCs w:val="24"/>
        </w:rPr>
        <w:t xml:space="preserve"> </w:t>
      </w:r>
    </w:p>
    <w:p w14:paraId="3B28F1A7" w14:textId="77777777" w:rsidR="000F2C0D" w:rsidRDefault="000F2C0D" w:rsidP="00B320D0">
      <w:pPr>
        <w:pStyle w:val="Prrafodelista"/>
        <w:numPr>
          <w:ilvl w:val="0"/>
          <w:numId w:val="5"/>
        </w:numPr>
        <w:shd w:val="clear" w:color="auto" w:fill="FFFFFF" w:themeFill="background1"/>
        <w:spacing w:after="0"/>
        <w:jc w:val="both"/>
        <w:rPr>
          <w:rFonts w:ascii="Arial" w:hAnsi="Arial" w:cs="Arial"/>
        </w:rPr>
      </w:pPr>
      <w:r w:rsidRPr="009F7447">
        <w:rPr>
          <w:rFonts w:ascii="Arial" w:hAnsi="Arial" w:cs="Arial"/>
          <w:sz w:val="24"/>
          <w:szCs w:val="24"/>
        </w:rPr>
        <w:t xml:space="preserve">Ingreso definitivo: Se actualiza el valor registrado con la suscripción del acta de liquidación </w:t>
      </w:r>
      <w:r w:rsidRPr="496D1C69">
        <w:rPr>
          <w:rFonts w:ascii="Arial" w:hAnsi="Arial" w:cs="Arial"/>
          <w:sz w:val="24"/>
          <w:szCs w:val="24"/>
        </w:rPr>
        <w:t xml:space="preserve">o cierre financiero </w:t>
      </w:r>
      <w:r w:rsidRPr="009F7447">
        <w:rPr>
          <w:rFonts w:ascii="Arial" w:hAnsi="Arial" w:cs="Arial"/>
          <w:sz w:val="24"/>
          <w:szCs w:val="24"/>
        </w:rPr>
        <w:t>del contrato, para reflejarlo en los estados financieros de la entidad.</w:t>
      </w:r>
    </w:p>
    <w:p w14:paraId="2CCB615F" w14:textId="77777777" w:rsidR="000F2C0D" w:rsidRDefault="000F2C0D" w:rsidP="00B03685">
      <w:pPr>
        <w:pStyle w:val="Prrafodelista"/>
        <w:shd w:val="clear" w:color="auto" w:fill="FFFFFF" w:themeFill="background1"/>
        <w:spacing w:after="0"/>
        <w:jc w:val="both"/>
        <w:rPr>
          <w:rFonts w:ascii="Arial" w:hAnsi="Arial" w:cs="Arial"/>
        </w:rPr>
      </w:pPr>
    </w:p>
    <w:p w14:paraId="11633ADA" w14:textId="57087B6B" w:rsidR="000F2C0D" w:rsidRPr="009F7447" w:rsidRDefault="000F2C0D" w:rsidP="002E3DB0">
      <w:pPr>
        <w:shd w:val="clear" w:color="auto" w:fill="FFFFFF" w:themeFill="background1"/>
        <w:spacing w:after="0"/>
        <w:jc w:val="both"/>
        <w:rPr>
          <w:rFonts w:ascii="Arial" w:hAnsi="Arial" w:cs="Arial"/>
          <w:highlight w:val="yellow"/>
        </w:rPr>
      </w:pPr>
      <w:r w:rsidRPr="496D1C69">
        <w:rPr>
          <w:rFonts w:ascii="Arial" w:hAnsi="Arial" w:cs="Arial"/>
          <w:b/>
          <w:bCs/>
          <w:sz w:val="24"/>
          <w:szCs w:val="24"/>
        </w:rPr>
        <w:t>Nota Especial</w:t>
      </w:r>
      <w:r w:rsidR="002E3DB0">
        <w:rPr>
          <w:rFonts w:ascii="Arial" w:hAnsi="Arial" w:cs="Arial"/>
          <w:b/>
          <w:bCs/>
          <w:sz w:val="24"/>
          <w:szCs w:val="24"/>
        </w:rPr>
        <w:t xml:space="preserve"> 1</w:t>
      </w:r>
      <w:r w:rsidRPr="496D1C69">
        <w:rPr>
          <w:rFonts w:ascii="Arial" w:hAnsi="Arial" w:cs="Arial"/>
          <w:b/>
          <w:bCs/>
          <w:sz w:val="24"/>
          <w:szCs w:val="24"/>
        </w:rPr>
        <w:t xml:space="preserve">: </w:t>
      </w:r>
      <w:r w:rsidRPr="496D1C69">
        <w:rPr>
          <w:rFonts w:ascii="Arial" w:hAnsi="Arial" w:cs="Arial"/>
          <w:sz w:val="24"/>
          <w:szCs w:val="24"/>
        </w:rPr>
        <w:t xml:space="preserve">Para efectos del ingreso de activos a la contabilidad y/o inventarios del MME, se dará aplicación al procedimiento </w:t>
      </w:r>
      <w:r w:rsidRPr="009F7447">
        <w:rPr>
          <w:rFonts w:ascii="Arial" w:hAnsi="Arial" w:cs="Arial"/>
          <w:sz w:val="24"/>
          <w:szCs w:val="24"/>
          <w:highlight w:val="yellow"/>
        </w:rPr>
        <w:t>xxxxxxxxx</w:t>
      </w:r>
    </w:p>
    <w:p w14:paraId="26D57FA9" w14:textId="77777777" w:rsidR="000F2C0D" w:rsidRDefault="000F2C0D" w:rsidP="002E3DB0">
      <w:pPr>
        <w:spacing w:after="0"/>
      </w:pPr>
    </w:p>
    <w:p w14:paraId="678F2E4A" w14:textId="1B5D7254" w:rsidR="000F2C0D" w:rsidRPr="00141995" w:rsidRDefault="00141995" w:rsidP="00517B59">
      <w:pPr>
        <w:pStyle w:val="Ttulo5"/>
        <w:jc w:val="both"/>
      </w:pPr>
      <w:bookmarkStart w:id="177" w:name="_Toc205496195"/>
      <w:bookmarkStart w:id="178" w:name="_Toc224844385"/>
      <w:r w:rsidRPr="00141995">
        <w:rPr>
          <w:bCs/>
        </w:rPr>
        <w:t xml:space="preserve">III-6.5 </w:t>
      </w:r>
      <w:r w:rsidR="000F2C0D" w:rsidRPr="00141995">
        <w:t>Contabilización de la reposición y expansión de la infraestructura cofinanciada y actualización del inventario para proyectos de Energía Eléctrica.</w:t>
      </w:r>
      <w:bookmarkEnd w:id="177"/>
      <w:bookmarkEnd w:id="178"/>
    </w:p>
    <w:p w14:paraId="1D58F165" w14:textId="77777777" w:rsidR="002E3DB0" w:rsidRDefault="002E3DB0" w:rsidP="00B03685">
      <w:pPr>
        <w:shd w:val="clear" w:color="auto" w:fill="FFFFFF" w:themeFill="background1"/>
        <w:spacing w:after="0"/>
        <w:jc w:val="both"/>
        <w:rPr>
          <w:rFonts w:ascii="Arial" w:hAnsi="Arial" w:cs="Arial"/>
          <w:sz w:val="24"/>
          <w:szCs w:val="24"/>
        </w:rPr>
      </w:pPr>
    </w:p>
    <w:p w14:paraId="59C17783" w14:textId="7B739CF2"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E</w:t>
      </w:r>
      <w:r w:rsidRPr="009F7447">
        <w:rPr>
          <w:rFonts w:ascii="Arial" w:hAnsi="Arial" w:cs="Arial"/>
          <w:sz w:val="24"/>
          <w:szCs w:val="24"/>
        </w:rPr>
        <w:t xml:space="preserve">l OR deberá remitir dentro del informe periódico de la Etapa AOM la actualización del estado de los activos, en el que se incluya el número de elementos que han sido objeto de reposición. Con base en esta información, se establecerá el valor de reposición de la infraestructura eléctrica, el cual será informado a la Subdirección Administrativa y Financiera (SAF). Este valor se aplicará como "valor de baja parcial" sobre el costo histórico del activo registrado en los estados contables y financieros. Adicionalmente, se </w:t>
      </w:r>
      <w:r w:rsidRPr="009F7447">
        <w:rPr>
          <w:rFonts w:ascii="Arial" w:hAnsi="Arial" w:cs="Arial"/>
          <w:sz w:val="24"/>
          <w:szCs w:val="24"/>
        </w:rPr>
        <w:lastRenderedPageBreak/>
        <w:t>deberá efectuar la baja parcial correspondiente al número de activos disponibles en el almacén de la entidad.</w:t>
      </w:r>
    </w:p>
    <w:p w14:paraId="54FEEE0C" w14:textId="77777777" w:rsidR="00642602" w:rsidRDefault="00642602" w:rsidP="00B03685">
      <w:pPr>
        <w:shd w:val="clear" w:color="auto" w:fill="FFFFFF" w:themeFill="background1"/>
        <w:spacing w:after="0"/>
        <w:jc w:val="both"/>
        <w:rPr>
          <w:rFonts w:ascii="Arial" w:hAnsi="Arial" w:cs="Arial"/>
          <w:sz w:val="24"/>
          <w:szCs w:val="24"/>
        </w:rPr>
      </w:pPr>
    </w:p>
    <w:p w14:paraId="607FD987" w14:textId="378D90CB" w:rsidR="000F2C0D" w:rsidRDefault="000F2C0D" w:rsidP="00642602">
      <w:pPr>
        <w:shd w:val="clear" w:color="auto" w:fill="FFFFFF" w:themeFill="background1"/>
        <w:spacing w:after="0"/>
        <w:jc w:val="both"/>
        <w:rPr>
          <w:rFonts w:ascii="Arial" w:hAnsi="Arial" w:cs="Arial"/>
          <w:sz w:val="24"/>
          <w:szCs w:val="24"/>
        </w:rPr>
      </w:pPr>
      <w:r w:rsidRPr="00B06D78">
        <w:rPr>
          <w:rFonts w:ascii="Arial" w:hAnsi="Arial" w:cs="Arial"/>
          <w:b/>
          <w:sz w:val="24"/>
          <w:szCs w:val="24"/>
        </w:rPr>
        <w:t>Nota Especial</w:t>
      </w:r>
      <w:r w:rsidR="00C97FB3" w:rsidRPr="00B06D78">
        <w:rPr>
          <w:rFonts w:ascii="Arial" w:hAnsi="Arial" w:cs="Arial"/>
          <w:b/>
          <w:sz w:val="24"/>
          <w:szCs w:val="24"/>
        </w:rPr>
        <w:t xml:space="preserve"> </w:t>
      </w:r>
      <w:r w:rsidR="002E3DB0">
        <w:rPr>
          <w:rFonts w:ascii="Arial" w:hAnsi="Arial" w:cs="Arial"/>
          <w:b/>
          <w:sz w:val="24"/>
          <w:szCs w:val="24"/>
        </w:rPr>
        <w:t>2</w:t>
      </w:r>
      <w:r w:rsidRPr="00B06D78">
        <w:rPr>
          <w:rFonts w:ascii="Arial" w:hAnsi="Arial" w:cs="Arial"/>
          <w:b/>
          <w:sz w:val="24"/>
          <w:szCs w:val="24"/>
        </w:rPr>
        <w:t xml:space="preserve">: </w:t>
      </w:r>
      <w:r w:rsidRPr="496D1C69">
        <w:rPr>
          <w:rFonts w:ascii="Arial" w:hAnsi="Arial" w:cs="Arial"/>
          <w:sz w:val="24"/>
          <w:szCs w:val="24"/>
        </w:rPr>
        <w:t>El procedimiento señalado en el párrafo anterior, no será aplicable en el evento de transferencia de propiedad de los activos por parte del MME.</w:t>
      </w:r>
    </w:p>
    <w:p w14:paraId="3D92FF99" w14:textId="77777777" w:rsidR="00642602" w:rsidRDefault="00642602" w:rsidP="00642602">
      <w:pPr>
        <w:shd w:val="clear" w:color="auto" w:fill="FFFFFF" w:themeFill="background1"/>
        <w:spacing w:after="0"/>
        <w:jc w:val="both"/>
      </w:pPr>
    </w:p>
    <w:p w14:paraId="6D7C57E0" w14:textId="2EDEA68E" w:rsidR="000F2C0D" w:rsidRPr="00C63186" w:rsidRDefault="00642602" w:rsidP="00517B59">
      <w:pPr>
        <w:pStyle w:val="Ttulo5"/>
        <w:ind w:left="1008" w:hanging="1008"/>
        <w:rPr>
          <w:bCs/>
        </w:rPr>
      </w:pPr>
      <w:bookmarkStart w:id="179" w:name="_Toc205496196"/>
      <w:bookmarkStart w:id="180" w:name="_Toc224844386"/>
      <w:r w:rsidRPr="00642602">
        <w:rPr>
          <w:bCs/>
        </w:rPr>
        <w:t xml:space="preserve">III-6.6 </w:t>
      </w:r>
      <w:r w:rsidR="000F2C0D" w:rsidRPr="00642602">
        <w:t>AOM a los activos en ZNI.</w:t>
      </w:r>
      <w:bookmarkEnd w:id="179"/>
      <w:bookmarkEnd w:id="180"/>
      <w:r w:rsidR="000F2C0D" w:rsidRPr="00642602">
        <w:t xml:space="preserve"> </w:t>
      </w:r>
    </w:p>
    <w:p w14:paraId="76619ABE" w14:textId="77777777" w:rsidR="002E3DB0" w:rsidRDefault="002E3DB0" w:rsidP="008E39FD">
      <w:pPr>
        <w:tabs>
          <w:tab w:val="left" w:pos="4474"/>
        </w:tabs>
        <w:spacing w:after="0"/>
        <w:jc w:val="both"/>
        <w:rPr>
          <w:rFonts w:ascii="Arial" w:hAnsi="Arial" w:cs="Arial"/>
          <w:sz w:val="24"/>
          <w:szCs w:val="24"/>
        </w:rPr>
      </w:pPr>
    </w:p>
    <w:p w14:paraId="56441BF1" w14:textId="4CF88DB8"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 xml:space="preserve">Los activos resultantes de la ejecución de proyectos construidos con recursos del </w:t>
      </w:r>
      <w:r>
        <w:rPr>
          <w:rFonts w:ascii="Arial" w:hAnsi="Arial" w:cs="Arial"/>
          <w:sz w:val="24"/>
          <w:szCs w:val="24"/>
        </w:rPr>
        <w:t xml:space="preserve">anterior fondo FAZNI o del </w:t>
      </w:r>
      <w:r w:rsidRPr="00C63186">
        <w:rPr>
          <w:rFonts w:ascii="Arial" w:hAnsi="Arial" w:cs="Arial"/>
          <w:sz w:val="24"/>
          <w:szCs w:val="24"/>
        </w:rPr>
        <w:t>FONENERGÍA en las ZNI, serán objeto de realización de las actividades de Administración, Operación y Mantenimiento, por parte de las entidades territoriales o personas prestadoras del servicio que hubieren solicitado los recursos, en cumplimiento de lo dispuesto por el artículo 288 de la Ley 1955 de 2019 que dispone:</w:t>
      </w:r>
    </w:p>
    <w:p w14:paraId="0DF0D83A" w14:textId="77777777" w:rsidR="000F2C0D" w:rsidRPr="00C63186" w:rsidRDefault="000F2C0D" w:rsidP="008E39FD">
      <w:pPr>
        <w:tabs>
          <w:tab w:val="left" w:pos="4474"/>
        </w:tabs>
        <w:spacing w:after="0"/>
        <w:jc w:val="both"/>
        <w:rPr>
          <w:rFonts w:ascii="Arial" w:hAnsi="Arial" w:cs="Arial"/>
          <w:sz w:val="24"/>
          <w:szCs w:val="24"/>
        </w:rPr>
      </w:pPr>
    </w:p>
    <w:p w14:paraId="6BA3DD38" w14:textId="77777777" w:rsidR="000F2C0D" w:rsidRPr="00C63186" w:rsidRDefault="000F2C0D" w:rsidP="008E39FD">
      <w:pPr>
        <w:tabs>
          <w:tab w:val="left" w:pos="4474"/>
        </w:tabs>
        <w:spacing w:after="0"/>
        <w:ind w:left="567"/>
        <w:jc w:val="both"/>
        <w:rPr>
          <w:rFonts w:ascii="Arial" w:hAnsi="Arial" w:cs="Arial"/>
          <w:i/>
          <w:iCs/>
        </w:rPr>
      </w:pPr>
      <w:r w:rsidRPr="00C63186">
        <w:rPr>
          <w:rFonts w:ascii="Arial" w:hAnsi="Arial" w:cs="Arial"/>
          <w:i/>
          <w:iCs/>
          <w:shd w:val="clear" w:color="auto" w:fill="FFFFFF"/>
        </w:rPr>
        <w:t>Las entidades territoriales o entes prestadores del servicio que soliciten recursos del FAZNI y/o al Instituto de Planificación y Promoción de Soluciones Energéticas para las Zonas No Interconectadas - IPSE para la implementación de soluciones energéticas, deberán ejecutar directa o indirectamente su administración, operación y mantenimiento, garantizando su sostenibilidad, durante el tiempo que se indique en el respectivo contrato. Si transcurridos seis (6) meses a la terminación de la implementación de la solución energética, la entidad territorial o el prestador del servicio no recibe la infraestructura y no ha gestionado su administración, operación y mantenimiento, quien haga las veces de entidad contratante dará por terminado unilateralmente el respectivo contrato o carta compromisoria e iniciará la búsqueda de prestadores del servicio u operadores de red de la región que estén debidamente inscritos en el Sistema Único de Información -SUI, para que se encarguen de la administración, operación y mantenimiento de la solución energética, según el procedimiento que para el efecto defina el Ministerio de Minas y Energía.</w:t>
      </w:r>
      <w:r w:rsidRPr="00C63186">
        <w:rPr>
          <w:rFonts w:ascii="Arial" w:hAnsi="Arial" w:cs="Arial"/>
          <w:i/>
          <w:iCs/>
        </w:rPr>
        <w:t xml:space="preserve"> </w:t>
      </w:r>
    </w:p>
    <w:p w14:paraId="086A975F" w14:textId="77777777" w:rsidR="000F2C0D" w:rsidRPr="00C63186" w:rsidRDefault="000F2C0D" w:rsidP="008E39FD">
      <w:pPr>
        <w:tabs>
          <w:tab w:val="left" w:pos="4474"/>
        </w:tabs>
        <w:spacing w:after="0"/>
        <w:jc w:val="both"/>
        <w:rPr>
          <w:rFonts w:ascii="Arial" w:hAnsi="Arial" w:cs="Arial"/>
          <w:b/>
          <w:bCs/>
          <w:sz w:val="24"/>
          <w:szCs w:val="24"/>
        </w:rPr>
      </w:pPr>
    </w:p>
    <w:p w14:paraId="7C3DCBE2"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Adicionalmente debe mencionarse lo señalado por el inciso 3 del citado artículo 288 de la Ley 1955 de 2019:</w:t>
      </w:r>
    </w:p>
    <w:p w14:paraId="69C39C07" w14:textId="77777777" w:rsidR="000F2C0D" w:rsidRPr="00C63186" w:rsidRDefault="000F2C0D" w:rsidP="008E39FD">
      <w:pPr>
        <w:tabs>
          <w:tab w:val="left" w:pos="4474"/>
        </w:tabs>
        <w:spacing w:after="0"/>
        <w:jc w:val="both"/>
        <w:rPr>
          <w:rFonts w:ascii="Arial" w:hAnsi="Arial" w:cs="Arial"/>
          <w:sz w:val="24"/>
          <w:szCs w:val="24"/>
        </w:rPr>
      </w:pPr>
    </w:p>
    <w:p w14:paraId="1045AD5C" w14:textId="77777777" w:rsidR="000F2C0D" w:rsidRPr="00C63186" w:rsidRDefault="000F2C0D" w:rsidP="008E39FD">
      <w:pPr>
        <w:tabs>
          <w:tab w:val="left" w:pos="4474"/>
        </w:tabs>
        <w:spacing w:after="0"/>
        <w:ind w:left="567"/>
        <w:jc w:val="both"/>
        <w:rPr>
          <w:rFonts w:ascii="Arial" w:hAnsi="Arial" w:cs="Arial"/>
          <w:i/>
          <w:iCs/>
          <w:shd w:val="clear" w:color="auto" w:fill="FFFFFF"/>
        </w:rPr>
      </w:pPr>
      <w:r w:rsidRPr="00C63186">
        <w:rPr>
          <w:rFonts w:ascii="Arial" w:hAnsi="Arial" w:cs="Arial"/>
          <w:i/>
          <w:iCs/>
          <w:shd w:val="clear" w:color="auto" w:fill="FFFFFF"/>
        </w:rPr>
        <w:t>Aquellas entidades territoriales o entes prestadores del servicio que se comprometieron a recibir la infraestructura para la administración, operación y mantenimiento de las soluciones energéticas con recursos del FAZNI o con recursos del IPSE, con antelación a la presente ley y que aún no lo han hecho, tendrán seis (6) meses a partir de la entrada en vigencia de esta ley, para recibirlas e iniciar su administración, operación y mantenimiento. Transcurrido dicho plazo, si la entidad territorial o el ente prestador del servicio no inicia la administración, operación y mantenimiento del proyecto, se aplicarán las medidas dispuestas en este artículo.</w:t>
      </w:r>
    </w:p>
    <w:p w14:paraId="5C185CB7" w14:textId="77777777" w:rsidR="000F2C0D" w:rsidRPr="00C63186" w:rsidRDefault="000F2C0D" w:rsidP="008E39FD">
      <w:pPr>
        <w:tabs>
          <w:tab w:val="left" w:pos="4474"/>
        </w:tabs>
        <w:spacing w:after="0"/>
        <w:jc w:val="both"/>
        <w:rPr>
          <w:rFonts w:ascii="Arial" w:hAnsi="Arial" w:cs="Arial"/>
          <w:sz w:val="24"/>
          <w:szCs w:val="24"/>
          <w:shd w:val="clear" w:color="auto" w:fill="FFFFFF"/>
        </w:rPr>
      </w:pPr>
    </w:p>
    <w:p w14:paraId="2DA9BE76" w14:textId="77777777" w:rsidR="000F2C0D" w:rsidRPr="00C63186" w:rsidRDefault="000F2C0D" w:rsidP="008E39FD">
      <w:pPr>
        <w:tabs>
          <w:tab w:val="left" w:pos="4474"/>
        </w:tabs>
        <w:spacing w:after="0"/>
        <w:jc w:val="both"/>
        <w:rPr>
          <w:rFonts w:ascii="Arial" w:hAnsi="Arial" w:cs="Arial"/>
          <w:sz w:val="24"/>
          <w:szCs w:val="24"/>
          <w:shd w:val="clear" w:color="auto" w:fill="FFFFFF"/>
        </w:rPr>
      </w:pPr>
      <w:r w:rsidRPr="00C63186">
        <w:rPr>
          <w:rFonts w:ascii="Arial" w:hAnsi="Arial" w:cs="Arial"/>
          <w:sz w:val="24"/>
          <w:szCs w:val="24"/>
          <w:shd w:val="clear" w:color="auto" w:fill="FFFFFF"/>
        </w:rPr>
        <w:t>Tales medidas no son otras que las establecidas en el inciso 2 del artículo en cuestión y que establece:</w:t>
      </w:r>
    </w:p>
    <w:p w14:paraId="63FC7082" w14:textId="77777777" w:rsidR="000F2C0D" w:rsidRPr="00C63186" w:rsidRDefault="000F2C0D" w:rsidP="008E39FD">
      <w:pPr>
        <w:tabs>
          <w:tab w:val="left" w:pos="4474"/>
        </w:tabs>
        <w:spacing w:after="0"/>
        <w:jc w:val="both"/>
        <w:rPr>
          <w:rFonts w:ascii="Arial" w:hAnsi="Arial" w:cs="Arial"/>
          <w:sz w:val="24"/>
          <w:szCs w:val="24"/>
          <w:shd w:val="clear" w:color="auto" w:fill="FFFFFF"/>
        </w:rPr>
      </w:pPr>
    </w:p>
    <w:p w14:paraId="66751B8B" w14:textId="77777777" w:rsidR="000F2C0D" w:rsidRPr="00C63186" w:rsidRDefault="000F2C0D" w:rsidP="008E39FD">
      <w:pPr>
        <w:tabs>
          <w:tab w:val="left" w:pos="4474"/>
        </w:tabs>
        <w:spacing w:after="0"/>
        <w:ind w:left="567"/>
        <w:jc w:val="both"/>
        <w:rPr>
          <w:rFonts w:ascii="Arial" w:hAnsi="Arial" w:cs="Arial"/>
          <w:i/>
          <w:iCs/>
          <w:shd w:val="clear" w:color="auto" w:fill="FFFFFF"/>
        </w:rPr>
      </w:pPr>
      <w:r w:rsidRPr="00C63186">
        <w:rPr>
          <w:rFonts w:ascii="Arial" w:hAnsi="Arial" w:cs="Arial"/>
          <w:i/>
          <w:iCs/>
          <w:shd w:val="clear" w:color="auto" w:fill="FFFFFF"/>
        </w:rPr>
        <w:t xml:space="preserve">La entidad territorial o el prestador que solicite el proyecto y no reciba la solución energética para su administración, operación y mantenimiento, garantizando su sostenibilidad, no podrá volver a acceder a recursos de FAZNI y/o del IPSE, por los siguientes cuatro años al no recibo de la solución. En caso de que la entidad territorial o el prestador del servicio subsanen la situación descrita, la entidad administradora de los recursos del FAZNI o el IPSE si son recursos de dicha entidad podrá modificar o exceptuar el cumplimiento de la medida a la que hace referencia este artículo, de conformidad con los requerimientos que para tal fin establezca el Ministerio de Minas y Energía. Dichos requerimientos podrán </w:t>
      </w:r>
      <w:r w:rsidRPr="00C63186">
        <w:rPr>
          <w:rFonts w:ascii="Arial" w:hAnsi="Arial" w:cs="Arial"/>
          <w:i/>
          <w:iCs/>
          <w:shd w:val="clear" w:color="auto" w:fill="FFFFFF"/>
        </w:rPr>
        <w:lastRenderedPageBreak/>
        <w:t>incluir, entre otros, el pago de una compensación a favor de la entidad administradora del FAZNI o del IPSE, según corresponda, por parte de la entidad territorial o del prestador incumplido, o periodos de moratoria diferentes a los acá dispuestos para el acceso a los recursos.</w:t>
      </w:r>
    </w:p>
    <w:p w14:paraId="35AE880D" w14:textId="77777777" w:rsidR="000F2C0D" w:rsidRPr="00C63186" w:rsidRDefault="000F2C0D" w:rsidP="008E39FD">
      <w:pPr>
        <w:tabs>
          <w:tab w:val="left" w:pos="4474"/>
        </w:tabs>
        <w:spacing w:after="0"/>
        <w:jc w:val="both"/>
        <w:rPr>
          <w:rFonts w:ascii="Arial" w:hAnsi="Arial" w:cs="Arial"/>
          <w:sz w:val="24"/>
          <w:szCs w:val="24"/>
        </w:rPr>
      </w:pPr>
    </w:p>
    <w:p w14:paraId="18DC99C4" w14:textId="56BF667C" w:rsidR="000F2C0D" w:rsidRDefault="007F543C" w:rsidP="002E3DB0">
      <w:pPr>
        <w:pStyle w:val="Ttulo5"/>
        <w:spacing w:before="0"/>
        <w:ind w:left="1008" w:hanging="1008"/>
      </w:pPr>
      <w:bookmarkStart w:id="181" w:name="_Toc205496197"/>
      <w:bookmarkStart w:id="182" w:name="_Toc224844387"/>
      <w:r w:rsidRPr="007F543C">
        <w:rPr>
          <w:bCs/>
        </w:rPr>
        <w:t xml:space="preserve">III-6.7 </w:t>
      </w:r>
      <w:r w:rsidR="000F2C0D" w:rsidRPr="007F543C">
        <w:t>AOM a los activos en SIN.</w:t>
      </w:r>
      <w:bookmarkEnd w:id="181"/>
      <w:bookmarkEnd w:id="182"/>
      <w:r w:rsidR="000F2C0D" w:rsidRPr="007F543C">
        <w:t xml:space="preserve"> </w:t>
      </w:r>
    </w:p>
    <w:p w14:paraId="2C2C2354" w14:textId="77777777" w:rsidR="0010018C" w:rsidRPr="0010018C" w:rsidRDefault="0010018C" w:rsidP="002E3DB0">
      <w:pPr>
        <w:spacing w:after="0"/>
      </w:pPr>
    </w:p>
    <w:p w14:paraId="6203AB46"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En relación con los activos resultantes de proyectos financiados con recursos de los anteriores Fondos FAER y PRONE o con recursos FONENERGÍA, ejecutados en el SIN, se dará aplicación a lo dispuesto por el parágrafo del artículo 288 de la Ley 1955 de 2019, el cual fue adicionado por el artículo 30 de la Ley 2099 de 2021 y que señala:</w:t>
      </w:r>
    </w:p>
    <w:p w14:paraId="41CE89AD" w14:textId="77777777" w:rsidR="000F2C0D" w:rsidRPr="00C63186" w:rsidRDefault="000F2C0D" w:rsidP="008E39FD">
      <w:pPr>
        <w:tabs>
          <w:tab w:val="left" w:pos="4474"/>
        </w:tabs>
        <w:spacing w:after="0"/>
        <w:jc w:val="both"/>
        <w:rPr>
          <w:rFonts w:ascii="Arial" w:hAnsi="Arial" w:cs="Arial"/>
          <w:sz w:val="24"/>
          <w:szCs w:val="24"/>
        </w:rPr>
      </w:pPr>
    </w:p>
    <w:p w14:paraId="2B84853F" w14:textId="77777777" w:rsidR="000F2C0D" w:rsidRPr="00C63186" w:rsidRDefault="000F2C0D" w:rsidP="008E39FD">
      <w:pPr>
        <w:tabs>
          <w:tab w:val="left" w:pos="4474"/>
        </w:tabs>
        <w:spacing w:after="0"/>
        <w:ind w:left="567"/>
        <w:jc w:val="both"/>
        <w:rPr>
          <w:rFonts w:ascii="Arial" w:hAnsi="Arial" w:cs="Arial"/>
          <w:b/>
          <w:bCs/>
          <w:i/>
          <w:iCs/>
        </w:rPr>
      </w:pPr>
      <w:r w:rsidRPr="00C63186">
        <w:rPr>
          <w:rStyle w:val="Fuerte"/>
          <w:rFonts w:ascii="Arial" w:hAnsi="Arial" w:cs="Arial"/>
          <w:i/>
          <w:iCs/>
          <w:shd w:val="clear" w:color="auto" w:fill="FFFFFF"/>
        </w:rPr>
        <w:t>PARÁGRAFO.</w:t>
      </w:r>
      <w:r w:rsidRPr="00C63186">
        <w:rPr>
          <w:rFonts w:ascii="Arial" w:hAnsi="Arial" w:cs="Arial"/>
          <w:i/>
          <w:iCs/>
          <w:shd w:val="clear" w:color="auto" w:fill="FFFFFF"/>
        </w:rPr>
        <w:t> Lo dispuesto en el presente Artículo, también aplica respecto de cualquier fondo público que destine recursos para la inversión en infraestructura eléctrica y ampliación de cobertura.</w:t>
      </w:r>
      <w:r w:rsidRPr="00C63186">
        <w:rPr>
          <w:rFonts w:ascii="Arial" w:hAnsi="Arial" w:cs="Arial"/>
          <w:b/>
          <w:bCs/>
          <w:i/>
          <w:iCs/>
        </w:rPr>
        <w:t xml:space="preserve"> </w:t>
      </w:r>
    </w:p>
    <w:p w14:paraId="15F87BBC" w14:textId="77777777" w:rsidR="000F2C0D" w:rsidRPr="00C63186" w:rsidRDefault="000F2C0D" w:rsidP="008E39FD">
      <w:pPr>
        <w:tabs>
          <w:tab w:val="left" w:pos="4474"/>
        </w:tabs>
        <w:spacing w:after="0"/>
        <w:jc w:val="both"/>
        <w:rPr>
          <w:rFonts w:ascii="Arial" w:hAnsi="Arial" w:cs="Arial"/>
          <w:b/>
          <w:bCs/>
          <w:sz w:val="24"/>
          <w:szCs w:val="24"/>
        </w:rPr>
      </w:pPr>
    </w:p>
    <w:p w14:paraId="0352849B" w14:textId="733DE808" w:rsidR="000F2C0D" w:rsidRDefault="000F2C0D" w:rsidP="00D3398A">
      <w:pPr>
        <w:tabs>
          <w:tab w:val="left" w:pos="4474"/>
        </w:tabs>
        <w:spacing w:after="0"/>
        <w:jc w:val="both"/>
        <w:rPr>
          <w:rFonts w:ascii="Arial" w:hAnsi="Arial" w:cs="Arial"/>
          <w:sz w:val="24"/>
          <w:szCs w:val="24"/>
        </w:rPr>
      </w:pPr>
      <w:r w:rsidRPr="00C63186">
        <w:rPr>
          <w:rFonts w:ascii="Arial" w:hAnsi="Arial" w:cs="Arial"/>
          <w:sz w:val="24"/>
          <w:szCs w:val="24"/>
        </w:rPr>
        <w:t xml:space="preserve">Lo anterior quiere decir que lo mencionado en el </w:t>
      </w:r>
      <w:r w:rsidRPr="00807E00">
        <w:rPr>
          <w:rFonts w:ascii="Arial" w:hAnsi="Arial" w:cs="Arial"/>
          <w:sz w:val="24"/>
          <w:szCs w:val="24"/>
          <w:highlight w:val="yellow"/>
        </w:rPr>
        <w:t>numeral 9.7</w:t>
      </w:r>
      <w:r w:rsidRPr="00C63186">
        <w:rPr>
          <w:rFonts w:ascii="Arial" w:hAnsi="Arial" w:cs="Arial"/>
          <w:sz w:val="24"/>
          <w:szCs w:val="24"/>
        </w:rPr>
        <w:t xml:space="preserve"> en relación con activos en las ZNI construidos con recursos FAZNI o FONENERGÍA, es de aplicación a los activos del SIN adelantados con recursos FAER, PRONE o FONENERGÍA. </w:t>
      </w:r>
    </w:p>
    <w:p w14:paraId="5110C58A" w14:textId="77777777" w:rsidR="00D3398A" w:rsidRDefault="00D3398A" w:rsidP="00D3398A">
      <w:pPr>
        <w:tabs>
          <w:tab w:val="left" w:pos="4474"/>
        </w:tabs>
        <w:spacing w:after="0"/>
        <w:jc w:val="both"/>
      </w:pPr>
    </w:p>
    <w:p w14:paraId="4CF1CCBB" w14:textId="11DD9421" w:rsidR="000F2C0D" w:rsidRDefault="00D3398A" w:rsidP="002E3DB0">
      <w:pPr>
        <w:pStyle w:val="Ttulo5"/>
        <w:spacing w:before="0"/>
        <w:ind w:left="1008" w:hanging="1008"/>
      </w:pPr>
      <w:bookmarkStart w:id="183" w:name="_Toc205496198"/>
      <w:bookmarkStart w:id="184" w:name="_Toc224844388"/>
      <w:r w:rsidRPr="0012417D">
        <w:t>III-6.</w:t>
      </w:r>
      <w:r w:rsidR="00900CFD" w:rsidRPr="0012417D">
        <w:t>8 Transferencia</w:t>
      </w:r>
      <w:r w:rsidR="000F2C0D" w:rsidRPr="0012417D">
        <w:t xml:space="preserve"> de activos.</w:t>
      </w:r>
      <w:bookmarkEnd w:id="183"/>
      <w:bookmarkEnd w:id="184"/>
      <w:r w:rsidR="000F2C0D" w:rsidRPr="0012417D">
        <w:t xml:space="preserve"> </w:t>
      </w:r>
    </w:p>
    <w:p w14:paraId="1AC187E1" w14:textId="77777777" w:rsidR="0010018C" w:rsidRPr="0010018C" w:rsidRDefault="0010018C" w:rsidP="002E3DB0">
      <w:pPr>
        <w:spacing w:after="0"/>
      </w:pPr>
    </w:p>
    <w:p w14:paraId="734809EE" w14:textId="77777777" w:rsidR="000F2C0D" w:rsidRPr="00C63186" w:rsidRDefault="000F2C0D" w:rsidP="008E39FD">
      <w:pPr>
        <w:tabs>
          <w:tab w:val="left" w:pos="4474"/>
        </w:tabs>
        <w:spacing w:after="0"/>
        <w:jc w:val="both"/>
        <w:rPr>
          <w:rFonts w:ascii="Arial" w:hAnsi="Arial" w:cs="Arial"/>
          <w:sz w:val="24"/>
          <w:szCs w:val="24"/>
        </w:rPr>
      </w:pPr>
      <w:r w:rsidRPr="496D1C69">
        <w:rPr>
          <w:rFonts w:ascii="Arial" w:hAnsi="Arial" w:cs="Arial"/>
          <w:sz w:val="24"/>
          <w:szCs w:val="24"/>
        </w:rPr>
        <w:t xml:space="preserve">Sin perjuicio de lo dispuesto por el artículo 2.2.8.1.3. del Decreto </w:t>
      </w:r>
      <w:r w:rsidRPr="009F7447">
        <w:rPr>
          <w:rFonts w:ascii="Arial" w:hAnsi="Arial" w:cs="Arial"/>
          <w:sz w:val="24"/>
          <w:szCs w:val="24"/>
          <w:highlight w:val="yellow"/>
        </w:rPr>
        <w:t>XXX</w:t>
      </w:r>
      <w:r w:rsidRPr="496D1C69">
        <w:rPr>
          <w:rFonts w:ascii="Arial" w:hAnsi="Arial" w:cs="Arial"/>
          <w:sz w:val="24"/>
          <w:szCs w:val="24"/>
        </w:rPr>
        <w:t xml:space="preserve"> siempre que se transfiera el uso y goce o la propiedad de activos por parte del Ministerio de Minas y Energía, a las Personas Prestadoras del Servicio Público Domiciliario de Energía Eléctrica de que trata el artículo 15 de la Ley 142 de 1994, se deberá dar aplicación a lo señalado por el numeral 87.9 del artículo 87 de la Ley 142 de 1994, teniendo en cuenta la modificación que a este artículo introdujo el artículo 99 de la Ley 1450 de 2011 y el artículo 8° del Decreto Legislativo 819 de 2020.</w:t>
      </w:r>
    </w:p>
    <w:p w14:paraId="2DB1F429" w14:textId="77777777" w:rsidR="000F2C0D" w:rsidRPr="00C63186" w:rsidRDefault="000F2C0D" w:rsidP="008E39FD">
      <w:pPr>
        <w:tabs>
          <w:tab w:val="left" w:pos="4474"/>
        </w:tabs>
        <w:spacing w:after="0"/>
        <w:jc w:val="both"/>
        <w:rPr>
          <w:rFonts w:ascii="Arial" w:hAnsi="Arial" w:cs="Arial"/>
          <w:sz w:val="24"/>
          <w:szCs w:val="24"/>
        </w:rPr>
      </w:pPr>
    </w:p>
    <w:p w14:paraId="1EF096BF"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Para tal transferencia de la propiedad de los activos resultantes de la inversión del FONENERGÍA, se aplicarán los parámetros establecidos en las normas generales sobre la materia, en especial las siguientes:</w:t>
      </w:r>
    </w:p>
    <w:p w14:paraId="0ED3ECAA" w14:textId="77777777" w:rsidR="000F2C0D" w:rsidRPr="00C63186" w:rsidRDefault="000F2C0D" w:rsidP="008E39FD">
      <w:pPr>
        <w:tabs>
          <w:tab w:val="left" w:pos="4474"/>
        </w:tabs>
        <w:spacing w:after="0"/>
        <w:jc w:val="both"/>
        <w:rPr>
          <w:rFonts w:ascii="Arial" w:hAnsi="Arial" w:cs="Arial"/>
          <w:sz w:val="24"/>
          <w:szCs w:val="24"/>
        </w:rPr>
      </w:pPr>
    </w:p>
    <w:p w14:paraId="732AEFF9" w14:textId="77777777" w:rsidR="000F2C0D" w:rsidRPr="00C63186" w:rsidRDefault="000F2C0D" w:rsidP="00B320D0">
      <w:pPr>
        <w:pStyle w:val="Prrafodelista"/>
        <w:numPr>
          <w:ilvl w:val="0"/>
          <w:numId w:val="7"/>
        </w:numPr>
        <w:tabs>
          <w:tab w:val="left" w:pos="4474"/>
        </w:tabs>
        <w:spacing w:after="0"/>
        <w:jc w:val="both"/>
        <w:rPr>
          <w:rFonts w:ascii="Arial" w:hAnsi="Arial" w:cs="Arial"/>
          <w:sz w:val="24"/>
          <w:szCs w:val="24"/>
        </w:rPr>
      </w:pPr>
      <w:r w:rsidRPr="00C63186">
        <w:rPr>
          <w:rFonts w:ascii="Arial" w:hAnsi="Arial" w:cs="Arial"/>
          <w:sz w:val="24"/>
          <w:szCs w:val="24"/>
        </w:rPr>
        <w:t>Numeral 39.3 del artículo 39 de la Ley 142 de 1994</w:t>
      </w:r>
    </w:p>
    <w:p w14:paraId="653C3324" w14:textId="77777777" w:rsidR="000F2C0D" w:rsidRPr="00C63186" w:rsidRDefault="000F2C0D" w:rsidP="00B320D0">
      <w:pPr>
        <w:pStyle w:val="Prrafodelista"/>
        <w:numPr>
          <w:ilvl w:val="0"/>
          <w:numId w:val="6"/>
        </w:numPr>
        <w:tabs>
          <w:tab w:val="left" w:pos="4474"/>
        </w:tabs>
        <w:spacing w:after="0"/>
        <w:jc w:val="both"/>
        <w:rPr>
          <w:rFonts w:ascii="Arial" w:hAnsi="Arial" w:cs="Arial"/>
          <w:sz w:val="24"/>
          <w:szCs w:val="24"/>
        </w:rPr>
      </w:pPr>
      <w:r w:rsidRPr="00C63186">
        <w:rPr>
          <w:rFonts w:ascii="Arial" w:hAnsi="Arial" w:cs="Arial"/>
          <w:sz w:val="24"/>
          <w:szCs w:val="24"/>
        </w:rPr>
        <w:t>Artículo 29 de la Ley 2099 de 2021 y Parágrafo del artículo 34, ibidem.</w:t>
      </w:r>
    </w:p>
    <w:p w14:paraId="5182DC05" w14:textId="77777777" w:rsidR="000F2C0D" w:rsidRPr="00C63186" w:rsidRDefault="000F2C0D" w:rsidP="008E39FD">
      <w:pPr>
        <w:tabs>
          <w:tab w:val="left" w:pos="4474"/>
        </w:tabs>
        <w:spacing w:after="0"/>
        <w:jc w:val="both"/>
        <w:rPr>
          <w:rFonts w:ascii="Arial" w:hAnsi="Arial" w:cs="Arial"/>
          <w:sz w:val="24"/>
          <w:szCs w:val="24"/>
        </w:rPr>
      </w:pPr>
    </w:p>
    <w:p w14:paraId="243F93E5"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Los activos que se construyan con recursos del FONENERGÍA, podrán ser aportados al Operador de Red que brindó concepto técnico y financiero favorable al plan, programa o proyecto.</w:t>
      </w:r>
    </w:p>
    <w:p w14:paraId="36197722" w14:textId="77777777" w:rsidR="000F2C0D" w:rsidRPr="00C63186" w:rsidRDefault="000F2C0D" w:rsidP="008E39FD">
      <w:pPr>
        <w:tabs>
          <w:tab w:val="left" w:pos="4474"/>
        </w:tabs>
        <w:spacing w:after="0"/>
        <w:jc w:val="both"/>
        <w:rPr>
          <w:rFonts w:ascii="Arial" w:hAnsi="Arial" w:cs="Arial"/>
          <w:sz w:val="24"/>
          <w:szCs w:val="24"/>
        </w:rPr>
      </w:pPr>
    </w:p>
    <w:p w14:paraId="09FC1D02"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En lo relacionado con activos de distribución construidos con recursos públicos se dará aplicación a lo dispuesto por el artículo 2.2.3.2.2.6. del DUR 1073 de 2015.</w:t>
      </w:r>
    </w:p>
    <w:p w14:paraId="27F19E69" w14:textId="77777777" w:rsidR="000F2C0D" w:rsidRDefault="000F2C0D" w:rsidP="008E39FD">
      <w:pPr>
        <w:tabs>
          <w:tab w:val="left" w:pos="4474"/>
        </w:tabs>
        <w:spacing w:after="0"/>
        <w:jc w:val="both"/>
        <w:rPr>
          <w:rFonts w:ascii="Arial" w:hAnsi="Arial" w:cs="Arial"/>
          <w:b/>
          <w:bCs/>
          <w:sz w:val="24"/>
          <w:szCs w:val="24"/>
        </w:rPr>
      </w:pPr>
      <w:bookmarkStart w:id="185" w:name="2.2.3.3.1.12"/>
      <w:bookmarkEnd w:id="185"/>
    </w:p>
    <w:p w14:paraId="4E67B9C2" w14:textId="0341D0D4" w:rsidR="000F2C0D" w:rsidRDefault="000F2C0D" w:rsidP="00172BD2">
      <w:pPr>
        <w:tabs>
          <w:tab w:val="left" w:pos="4474"/>
        </w:tabs>
        <w:spacing w:after="0"/>
        <w:jc w:val="both"/>
        <w:rPr>
          <w:rFonts w:ascii="Arial" w:hAnsi="Arial" w:cs="Arial"/>
          <w:sz w:val="24"/>
          <w:szCs w:val="24"/>
        </w:rPr>
      </w:pPr>
      <w:r w:rsidRPr="009F7447">
        <w:rPr>
          <w:rFonts w:ascii="Arial" w:hAnsi="Arial" w:cs="Arial"/>
          <w:sz w:val="24"/>
          <w:szCs w:val="24"/>
        </w:rPr>
        <w:t>Cuando</w:t>
      </w:r>
      <w:r>
        <w:rPr>
          <w:rFonts w:ascii="Arial" w:hAnsi="Arial" w:cs="Arial"/>
          <w:sz w:val="24"/>
          <w:szCs w:val="24"/>
        </w:rPr>
        <w:t xml:space="preserve"> los activos sean transferidos a título gratuito al </w:t>
      </w:r>
      <w:r w:rsidRPr="00402032">
        <w:rPr>
          <w:rFonts w:ascii="Arial" w:hAnsi="Arial" w:cs="Arial"/>
          <w:sz w:val="24"/>
          <w:szCs w:val="24"/>
        </w:rPr>
        <w:t>FONENERGÍA</w:t>
      </w:r>
      <w:r>
        <w:rPr>
          <w:rFonts w:ascii="Arial" w:hAnsi="Arial" w:cs="Arial"/>
          <w:sz w:val="24"/>
          <w:szCs w:val="24"/>
        </w:rPr>
        <w:t xml:space="preserve">, se deberá aportar documento o acto administrativo en el cual se defina la transferencia de titularidad al Ministerio de Minas y energía el cual debe contener un inventario detallado de los activos transferidos indicando el valor de los Mismos indicando si este valor es determinado por </w:t>
      </w:r>
      <w:r>
        <w:rPr>
          <w:rFonts w:ascii="Arial" w:hAnsi="Arial" w:cs="Arial"/>
          <w:sz w:val="24"/>
          <w:szCs w:val="24"/>
        </w:rPr>
        <w:lastRenderedPageBreak/>
        <w:t xml:space="preserve">el valor de mercado, costo de reposición o valor en libros de los activos transferidos en la contabilidad de la entidad que los transfiere. </w:t>
      </w:r>
    </w:p>
    <w:p w14:paraId="69C69646" w14:textId="77777777" w:rsidR="00172BD2" w:rsidRDefault="00172BD2" w:rsidP="00172BD2">
      <w:pPr>
        <w:tabs>
          <w:tab w:val="left" w:pos="4474"/>
        </w:tabs>
        <w:spacing w:after="0"/>
        <w:jc w:val="both"/>
      </w:pPr>
    </w:p>
    <w:p w14:paraId="5F075393" w14:textId="18B4C28F" w:rsidR="000F2C0D" w:rsidRDefault="0012417D" w:rsidP="002E3DB0">
      <w:pPr>
        <w:pStyle w:val="Ttulo5"/>
        <w:spacing w:before="0"/>
        <w:ind w:left="1008" w:hanging="1008"/>
      </w:pPr>
      <w:bookmarkStart w:id="186" w:name="_Toc205496199"/>
      <w:bookmarkStart w:id="187" w:name="_Toc224844389"/>
      <w:r w:rsidRPr="00172BD2">
        <w:rPr>
          <w:bCs/>
        </w:rPr>
        <w:t>III-</w:t>
      </w:r>
      <w:r w:rsidR="00172BD2" w:rsidRPr="00172BD2">
        <w:rPr>
          <w:bCs/>
        </w:rPr>
        <w:t>6.</w:t>
      </w:r>
      <w:r w:rsidR="00900CFD" w:rsidRPr="00172BD2">
        <w:rPr>
          <w:bCs/>
        </w:rPr>
        <w:t>9 Responsabilidad</w:t>
      </w:r>
      <w:r w:rsidR="000F2C0D" w:rsidRPr="00172BD2">
        <w:t xml:space="preserve"> sobre los activos.</w:t>
      </w:r>
      <w:bookmarkEnd w:id="186"/>
      <w:bookmarkEnd w:id="187"/>
    </w:p>
    <w:p w14:paraId="7ECA5B9A" w14:textId="77777777" w:rsidR="0010018C" w:rsidRPr="0010018C" w:rsidRDefault="0010018C" w:rsidP="002E3DB0">
      <w:pPr>
        <w:spacing w:after="0"/>
      </w:pPr>
    </w:p>
    <w:p w14:paraId="371E20D2"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 xml:space="preserve">Una vez concluidas las obras contempladas para el plan, programa o proyecto adelantado en el SIN, el Operador de Red correspondiente energizará los activos y asumirá la administración, operación y mantenimiento de la infraestructura construida, sin que les sea posible exigir requisitos técnicos distintos de los establecidos en el RETIE y en sus propias normas técnicas. </w:t>
      </w:r>
    </w:p>
    <w:p w14:paraId="19DDD9C7" w14:textId="77777777" w:rsidR="000F2C0D" w:rsidRPr="00C63186" w:rsidRDefault="000F2C0D" w:rsidP="008E39FD">
      <w:pPr>
        <w:tabs>
          <w:tab w:val="left" w:pos="4474"/>
        </w:tabs>
        <w:spacing w:after="0"/>
        <w:jc w:val="both"/>
        <w:rPr>
          <w:rFonts w:ascii="Arial" w:hAnsi="Arial" w:cs="Arial"/>
          <w:sz w:val="24"/>
          <w:szCs w:val="24"/>
        </w:rPr>
      </w:pPr>
    </w:p>
    <w:p w14:paraId="6EF877B0"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Una vez el OR haya efectuado la energización de los activos y hasta que se suscriba entre el Ministerio y aquel un convenio para el manejo de éstos, los bienes serán considerados como activos de conexión al Sistema de Distribución Local de propiedad de terceros para efectos de su remuneración y responsabilidad en la reposición, de acuerdo con lo establecido en la regulación vigente para estos efectos.</w:t>
      </w:r>
    </w:p>
    <w:p w14:paraId="4D149751" w14:textId="77777777" w:rsidR="000F2C0D" w:rsidRPr="00C63186" w:rsidRDefault="000F2C0D" w:rsidP="008E39FD">
      <w:pPr>
        <w:tabs>
          <w:tab w:val="left" w:pos="4474"/>
        </w:tabs>
        <w:spacing w:after="0"/>
        <w:jc w:val="both"/>
        <w:rPr>
          <w:rFonts w:ascii="Arial" w:hAnsi="Arial" w:cs="Arial"/>
          <w:sz w:val="24"/>
          <w:szCs w:val="24"/>
        </w:rPr>
      </w:pPr>
    </w:p>
    <w:p w14:paraId="29FDEC59" w14:textId="77777777" w:rsidR="000F2C0D" w:rsidRPr="00C63186"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Los activos de nivel 1 que se financien con recursos del FONENERGÍA deberán ser repuestos por el OR. La CREG incorporará estos activos en el cálculo de la tarifa a reconocer al OR teniendo en cuenta un proporcional reconocimiento de reposición, según la vida útil de los activos.</w:t>
      </w:r>
    </w:p>
    <w:p w14:paraId="0D60D7B8" w14:textId="77777777" w:rsidR="000F2C0D" w:rsidRPr="00C63186" w:rsidRDefault="000F2C0D" w:rsidP="008E39FD">
      <w:pPr>
        <w:tabs>
          <w:tab w:val="left" w:pos="4474"/>
        </w:tabs>
        <w:spacing w:after="0"/>
        <w:jc w:val="both"/>
        <w:rPr>
          <w:rFonts w:ascii="Arial" w:hAnsi="Arial" w:cs="Arial"/>
          <w:sz w:val="24"/>
          <w:szCs w:val="24"/>
        </w:rPr>
      </w:pPr>
    </w:p>
    <w:p w14:paraId="574068F6" w14:textId="77777777" w:rsidR="000F2C0D" w:rsidRPr="00C63186" w:rsidRDefault="000F2C0D" w:rsidP="008E39FD">
      <w:pPr>
        <w:tabs>
          <w:tab w:val="left" w:pos="4474"/>
        </w:tabs>
        <w:spacing w:after="0"/>
        <w:jc w:val="both"/>
        <w:rPr>
          <w:rFonts w:ascii="Work Sans" w:eastAsia="Times New Roman" w:hAnsi="Work Sans" w:cs="Times New Roman"/>
          <w:b/>
          <w:bCs/>
          <w:i/>
          <w:iCs/>
          <w:sz w:val="25"/>
          <w:szCs w:val="25"/>
          <w:lang w:eastAsia="es-CO"/>
        </w:rPr>
      </w:pPr>
      <w:r w:rsidRPr="00C63186">
        <w:rPr>
          <w:rFonts w:ascii="Arial" w:hAnsi="Arial" w:cs="Arial"/>
          <w:sz w:val="24"/>
          <w:szCs w:val="24"/>
        </w:rPr>
        <w:t>Lo aquí dispuesto se aplicará en relación con los Prestadores del Servicio y los activos construidos en las ZNI.</w:t>
      </w:r>
    </w:p>
    <w:p w14:paraId="5D078B45" w14:textId="77777777" w:rsidR="000F2C0D" w:rsidRPr="00C63186" w:rsidRDefault="000F2C0D" w:rsidP="008E39FD">
      <w:pPr>
        <w:tabs>
          <w:tab w:val="left" w:pos="4474"/>
        </w:tabs>
        <w:spacing w:after="0"/>
        <w:jc w:val="both"/>
        <w:rPr>
          <w:rFonts w:ascii="Arial" w:hAnsi="Arial" w:cs="Arial"/>
          <w:b/>
          <w:bCs/>
          <w:sz w:val="24"/>
          <w:szCs w:val="24"/>
        </w:rPr>
      </w:pPr>
    </w:p>
    <w:p w14:paraId="0576B11C" w14:textId="77777777" w:rsidR="000F2C0D" w:rsidRDefault="000F2C0D" w:rsidP="008E39FD">
      <w:pPr>
        <w:tabs>
          <w:tab w:val="left" w:pos="4474"/>
        </w:tabs>
        <w:spacing w:after="0"/>
        <w:jc w:val="both"/>
        <w:rPr>
          <w:rFonts w:ascii="Arial" w:hAnsi="Arial" w:cs="Arial"/>
          <w:sz w:val="24"/>
          <w:szCs w:val="24"/>
        </w:rPr>
      </w:pPr>
      <w:r w:rsidRPr="00C63186">
        <w:rPr>
          <w:rFonts w:ascii="Arial" w:hAnsi="Arial" w:cs="Arial"/>
          <w:sz w:val="24"/>
          <w:szCs w:val="24"/>
        </w:rPr>
        <w:t>Tanto para los OR como los Prestadores del Servicio se aplicará lo dispuesto por el artículo 288 de la Ley 1955 de 2019.</w:t>
      </w:r>
    </w:p>
    <w:p w14:paraId="357526E3" w14:textId="77777777" w:rsidR="000F2C0D" w:rsidRDefault="000F2C0D" w:rsidP="008E39FD">
      <w:pPr>
        <w:tabs>
          <w:tab w:val="left" w:pos="4474"/>
        </w:tabs>
        <w:spacing w:after="0"/>
        <w:jc w:val="both"/>
        <w:rPr>
          <w:rFonts w:ascii="Arial" w:hAnsi="Arial" w:cs="Arial"/>
          <w:sz w:val="24"/>
          <w:szCs w:val="24"/>
        </w:rPr>
      </w:pPr>
    </w:p>
    <w:p w14:paraId="720DB901" w14:textId="42C8D235" w:rsidR="000F2C0D" w:rsidRDefault="000F2C0D" w:rsidP="004A6AF4">
      <w:pPr>
        <w:tabs>
          <w:tab w:val="left" w:pos="4474"/>
        </w:tabs>
        <w:spacing w:after="0"/>
        <w:jc w:val="both"/>
        <w:rPr>
          <w:rFonts w:ascii="Arial" w:hAnsi="Arial" w:cs="Arial"/>
          <w:sz w:val="24"/>
          <w:szCs w:val="24"/>
        </w:rPr>
      </w:pPr>
      <w:r>
        <w:rPr>
          <w:rFonts w:ascii="Arial" w:hAnsi="Arial" w:cs="Arial"/>
          <w:sz w:val="24"/>
          <w:szCs w:val="24"/>
        </w:rPr>
        <w:t>Sera obligación del operador mantener informado al Ministerio sobre el estado actual de la infraestructura.</w:t>
      </w:r>
    </w:p>
    <w:p w14:paraId="6A349758" w14:textId="77777777" w:rsidR="004A6AF4" w:rsidRDefault="004A6AF4" w:rsidP="004A6AF4">
      <w:pPr>
        <w:tabs>
          <w:tab w:val="left" w:pos="4474"/>
        </w:tabs>
        <w:spacing w:after="0"/>
        <w:jc w:val="both"/>
        <w:rPr>
          <w:rFonts w:ascii="Arial" w:hAnsi="Arial" w:cs="Arial"/>
          <w:b/>
          <w:bCs/>
          <w:sz w:val="24"/>
          <w:szCs w:val="24"/>
        </w:rPr>
      </w:pPr>
    </w:p>
    <w:p w14:paraId="182AB887" w14:textId="24AF79E0" w:rsidR="000F2C0D" w:rsidRDefault="004A6AF4" w:rsidP="002E3DB0">
      <w:pPr>
        <w:pStyle w:val="Ttulo5"/>
        <w:spacing w:before="0"/>
        <w:ind w:left="1008" w:hanging="1008"/>
      </w:pPr>
      <w:bookmarkStart w:id="188" w:name="_Toc205496201"/>
      <w:bookmarkStart w:id="189" w:name="_Toc224844390"/>
      <w:r w:rsidRPr="004A6AF4">
        <w:rPr>
          <w:bCs/>
        </w:rPr>
        <w:t>III-6.</w:t>
      </w:r>
      <w:r w:rsidR="00517B59" w:rsidRPr="004A6AF4">
        <w:rPr>
          <w:bCs/>
        </w:rPr>
        <w:t>10 La</w:t>
      </w:r>
      <w:r w:rsidR="000F2C0D" w:rsidRPr="004A6AF4">
        <w:t xml:space="preserve"> infraestructura frente a la tarifa.</w:t>
      </w:r>
      <w:bookmarkEnd w:id="188"/>
      <w:bookmarkEnd w:id="189"/>
    </w:p>
    <w:p w14:paraId="25DAC126" w14:textId="77777777" w:rsidR="0010018C" w:rsidRPr="0010018C" w:rsidRDefault="0010018C" w:rsidP="002E3DB0">
      <w:pPr>
        <w:spacing w:after="0"/>
      </w:pPr>
    </w:p>
    <w:p w14:paraId="241E55E1" w14:textId="414F176C" w:rsidR="000F2C0D" w:rsidRDefault="000F2C0D" w:rsidP="004A6AF4">
      <w:pPr>
        <w:pStyle w:val="Prrafodelista"/>
        <w:ind w:left="0"/>
        <w:jc w:val="both"/>
        <w:rPr>
          <w:rFonts w:ascii="Arial" w:hAnsi="Arial" w:cs="Arial"/>
          <w:sz w:val="24"/>
          <w:szCs w:val="24"/>
        </w:rPr>
      </w:pPr>
      <w:r w:rsidRPr="496D1C69">
        <w:rPr>
          <w:rFonts w:ascii="Arial" w:hAnsi="Arial" w:cs="Arial"/>
          <w:sz w:val="24"/>
          <w:szCs w:val="24"/>
        </w:rPr>
        <w:t>En relación con la aplicación normativa y regulatoria en materia tarifaria respecto de la infraestructura construida, se tendrán en cuenta los siguientes parámetros:</w:t>
      </w:r>
    </w:p>
    <w:p w14:paraId="0D81E7D5" w14:textId="19829E6A" w:rsidR="000F2C0D" w:rsidRDefault="004A6AF4" w:rsidP="002E3DB0">
      <w:pPr>
        <w:pStyle w:val="Ttulo6"/>
        <w:spacing w:before="0"/>
        <w:ind w:left="1152" w:hanging="1152"/>
      </w:pPr>
      <w:r w:rsidRPr="004A6AF4">
        <w:rPr>
          <w:bCs/>
        </w:rPr>
        <w:t>III-6.10.1</w:t>
      </w:r>
      <w:r w:rsidR="000F2C0D" w:rsidRPr="004A6AF4">
        <w:t xml:space="preserve"> </w:t>
      </w:r>
      <w:bookmarkStart w:id="190" w:name="_Toc205496202"/>
      <w:r w:rsidR="000F2C0D" w:rsidRPr="004A6AF4">
        <w:t>Determinación inicial del cargo tarifario – Eléctrico.</w:t>
      </w:r>
      <w:bookmarkEnd w:id="190"/>
    </w:p>
    <w:p w14:paraId="64A0EEB7" w14:textId="77777777" w:rsidR="0010018C" w:rsidRPr="0010018C" w:rsidRDefault="0010018C" w:rsidP="002E3DB0">
      <w:pPr>
        <w:spacing w:after="0"/>
      </w:pPr>
    </w:p>
    <w:p w14:paraId="4BA792C5" w14:textId="77777777" w:rsidR="000F2C0D" w:rsidRDefault="000F2C0D" w:rsidP="008E39FD">
      <w:pPr>
        <w:pStyle w:val="Prrafodelista"/>
        <w:ind w:left="0"/>
        <w:jc w:val="both"/>
        <w:rPr>
          <w:rFonts w:ascii="Arial" w:hAnsi="Arial" w:cs="Arial"/>
          <w:sz w:val="24"/>
          <w:szCs w:val="24"/>
        </w:rPr>
      </w:pPr>
      <w:r w:rsidRPr="496D1C69">
        <w:rPr>
          <w:rFonts w:ascii="Arial" w:hAnsi="Arial" w:cs="Arial"/>
          <w:sz w:val="24"/>
          <w:szCs w:val="24"/>
        </w:rPr>
        <w:t>En el caso del componente eléctrico, la inclusión de activos construidos con aportes de la Nación en los esquemas tarifarios debe realizarse conforme a lo establecido por la Comisión de Regulación de Energía y Gas – CREG, considerando la diferencia normativa entre el Sistema Interconectado Nacional (SIN) y las Zonas No Interconectadas (ZNI).</w:t>
      </w:r>
    </w:p>
    <w:p w14:paraId="76B678D6" w14:textId="77777777" w:rsidR="000F2C0D" w:rsidRDefault="000F2C0D" w:rsidP="008E39FD">
      <w:pPr>
        <w:pStyle w:val="Prrafodelista"/>
        <w:ind w:left="0"/>
        <w:jc w:val="both"/>
        <w:rPr>
          <w:rFonts w:ascii="Arial" w:hAnsi="Arial" w:cs="Arial"/>
          <w:sz w:val="24"/>
          <w:szCs w:val="24"/>
        </w:rPr>
      </w:pPr>
      <w:r w:rsidRPr="496D1C69">
        <w:rPr>
          <w:rFonts w:ascii="Arial" w:hAnsi="Arial" w:cs="Arial"/>
          <w:sz w:val="24"/>
          <w:szCs w:val="24"/>
        </w:rPr>
        <w:t xml:space="preserve"> </w:t>
      </w:r>
    </w:p>
    <w:p w14:paraId="5146B1D0" w14:textId="77777777" w:rsidR="000F2C0D" w:rsidRDefault="000F2C0D" w:rsidP="008E39FD">
      <w:pPr>
        <w:pStyle w:val="Prrafodelista"/>
        <w:ind w:left="0"/>
        <w:jc w:val="both"/>
        <w:rPr>
          <w:rFonts w:ascii="Arial" w:hAnsi="Arial" w:cs="Arial"/>
          <w:sz w:val="24"/>
          <w:szCs w:val="24"/>
        </w:rPr>
      </w:pPr>
      <w:r w:rsidRPr="496D1C69">
        <w:rPr>
          <w:rFonts w:ascii="Arial" w:hAnsi="Arial" w:cs="Arial"/>
          <w:sz w:val="24"/>
          <w:szCs w:val="24"/>
        </w:rPr>
        <w:t>Para tal efecto, el cargo máximo aplicable a los usuarios del sistema estará determinado por las resoluciones vigentes o aquellas que las modifiquen o sustituyan, que regulen los costos de inversión en redes, infraestructura y demás elementos asociados al servicio. En particular, se tendrán en cuenta las siguientes disposiciones regulatorias:</w:t>
      </w:r>
    </w:p>
    <w:p w14:paraId="20204D02" w14:textId="77777777" w:rsidR="000F2C0D" w:rsidRDefault="000F2C0D" w:rsidP="008E39FD">
      <w:pPr>
        <w:pStyle w:val="Prrafodelista"/>
        <w:ind w:left="0"/>
        <w:jc w:val="both"/>
        <w:rPr>
          <w:rFonts w:ascii="Arial" w:hAnsi="Arial" w:cs="Arial"/>
          <w:sz w:val="24"/>
          <w:szCs w:val="24"/>
        </w:rPr>
      </w:pPr>
      <w:r w:rsidRPr="496D1C69">
        <w:rPr>
          <w:rFonts w:ascii="Arial" w:hAnsi="Arial" w:cs="Arial"/>
          <w:sz w:val="24"/>
          <w:szCs w:val="24"/>
        </w:rPr>
        <w:t xml:space="preserve"> </w:t>
      </w:r>
    </w:p>
    <w:p w14:paraId="12371468" w14:textId="77777777" w:rsidR="000F2C0D" w:rsidRPr="001842F2" w:rsidRDefault="000F2C0D" w:rsidP="00B320D0">
      <w:pPr>
        <w:pStyle w:val="Prrafodelista"/>
        <w:numPr>
          <w:ilvl w:val="0"/>
          <w:numId w:val="4"/>
        </w:numPr>
        <w:jc w:val="both"/>
        <w:rPr>
          <w:rFonts w:ascii="Arial" w:hAnsi="Arial" w:cs="Arial"/>
          <w:sz w:val="24"/>
          <w:szCs w:val="24"/>
        </w:rPr>
      </w:pPr>
      <w:r w:rsidRPr="496D1C69">
        <w:rPr>
          <w:rFonts w:ascii="Arial" w:hAnsi="Arial" w:cs="Arial"/>
          <w:sz w:val="24"/>
          <w:szCs w:val="24"/>
        </w:rPr>
        <w:t>Para el SIN: Resolución CREG 015 de 2018.</w:t>
      </w:r>
    </w:p>
    <w:p w14:paraId="6616829D" w14:textId="77777777" w:rsidR="000F2C0D" w:rsidRDefault="000F2C0D" w:rsidP="00B320D0">
      <w:pPr>
        <w:pStyle w:val="Prrafodelista"/>
        <w:numPr>
          <w:ilvl w:val="0"/>
          <w:numId w:val="4"/>
        </w:numPr>
        <w:jc w:val="both"/>
        <w:rPr>
          <w:rFonts w:ascii="Arial" w:hAnsi="Arial" w:cs="Arial"/>
          <w:sz w:val="24"/>
          <w:szCs w:val="24"/>
        </w:rPr>
      </w:pPr>
      <w:r w:rsidRPr="496D1C69">
        <w:rPr>
          <w:rFonts w:ascii="Arial" w:hAnsi="Arial" w:cs="Arial"/>
          <w:sz w:val="24"/>
          <w:szCs w:val="24"/>
        </w:rPr>
        <w:lastRenderedPageBreak/>
        <w:t>Para las ZNI: Resoluciones CREG 101 026 de 2022 y CREG 091 de 2007.</w:t>
      </w:r>
    </w:p>
    <w:p w14:paraId="089DC104" w14:textId="77777777" w:rsidR="000F2C0D" w:rsidRDefault="000F2C0D" w:rsidP="008E39FD">
      <w:pPr>
        <w:pStyle w:val="Prrafodelista"/>
        <w:ind w:left="0"/>
        <w:jc w:val="both"/>
        <w:rPr>
          <w:rFonts w:ascii="Arial" w:hAnsi="Arial" w:cs="Arial"/>
          <w:sz w:val="24"/>
          <w:szCs w:val="24"/>
        </w:rPr>
      </w:pPr>
      <w:r w:rsidRPr="496D1C69">
        <w:rPr>
          <w:rFonts w:ascii="Arial" w:hAnsi="Arial" w:cs="Arial"/>
          <w:sz w:val="24"/>
          <w:szCs w:val="24"/>
        </w:rPr>
        <w:t xml:space="preserve"> </w:t>
      </w:r>
    </w:p>
    <w:p w14:paraId="27027339" w14:textId="77777777" w:rsidR="000F2C0D" w:rsidRDefault="000F2C0D" w:rsidP="008E39FD">
      <w:pPr>
        <w:pStyle w:val="Prrafodelista"/>
        <w:ind w:left="0"/>
        <w:jc w:val="both"/>
        <w:rPr>
          <w:rFonts w:ascii="Arial" w:hAnsi="Arial" w:cs="Arial"/>
          <w:sz w:val="24"/>
          <w:szCs w:val="24"/>
        </w:rPr>
      </w:pPr>
      <w:r w:rsidRPr="496D1C69">
        <w:rPr>
          <w:rFonts w:ascii="Arial" w:hAnsi="Arial" w:cs="Arial"/>
          <w:sz w:val="24"/>
          <w:szCs w:val="24"/>
        </w:rPr>
        <w:t>En ambos casos, se aplicarán las normas que se encuentren vigentes, incluyendo aquellas que modifiquen, adicionen o sustituyan las resoluciones previamente mencionadas.</w:t>
      </w:r>
    </w:p>
    <w:p w14:paraId="579BB92F" w14:textId="3032F12F" w:rsidR="000F2C0D" w:rsidRDefault="00CD6125" w:rsidP="002E3DB0">
      <w:pPr>
        <w:pStyle w:val="Ttulo5"/>
        <w:spacing w:before="0"/>
        <w:ind w:left="1008" w:hanging="1008"/>
      </w:pPr>
      <w:bookmarkStart w:id="191" w:name="_Toc205496210"/>
      <w:bookmarkStart w:id="192" w:name="_Toc224844391"/>
      <w:r w:rsidRPr="00CD6125">
        <w:rPr>
          <w:bCs/>
        </w:rPr>
        <w:t xml:space="preserve">III-6.11 </w:t>
      </w:r>
      <w:r w:rsidR="000F2C0D" w:rsidRPr="00CD6125">
        <w:t>Activos para prestación del servicio</w:t>
      </w:r>
      <w:bookmarkEnd w:id="191"/>
      <w:bookmarkEnd w:id="192"/>
    </w:p>
    <w:p w14:paraId="57A54228" w14:textId="77777777" w:rsidR="0010018C" w:rsidRPr="0010018C" w:rsidRDefault="0010018C" w:rsidP="002E3DB0">
      <w:pPr>
        <w:spacing w:after="0"/>
      </w:pPr>
    </w:p>
    <w:p w14:paraId="3C6B1265" w14:textId="77777777"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Una vez suscrito el contrato especial previsto el numeral 39.3 del artículo 39 de la Ley 142 de 1994, la empresa ejecutora que haya realizado la construcción de la cobertura del servicio público domiciliario de energía eléctrica cofinanciado con recursos del FONENERGÍA y/o otras fuentes de financiación, tendrá la obligación de adelantar la entrega de la infraestructura al Ministerio de Minas y Energía que a su vez entregará al operador de red o al prestador del servicio para la realización de la actividad de Administración, Operación y Mantenimiento de los activos.</w:t>
      </w:r>
    </w:p>
    <w:p w14:paraId="72AD8208" w14:textId="77777777"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 xml:space="preserve"> </w:t>
      </w:r>
    </w:p>
    <w:p w14:paraId="056268D7" w14:textId="77777777"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Esta prestación se realizará bajo los términos del derecho privado, conforme a lo dispuesto en el parágrafo del artículo 39 de la Ley 142 de 1994. El Operador de red o el prestador del servicio recibirá el uso y goce de la infraestructura bajo la figura de aporte bajo condición, en los términos del artículo 87.9 de la Ley 142 de 1994, modificado por el artículo 8 del Decreto Legislativo 819 de 2020, hasta la finalización del plazo contractual. Por lo que, se prohíbe la contratación derivada o ceder el contrato sin el consentimiento expreso y escrito del Ministerio de Minas y Energía.</w:t>
      </w:r>
    </w:p>
    <w:p w14:paraId="2B5CC45E" w14:textId="77777777"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 xml:space="preserve"> </w:t>
      </w:r>
    </w:p>
    <w:p w14:paraId="20E60FD5" w14:textId="77777777"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El operador de red o el prestador de servicio deberá asegurar, con sus propios recursos y bajo su propio riesgo, los activos aportados que sean asegurables, mediante pólizas exigidas por el Ministerio de Minas y Energía, conforme a lo establecido en el artículo 1061 del Código de Comercio, el Decreto 1082 de 2015 y las normas que lo modifiquen, complementen, sustituyan o desarrollen.</w:t>
      </w:r>
    </w:p>
    <w:p w14:paraId="34FA355F" w14:textId="77777777" w:rsidR="000F2C0D" w:rsidRDefault="000F2C0D" w:rsidP="00B03685">
      <w:pPr>
        <w:shd w:val="clear" w:color="auto" w:fill="FFFFFF" w:themeFill="background1"/>
        <w:spacing w:after="0"/>
        <w:jc w:val="both"/>
        <w:rPr>
          <w:rFonts w:ascii="Arial" w:hAnsi="Arial" w:cs="Arial"/>
          <w:sz w:val="24"/>
          <w:szCs w:val="24"/>
        </w:rPr>
      </w:pPr>
      <w:r w:rsidRPr="496D1C69">
        <w:rPr>
          <w:rFonts w:ascii="Arial" w:hAnsi="Arial" w:cs="Arial"/>
          <w:sz w:val="24"/>
          <w:szCs w:val="24"/>
        </w:rPr>
        <w:t xml:space="preserve"> </w:t>
      </w:r>
    </w:p>
    <w:p w14:paraId="552050FF" w14:textId="54EAD027" w:rsidR="000F2C0D" w:rsidRDefault="000F2C0D" w:rsidP="008F2FB8">
      <w:pPr>
        <w:shd w:val="clear" w:color="auto" w:fill="FFFFFF" w:themeFill="background1"/>
        <w:spacing w:after="0"/>
        <w:jc w:val="both"/>
        <w:rPr>
          <w:rFonts w:ascii="Arial" w:hAnsi="Arial" w:cs="Arial"/>
          <w:sz w:val="24"/>
          <w:szCs w:val="24"/>
        </w:rPr>
      </w:pPr>
      <w:r w:rsidRPr="496D1C69">
        <w:rPr>
          <w:rFonts w:ascii="Arial" w:hAnsi="Arial" w:cs="Arial"/>
          <w:sz w:val="24"/>
          <w:szCs w:val="24"/>
        </w:rPr>
        <w:t>Para la ejecución de las actividades de Administración, Operación y Mantenimiento (AOM), se deberán observar las causales de inhabilidad e incompatibilidad previstas en el artículo 110 de la Ley 142 de 1994, reglamentado por el Decreto Nacional 3243 de 2004 y demás normas complementarias.</w:t>
      </w:r>
    </w:p>
    <w:p w14:paraId="70E324DE" w14:textId="77777777" w:rsidR="008F2FB8" w:rsidRDefault="008F2FB8" w:rsidP="008F2FB8">
      <w:pPr>
        <w:shd w:val="clear" w:color="auto" w:fill="FFFFFF" w:themeFill="background1"/>
        <w:spacing w:after="0"/>
        <w:jc w:val="both"/>
      </w:pPr>
    </w:p>
    <w:p w14:paraId="745DA443" w14:textId="0672424C" w:rsidR="000F2C0D" w:rsidRDefault="008F2FB8" w:rsidP="00517B59">
      <w:pPr>
        <w:pStyle w:val="Ttulo5"/>
        <w:ind w:left="1008" w:hanging="1008"/>
      </w:pPr>
      <w:bookmarkStart w:id="193" w:name="_Toc205496212"/>
      <w:bookmarkStart w:id="194" w:name="_Toc224844392"/>
      <w:r w:rsidRPr="008F2FB8">
        <w:rPr>
          <w:bCs/>
        </w:rPr>
        <w:t>III-6.</w:t>
      </w:r>
      <w:r w:rsidR="00900CFD" w:rsidRPr="008F2FB8">
        <w:rPr>
          <w:bCs/>
        </w:rPr>
        <w:t>12 Del</w:t>
      </w:r>
      <w:r w:rsidR="000F2C0D" w:rsidRPr="008F2FB8">
        <w:t xml:space="preserve"> incumplimiento en la prestación del servicio público.</w:t>
      </w:r>
      <w:bookmarkEnd w:id="193"/>
      <w:bookmarkEnd w:id="194"/>
      <w:r w:rsidR="000F2C0D" w:rsidRPr="008F2FB8">
        <w:t xml:space="preserve"> </w:t>
      </w:r>
    </w:p>
    <w:p w14:paraId="50D9D184" w14:textId="77777777" w:rsidR="0010018C" w:rsidRPr="0010018C" w:rsidRDefault="0010018C" w:rsidP="0010018C"/>
    <w:p w14:paraId="47739C4B" w14:textId="77777777" w:rsidR="000F2C0D" w:rsidRPr="00671BD5" w:rsidRDefault="000F2C0D" w:rsidP="00B03685">
      <w:pPr>
        <w:shd w:val="clear" w:color="auto" w:fill="FFFFFF" w:themeFill="background1"/>
        <w:spacing w:after="0"/>
        <w:jc w:val="both"/>
        <w:rPr>
          <w:rFonts w:ascii="Arial" w:hAnsi="Arial" w:cs="Arial"/>
          <w:sz w:val="24"/>
          <w:szCs w:val="24"/>
        </w:rPr>
      </w:pPr>
      <w:r w:rsidRPr="00671BD5">
        <w:rPr>
          <w:rFonts w:ascii="Arial" w:hAnsi="Arial" w:cs="Arial"/>
          <w:sz w:val="24"/>
          <w:szCs w:val="24"/>
        </w:rPr>
        <w:t>Cuando la Superintendencia de Servicios Públicos Domiciliarios – SSPD, en el marco de sus funciones y competencias determine que existe un incumplimiento de las obligaciones adquiridas por parte de las empresas prestadoras de servicios públicos de Energía Eléctrica, remitirá al FONENERGÍA copia del acto administrativo ejecutoriado mediante el cual se impone la sanción a la empresa prestadora del servicio.</w:t>
      </w:r>
    </w:p>
    <w:p w14:paraId="393FD020" w14:textId="77777777" w:rsidR="000F2C0D" w:rsidRPr="00671BD5" w:rsidRDefault="000F2C0D" w:rsidP="00B03685">
      <w:pPr>
        <w:shd w:val="clear" w:color="auto" w:fill="FFFFFF" w:themeFill="background1"/>
        <w:spacing w:after="0"/>
        <w:jc w:val="both"/>
        <w:rPr>
          <w:rFonts w:ascii="Arial" w:hAnsi="Arial" w:cs="Arial"/>
          <w:sz w:val="24"/>
          <w:szCs w:val="24"/>
        </w:rPr>
      </w:pPr>
    </w:p>
    <w:p w14:paraId="60201E29" w14:textId="05923F98" w:rsidR="000F2C0D" w:rsidRPr="00671BD5" w:rsidRDefault="000F2C0D" w:rsidP="00B03685">
      <w:pPr>
        <w:shd w:val="clear" w:color="auto" w:fill="FFFFFF" w:themeFill="background1"/>
        <w:spacing w:after="0"/>
        <w:jc w:val="both"/>
        <w:rPr>
          <w:rFonts w:ascii="Arial" w:hAnsi="Arial" w:cs="Arial"/>
          <w:sz w:val="24"/>
          <w:szCs w:val="24"/>
        </w:rPr>
      </w:pPr>
      <w:r w:rsidRPr="00671BD5">
        <w:rPr>
          <w:rFonts w:ascii="Arial" w:hAnsi="Arial" w:cs="Arial"/>
          <w:b/>
          <w:sz w:val="24"/>
          <w:szCs w:val="24"/>
        </w:rPr>
        <w:t>Nota Especial</w:t>
      </w:r>
      <w:r w:rsidR="00B06D78">
        <w:rPr>
          <w:rFonts w:ascii="Arial" w:hAnsi="Arial" w:cs="Arial"/>
          <w:b/>
          <w:bCs/>
          <w:sz w:val="24"/>
          <w:szCs w:val="24"/>
        </w:rPr>
        <w:t xml:space="preserve"> </w:t>
      </w:r>
      <w:r w:rsidR="002E3DB0">
        <w:rPr>
          <w:rFonts w:ascii="Arial" w:hAnsi="Arial" w:cs="Arial"/>
          <w:b/>
          <w:bCs/>
          <w:sz w:val="24"/>
          <w:szCs w:val="24"/>
        </w:rPr>
        <w:t>3</w:t>
      </w:r>
      <w:r w:rsidRPr="00671BD5">
        <w:rPr>
          <w:rFonts w:ascii="Arial" w:hAnsi="Arial" w:cs="Arial"/>
          <w:b/>
          <w:sz w:val="24"/>
          <w:szCs w:val="24"/>
        </w:rPr>
        <w:t>:</w:t>
      </w:r>
      <w:r w:rsidRPr="00671BD5">
        <w:rPr>
          <w:rFonts w:ascii="Arial" w:hAnsi="Arial" w:cs="Arial"/>
          <w:sz w:val="24"/>
          <w:szCs w:val="24"/>
        </w:rPr>
        <w:t xml:space="preserve"> Una vez recibido el acto administrativo sancionatorio ejecutoriado de que trata el presente artículo, con miras a garantizar la prestación efectiva del servicio público domiciliario de energía eléctrica, el FONENERGÍA podrá determinar la necesidad de iniciar el procedimiento consagrado en los artículos 61 y subsiguientes de la Ley 388 de 1997.</w:t>
      </w:r>
    </w:p>
    <w:p w14:paraId="676216D3" w14:textId="625880D3" w:rsidR="00CA6CD2" w:rsidRPr="008E1A63" w:rsidRDefault="00CA6CD2" w:rsidP="008E1A63">
      <w:pPr>
        <w:pStyle w:val="Ttulo1"/>
      </w:pPr>
      <w:bookmarkStart w:id="195" w:name="_Toc224844393"/>
      <w:r w:rsidRPr="008E1A63">
        <w:lastRenderedPageBreak/>
        <w:t>TITULO IV</w:t>
      </w:r>
      <w:bookmarkEnd w:id="195"/>
    </w:p>
    <w:p w14:paraId="67E1C09E" w14:textId="77777777" w:rsidR="002E3DB0" w:rsidRDefault="002E3DB0" w:rsidP="001E1135">
      <w:pPr>
        <w:pStyle w:val="Ttulo2"/>
        <w:jc w:val="center"/>
      </w:pPr>
      <w:bookmarkStart w:id="196" w:name="_Toc224844394"/>
      <w:bookmarkStart w:id="197" w:name="_Hlk161664446"/>
    </w:p>
    <w:p w14:paraId="07742713" w14:textId="15D357F3" w:rsidR="002F41A8" w:rsidRPr="002F41A8" w:rsidRDefault="002F41A8" w:rsidP="001E1135">
      <w:pPr>
        <w:pStyle w:val="Ttulo2"/>
        <w:jc w:val="center"/>
      </w:pPr>
      <w:r w:rsidRPr="001E1135">
        <w:t>FUNCIONES ADICIONALES ASIGNADAS A FONENERGIA</w:t>
      </w:r>
      <w:bookmarkEnd w:id="196"/>
    </w:p>
    <w:p w14:paraId="0E0BAD7E" w14:textId="77777777" w:rsidR="002F41A8" w:rsidRPr="00C63186" w:rsidRDefault="002F41A8" w:rsidP="008E39FD">
      <w:pPr>
        <w:pStyle w:val="Prrafodelista"/>
        <w:ind w:left="0"/>
        <w:jc w:val="center"/>
        <w:rPr>
          <w:rFonts w:ascii="Arial" w:hAnsi="Arial" w:cs="Arial"/>
          <w:b/>
          <w:bCs/>
          <w:sz w:val="24"/>
          <w:szCs w:val="24"/>
        </w:rPr>
      </w:pPr>
    </w:p>
    <w:p w14:paraId="710B66FA" w14:textId="77777777" w:rsidR="002F41A8" w:rsidRPr="00C63186" w:rsidRDefault="002F41A8" w:rsidP="008E39FD">
      <w:pPr>
        <w:pStyle w:val="Prrafodelista"/>
        <w:ind w:left="0"/>
        <w:jc w:val="both"/>
        <w:rPr>
          <w:rFonts w:ascii="Arial" w:hAnsi="Arial" w:cs="Arial"/>
          <w:sz w:val="24"/>
          <w:szCs w:val="24"/>
        </w:rPr>
      </w:pPr>
      <w:r w:rsidRPr="00932CDD">
        <w:rPr>
          <w:rFonts w:ascii="Arial" w:hAnsi="Arial" w:cs="Arial"/>
          <w:sz w:val="24"/>
          <w:szCs w:val="24"/>
        </w:rPr>
        <w:t>En aplicación de lo dispuesto por el artículo 61 de la Ley 489 de 1998</w:t>
      </w:r>
      <w:r>
        <w:rPr>
          <w:rFonts w:ascii="Arial" w:hAnsi="Arial" w:cs="Arial"/>
          <w:sz w:val="24"/>
          <w:szCs w:val="24"/>
        </w:rPr>
        <w:t>,</w:t>
      </w:r>
      <w:r w:rsidRPr="00932CDD">
        <w:rPr>
          <w:rFonts w:ascii="Arial" w:hAnsi="Arial" w:cs="Arial"/>
          <w:sz w:val="24"/>
          <w:szCs w:val="24"/>
        </w:rPr>
        <w:t xml:space="preserve"> </w:t>
      </w:r>
      <w:r w:rsidRPr="00C63186">
        <w:rPr>
          <w:rFonts w:ascii="Arial" w:hAnsi="Arial" w:cs="Arial"/>
          <w:sz w:val="24"/>
          <w:szCs w:val="24"/>
        </w:rPr>
        <w:t>a los Órganos de Gobierno de FONENERGÍA le corresponde adelantar las gestiones necesarias para la debida ejecución y seguimiento a los siguientes proyectos, los cuales cuentan con sus propias directrices y fuentes de financiación:</w:t>
      </w:r>
    </w:p>
    <w:p w14:paraId="5D7A8B77" w14:textId="77777777" w:rsidR="002F41A8" w:rsidRPr="00C63186" w:rsidRDefault="002F41A8" w:rsidP="008E39FD">
      <w:pPr>
        <w:pStyle w:val="Prrafodelista"/>
        <w:ind w:left="0"/>
        <w:jc w:val="both"/>
        <w:rPr>
          <w:rFonts w:ascii="Arial" w:hAnsi="Arial" w:cs="Arial"/>
          <w:sz w:val="24"/>
          <w:szCs w:val="24"/>
        </w:rPr>
      </w:pPr>
    </w:p>
    <w:p w14:paraId="41453DCE" w14:textId="77777777" w:rsidR="002F41A8" w:rsidRPr="00C63186" w:rsidRDefault="48D0EA3D" w:rsidP="00B320D0">
      <w:pPr>
        <w:pStyle w:val="Prrafodelista"/>
        <w:numPr>
          <w:ilvl w:val="0"/>
          <w:numId w:val="13"/>
        </w:numPr>
        <w:ind w:left="284" w:hanging="284"/>
        <w:jc w:val="both"/>
        <w:rPr>
          <w:rFonts w:ascii="Arial" w:hAnsi="Arial" w:cs="Arial"/>
          <w:sz w:val="24"/>
          <w:szCs w:val="24"/>
        </w:rPr>
      </w:pPr>
      <w:bookmarkStart w:id="198" w:name="_Hlk163208391"/>
      <w:r w:rsidRPr="5D146CA7">
        <w:rPr>
          <w:rFonts w:ascii="Arial" w:hAnsi="Arial" w:cs="Arial"/>
          <w:sz w:val="24"/>
          <w:szCs w:val="24"/>
        </w:rPr>
        <w:t>Construcción de Infraestructura con recursos del Fondo de Energía Social-FOES.</w:t>
      </w:r>
    </w:p>
    <w:p w14:paraId="1860DF0E" w14:textId="77777777" w:rsidR="002F41A8" w:rsidRPr="00C63186" w:rsidRDefault="002F41A8" w:rsidP="00B320D0">
      <w:pPr>
        <w:pStyle w:val="Prrafodelista"/>
        <w:numPr>
          <w:ilvl w:val="0"/>
          <w:numId w:val="13"/>
        </w:numPr>
        <w:ind w:left="284" w:hanging="284"/>
        <w:jc w:val="both"/>
        <w:rPr>
          <w:rFonts w:ascii="Arial" w:hAnsi="Arial" w:cs="Arial"/>
          <w:sz w:val="24"/>
          <w:szCs w:val="24"/>
        </w:rPr>
      </w:pPr>
      <w:r w:rsidRPr="00C63186">
        <w:rPr>
          <w:rFonts w:ascii="Arial" w:hAnsi="Arial" w:cs="Arial"/>
          <w:sz w:val="24"/>
          <w:szCs w:val="24"/>
        </w:rPr>
        <w:t>Obras por Impuestos</w:t>
      </w:r>
    </w:p>
    <w:p w14:paraId="5759E00B" w14:textId="77777777" w:rsidR="002F41A8" w:rsidRPr="00C63186" w:rsidRDefault="002F41A8" w:rsidP="00B320D0">
      <w:pPr>
        <w:pStyle w:val="Prrafodelista"/>
        <w:numPr>
          <w:ilvl w:val="0"/>
          <w:numId w:val="13"/>
        </w:numPr>
        <w:ind w:left="284" w:hanging="284"/>
        <w:jc w:val="both"/>
        <w:rPr>
          <w:rFonts w:ascii="Arial" w:hAnsi="Arial" w:cs="Arial"/>
          <w:sz w:val="24"/>
          <w:szCs w:val="24"/>
        </w:rPr>
      </w:pPr>
      <w:r w:rsidRPr="00C63186">
        <w:rPr>
          <w:rFonts w:ascii="Arial" w:hAnsi="Arial" w:cs="Arial"/>
          <w:sz w:val="24"/>
          <w:szCs w:val="24"/>
        </w:rPr>
        <w:t>Construcción de Infraestructura para el mejoramiento y/o ampliación de cobertura de Gas Licuado de Petróleo-GLP para combustible, por redes de tubería.</w:t>
      </w:r>
    </w:p>
    <w:p w14:paraId="2DF4FC89" w14:textId="77777777" w:rsidR="002F41A8" w:rsidRPr="000F7E62" w:rsidRDefault="002F41A8" w:rsidP="00B320D0">
      <w:pPr>
        <w:pStyle w:val="Prrafodelista"/>
        <w:numPr>
          <w:ilvl w:val="0"/>
          <w:numId w:val="13"/>
        </w:numPr>
        <w:ind w:left="284" w:hanging="284"/>
        <w:jc w:val="both"/>
        <w:rPr>
          <w:rFonts w:ascii="Arial" w:hAnsi="Arial" w:cs="Arial"/>
          <w:sz w:val="24"/>
          <w:szCs w:val="24"/>
          <w:highlight w:val="yellow"/>
        </w:rPr>
      </w:pPr>
      <w:r w:rsidRPr="000F7E62">
        <w:rPr>
          <w:rFonts w:ascii="Arial" w:hAnsi="Arial" w:cs="Arial"/>
          <w:sz w:val="24"/>
          <w:szCs w:val="24"/>
          <w:highlight w:val="yellow"/>
        </w:rPr>
        <w:t>Soluciones energéticas con biogás y biometano</w:t>
      </w:r>
    </w:p>
    <w:p w14:paraId="2A88D4E2" w14:textId="77777777" w:rsidR="002F41A8" w:rsidRPr="00C63186" w:rsidRDefault="48D0EA3D" w:rsidP="00B320D0">
      <w:pPr>
        <w:pStyle w:val="Prrafodelista"/>
        <w:numPr>
          <w:ilvl w:val="0"/>
          <w:numId w:val="13"/>
        </w:numPr>
        <w:ind w:left="284" w:hanging="284"/>
        <w:jc w:val="both"/>
        <w:rPr>
          <w:rFonts w:ascii="Arial" w:hAnsi="Arial" w:cs="Arial"/>
          <w:sz w:val="24"/>
          <w:szCs w:val="24"/>
        </w:rPr>
      </w:pPr>
      <w:r w:rsidRPr="5D146CA7">
        <w:rPr>
          <w:rFonts w:ascii="Arial" w:hAnsi="Arial" w:cs="Arial"/>
          <w:sz w:val="24"/>
          <w:szCs w:val="24"/>
        </w:rPr>
        <w:t>Asignación de recursos, estructuración de proyectos con FNCER en Comunidades Energéticas.</w:t>
      </w:r>
      <w:bookmarkEnd w:id="198"/>
    </w:p>
    <w:p w14:paraId="49634192" w14:textId="168F3A05" w:rsidR="007E76C6" w:rsidRPr="00C63186" w:rsidRDefault="00B45F95" w:rsidP="00B320D0">
      <w:pPr>
        <w:pStyle w:val="Prrafodelista"/>
        <w:numPr>
          <w:ilvl w:val="0"/>
          <w:numId w:val="13"/>
        </w:numPr>
        <w:ind w:left="284" w:hanging="284"/>
        <w:jc w:val="both"/>
        <w:rPr>
          <w:rFonts w:ascii="Arial" w:hAnsi="Arial" w:cs="Arial"/>
          <w:sz w:val="24"/>
          <w:szCs w:val="24"/>
        </w:rPr>
      </w:pPr>
      <w:r w:rsidRPr="5D146CA7">
        <w:rPr>
          <w:rFonts w:ascii="Arial" w:hAnsi="Arial" w:cs="Arial"/>
          <w:sz w:val="24"/>
          <w:szCs w:val="24"/>
        </w:rPr>
        <w:t>Asignación de recursos</w:t>
      </w:r>
      <w:r w:rsidR="002310C2">
        <w:rPr>
          <w:rFonts w:ascii="Arial" w:hAnsi="Arial" w:cs="Arial"/>
          <w:sz w:val="24"/>
          <w:szCs w:val="24"/>
        </w:rPr>
        <w:t xml:space="preserve"> y seguimiento al Programa Colombia Solar</w:t>
      </w:r>
    </w:p>
    <w:p w14:paraId="5E5BB605" w14:textId="2BA95214" w:rsidR="002F41A8" w:rsidRPr="00C63186" w:rsidRDefault="002F41A8" w:rsidP="00B03685">
      <w:pPr>
        <w:jc w:val="both"/>
        <w:rPr>
          <w:rFonts w:ascii="Arial" w:hAnsi="Arial" w:cs="Arial"/>
          <w:sz w:val="24"/>
          <w:szCs w:val="24"/>
        </w:rPr>
      </w:pPr>
      <w:r w:rsidRPr="1A65CE1C">
        <w:rPr>
          <w:rFonts w:ascii="Arial" w:hAnsi="Arial" w:cs="Arial"/>
          <w:sz w:val="24"/>
          <w:szCs w:val="24"/>
        </w:rPr>
        <w:t xml:space="preserve">En esa medida, en los capítulos siguientes se abordarán aspectos sustanciales relacionados con estos </w:t>
      </w:r>
      <w:r w:rsidR="00D078B6">
        <w:rPr>
          <w:rFonts w:ascii="Arial" w:hAnsi="Arial" w:cs="Arial"/>
          <w:sz w:val="24"/>
          <w:szCs w:val="24"/>
        </w:rPr>
        <w:t>seis (6)</w:t>
      </w:r>
      <w:r w:rsidRPr="1A65CE1C">
        <w:rPr>
          <w:rFonts w:ascii="Arial" w:hAnsi="Arial" w:cs="Arial"/>
          <w:sz w:val="24"/>
          <w:szCs w:val="24"/>
        </w:rPr>
        <w:t xml:space="preserve"> frentes cuyo conocimiento se coloca a cargo de los Órganos de Gobierno de FONENERGÍA, con la finalidad de consolidar en un solo equipo de trabajo, todo lo relacionado con la viabilidad, estructuración, aprobación de recursos, seguimiento, recibo y entrega de infraestructura, buscando siempre servir a la comunidad y lograr la prosperidad general, fines esenciales de nuestro Estado claramente establecidos en el artículo 2° de la Constitución Política.</w:t>
      </w:r>
    </w:p>
    <w:p w14:paraId="7F62C870" w14:textId="7D82D9C0" w:rsidR="002F41A8" w:rsidRPr="00C6282A" w:rsidRDefault="003A74F6" w:rsidP="00C6282A">
      <w:pPr>
        <w:pStyle w:val="Ttulo3"/>
        <w:jc w:val="center"/>
      </w:pPr>
      <w:bookmarkStart w:id="199" w:name="_Toc224844395"/>
      <w:r w:rsidRPr="00C6282A">
        <w:t xml:space="preserve">CAPÍTULO </w:t>
      </w:r>
      <w:r w:rsidR="005C0F0C" w:rsidRPr="00C6282A">
        <w:t>I</w:t>
      </w:r>
      <w:bookmarkEnd w:id="199"/>
    </w:p>
    <w:p w14:paraId="465AB9B0" w14:textId="77777777" w:rsidR="003A74F6" w:rsidRDefault="003A74F6" w:rsidP="006B6927">
      <w:pPr>
        <w:pStyle w:val="Ttulo4"/>
        <w:ind w:left="864" w:hanging="864"/>
        <w:jc w:val="center"/>
      </w:pPr>
      <w:bookmarkStart w:id="200" w:name="_Toc224844396"/>
      <w:r w:rsidRPr="00A8340D">
        <w:t>CONSTRUCCIÓN DE INFRAESTRUCTURA CON RECURSOS DEL FOES</w:t>
      </w:r>
      <w:bookmarkEnd w:id="200"/>
    </w:p>
    <w:p w14:paraId="5CD2521E" w14:textId="77777777" w:rsidR="00720625" w:rsidRPr="00720625" w:rsidRDefault="00720625" w:rsidP="00720625"/>
    <w:p w14:paraId="07E26F71" w14:textId="72E4F29E" w:rsidR="002F41A8" w:rsidRPr="00720625" w:rsidRDefault="000369B7" w:rsidP="00720625">
      <w:pPr>
        <w:pStyle w:val="Ttulo5"/>
        <w:ind w:left="1008" w:hanging="1008"/>
      </w:pPr>
      <w:bookmarkStart w:id="201" w:name="_Toc205496220"/>
      <w:bookmarkStart w:id="202" w:name="_Toc219397317"/>
      <w:bookmarkStart w:id="203" w:name="_Toc224844397"/>
      <w:r w:rsidRPr="00720625">
        <w:t>IV-</w:t>
      </w:r>
      <w:r w:rsidR="00A5059F" w:rsidRPr="00720625">
        <w:t xml:space="preserve">1.1 </w:t>
      </w:r>
      <w:r w:rsidR="002F41A8" w:rsidRPr="00720625">
        <w:t>Antecedentes del FOES</w:t>
      </w:r>
      <w:bookmarkEnd w:id="201"/>
      <w:bookmarkEnd w:id="202"/>
      <w:bookmarkEnd w:id="203"/>
    </w:p>
    <w:p w14:paraId="14D9FF0C" w14:textId="77777777" w:rsidR="002F41A8" w:rsidRPr="00C63186" w:rsidRDefault="002F41A8" w:rsidP="00B320D0">
      <w:pPr>
        <w:pStyle w:val="NormalWeb"/>
        <w:numPr>
          <w:ilvl w:val="0"/>
          <w:numId w:val="14"/>
        </w:numPr>
        <w:spacing w:line="276" w:lineRule="auto"/>
        <w:jc w:val="both"/>
        <w:rPr>
          <w:rFonts w:ascii="Arial" w:hAnsi="Arial" w:cs="Arial"/>
          <w:b/>
          <w:bCs/>
        </w:rPr>
      </w:pPr>
      <w:r w:rsidRPr="00C63186">
        <w:rPr>
          <w:rFonts w:ascii="Arial" w:hAnsi="Arial" w:cs="Arial"/>
          <w:b/>
          <w:bCs/>
        </w:rPr>
        <w:t>Ley 812 de 2003</w:t>
      </w:r>
    </w:p>
    <w:p w14:paraId="0A1A1D4B" w14:textId="77777777" w:rsidR="002F41A8" w:rsidRPr="00C63186" w:rsidRDefault="002F41A8" w:rsidP="008E39FD">
      <w:pPr>
        <w:pStyle w:val="NormalWeb"/>
        <w:spacing w:line="276" w:lineRule="auto"/>
        <w:jc w:val="both"/>
        <w:rPr>
          <w:rFonts w:ascii="Arial" w:hAnsi="Arial" w:cs="Arial"/>
        </w:rPr>
      </w:pPr>
      <w:r w:rsidRPr="00C63186">
        <w:rPr>
          <w:rFonts w:ascii="Arial" w:hAnsi="Arial" w:cs="Arial"/>
        </w:rPr>
        <w:t>El artículo 118 de esta Ley asignó al Ministerio de Minas y Energía la función de crear,  en un plazo de tres (3) meses, contados a partir de la vigencia de dicha ley, un Fondo de Energía Social como un sistema de cuenta especial, con el objeto de cubrir hasta cuarenta pesos ($40) por kilovatio hora del valor de la energía eléctrica destinada al consumo de los usuarios ubicados en zonas de difícil gestión, áreas rurales de menor desarrollo, incluidas sus cabeceras municipales, y en zonas subnormales urbanas todas las cuales definirá el Gobierno Nacional.</w:t>
      </w:r>
    </w:p>
    <w:p w14:paraId="26E286FC" w14:textId="77777777" w:rsidR="002F41A8" w:rsidRPr="00C63186" w:rsidRDefault="002F41A8" w:rsidP="00B320D0">
      <w:pPr>
        <w:pStyle w:val="NormalWeb"/>
        <w:numPr>
          <w:ilvl w:val="0"/>
          <w:numId w:val="14"/>
        </w:numPr>
        <w:spacing w:line="276" w:lineRule="auto"/>
        <w:jc w:val="both"/>
        <w:rPr>
          <w:rFonts w:ascii="Arial" w:hAnsi="Arial" w:cs="Arial"/>
          <w:b/>
          <w:bCs/>
        </w:rPr>
      </w:pPr>
      <w:r w:rsidRPr="00C63186">
        <w:rPr>
          <w:rFonts w:ascii="Arial" w:hAnsi="Arial" w:cs="Arial"/>
          <w:b/>
          <w:bCs/>
        </w:rPr>
        <w:t>Decreto 111 de 2012 (compilado en el DUR 1073 de 2015)</w:t>
      </w:r>
    </w:p>
    <w:p w14:paraId="5B6148FD" w14:textId="77777777" w:rsidR="002F41A8" w:rsidRPr="00C63186" w:rsidRDefault="002F41A8" w:rsidP="008E39FD">
      <w:pPr>
        <w:pStyle w:val="NormalWeb"/>
        <w:spacing w:line="276" w:lineRule="auto"/>
        <w:jc w:val="both"/>
        <w:rPr>
          <w:rFonts w:ascii="Arial" w:hAnsi="Arial" w:cs="Arial"/>
        </w:rPr>
      </w:pPr>
      <w:r w:rsidRPr="00C63186">
        <w:rPr>
          <w:rFonts w:ascii="Arial" w:hAnsi="Arial" w:cs="Arial"/>
        </w:rPr>
        <w:t>Esta norma reglamentó el Fondo de Energía Social-FOES actualizando las definiciones ya establecidas en el Decreto 160 de 2004, así:</w:t>
      </w:r>
    </w:p>
    <w:p w14:paraId="3E39EAC7"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b/>
          <w:bCs/>
          <w:i/>
          <w:iCs/>
          <w:sz w:val="22"/>
          <w:szCs w:val="22"/>
        </w:rPr>
        <w:t>Áreas Especiales:</w:t>
      </w:r>
      <w:r w:rsidRPr="00C63186">
        <w:rPr>
          <w:rFonts w:ascii="Arial" w:hAnsi="Arial" w:cs="Arial"/>
          <w:i/>
          <w:iCs/>
          <w:sz w:val="22"/>
          <w:szCs w:val="22"/>
        </w:rPr>
        <w:t xml:space="preserve"> Para efectos del presente Decreto, entiéndase por Áreas Especiales a las Áreas Rurales de Menor Desarrollo, Zonas de Difícil Gestión y Barrios Subnormales, respecto de los cuales los usuarios de los estratos 1 y 2 ubicados en las mismas, son </w:t>
      </w:r>
      <w:r w:rsidRPr="00C63186">
        <w:rPr>
          <w:rFonts w:ascii="Arial" w:hAnsi="Arial" w:cs="Arial"/>
          <w:i/>
          <w:iCs/>
          <w:sz w:val="22"/>
          <w:szCs w:val="22"/>
        </w:rPr>
        <w:lastRenderedPageBreak/>
        <w:t>beneficiarios del Fondo de Energía Social de que trata el artículo 103 de la Ley 1450 de 2011, de conformidad con las definiciones que se establecen para cada una de ellas en el presente acto.</w:t>
      </w:r>
    </w:p>
    <w:p w14:paraId="4EF0981A"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b/>
          <w:bCs/>
          <w:i/>
          <w:iCs/>
          <w:sz w:val="22"/>
          <w:szCs w:val="22"/>
        </w:rPr>
        <w:t>Área Rural de Menor Desarrollo:</w:t>
      </w:r>
      <w:r w:rsidRPr="00C63186">
        <w:rPr>
          <w:rFonts w:ascii="Arial" w:hAnsi="Arial" w:cs="Arial"/>
          <w:i/>
          <w:iCs/>
          <w:sz w:val="22"/>
          <w:szCs w:val="22"/>
        </w:rPr>
        <w:t xml:space="preserve"> Es el área perteneciente al sector rural de un municipio o distrito que reúne las siguientes características: (i) presenta un índice superior a cincuenta y cuatro punto cuatro (54.4), conforme con el indicador de las Necesidades Básicas Insatisfechas publicado por el Departamento Administrativo Nacional de Estadística y (ii) está conectada al circuito de alimentación por medio del cual se le suministra el servicio público de energía eléctrica. Corresponde al Alcalde Municipal o Distrital o a la autoridad competente, conforme con la Ley 388 de 1997, clasificar y certificar la existencia de las Áreas Rurales de Menor Desarrollo. Las áreas rurales que pertenezcan a municipios que no se encuentran clasificados en la metodología de las Necesidades Básicas Insatisfechas del Departamento Administrativo Nacional de Estadística, se considerarán Áreas Rurales de Menor Desarrollo.</w:t>
      </w:r>
    </w:p>
    <w:p w14:paraId="7F08060B"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b/>
          <w:bCs/>
          <w:i/>
          <w:iCs/>
          <w:sz w:val="22"/>
          <w:szCs w:val="22"/>
        </w:rPr>
        <w:t>Barrio Subnormal:</w:t>
      </w:r>
      <w:r w:rsidRPr="00C63186">
        <w:rPr>
          <w:rFonts w:ascii="Arial" w:hAnsi="Arial" w:cs="Arial"/>
          <w:i/>
          <w:iCs/>
          <w:sz w:val="22"/>
          <w:szCs w:val="22"/>
        </w:rPr>
        <w:t xml:space="preserve"> Es el asentamiento humano ubicado en las cabeceras de municipios o distritos que reúne los siguientes requisitos: (i) que no tenga servicio público domiciliario de energía eléctrica o que éste se obtenga a través de derivaciones del Sistema de Distribución Local o de una Acometida, efectuadas sin aprobación del respectivo Operador de Red ; (ii) que no se trate de zonas donde se deba suspender el servicio público domiciliario de electricidad, de conformidad con el artículo 139.2 de la Ley 142 de 1994, las normas de la Ley 388 de 1997 y en general en aquellas zonas en las que esté prohibido prestar el servicio y, iii) Certificación del Alcalde Municipal o Distrital o de la autoridad competente en la cual conste la clasificación y existencia de los Barrios Subnormales, la cual deberá ser expedida dentro de los quince (15) días siguientes a la fecha de la respectiva solicitud efectuada por el Operador de Red.</w:t>
      </w:r>
    </w:p>
    <w:p w14:paraId="71DCC3B6" w14:textId="77777777" w:rsidR="002F41A8" w:rsidRDefault="002F41A8" w:rsidP="008E39FD">
      <w:pPr>
        <w:pStyle w:val="NormalWeb"/>
        <w:spacing w:line="276" w:lineRule="auto"/>
        <w:ind w:left="567"/>
        <w:jc w:val="both"/>
        <w:rPr>
          <w:rFonts w:ascii="Arial" w:hAnsi="Arial" w:cs="Arial"/>
          <w:i/>
          <w:iCs/>
          <w:sz w:val="22"/>
          <w:szCs w:val="22"/>
        </w:rPr>
      </w:pPr>
      <w:r w:rsidRPr="00C63186">
        <w:rPr>
          <w:rFonts w:ascii="Arial" w:hAnsi="Arial" w:cs="Arial"/>
          <w:b/>
          <w:bCs/>
          <w:i/>
          <w:iCs/>
          <w:sz w:val="22"/>
          <w:szCs w:val="22"/>
        </w:rPr>
        <w:t>Zonas de Difícil Gestión</w:t>
      </w:r>
      <w:r w:rsidRPr="00C63186">
        <w:rPr>
          <w:rFonts w:ascii="Arial" w:hAnsi="Arial" w:cs="Arial"/>
          <w:i/>
          <w:iCs/>
          <w:sz w:val="22"/>
          <w:szCs w:val="22"/>
        </w:rPr>
        <w:t xml:space="preserve"> (modificada por Decreto 1144 de 2013): Conjunto de usuarios ubicados en una misma zona geográfica conectada al Sistema Interconectado Nacional, susceptible de ser aislado eléctricamente por el mismo circuito alimentador de Nivel 11, que presenta durante el último año en forma continua, una de las siguientes características: (i) Cartera vencida mayor a noventa días por parte del cincuenta por ciento (50%) o más de los usuarios de estratos 1 y 2 pertenecientes a la zona, o (ií) Niveles de pérdidas de energía superiores al cuarenta por ciento (40%) respecto a la energía de entrada al Sistema de Distribución Local que atiende exclusivamente a dicha zona. Para ambos eventos los indicadores serán medidos como el promedio de los últimos 12 meses. Así mismo el Comercializador de Energía Eléctrica, debe demostrar que los resultados de la gestión en cartera y pérdidas han sido negativos por causas no imputables a la propia empresa. Para el registro y certificación de nuevas Áreas de Difícil Gestión el conjunto de usuarios deberá corresponder como máximo a la delimitación geográfica de un barrio. Para acreditar lo anterior, la empresa deberá presentar ante la Superintendencia de Servicios Públicos Domiciliarios, certificación suscrita por la Auditoría Externa de Gestión y Resultados o por su Representante Legal, de conformidad con lo dispuesto en el artículo 51 de la Ley 142 de 1994 y demás normas que la modifiquen y/o adicionen. Dicha certificación debe ir acompañada con la memoria de cálculo respectiva para cada una de las Áreas reportadas al Sistema Único de Información - SUI.</w:t>
      </w:r>
    </w:p>
    <w:p w14:paraId="3D4D16BA" w14:textId="77777777" w:rsidR="002F41A8" w:rsidRPr="003D6753" w:rsidRDefault="002F41A8" w:rsidP="008E39FD">
      <w:pPr>
        <w:pStyle w:val="NormalWeb"/>
        <w:spacing w:line="276" w:lineRule="auto"/>
        <w:jc w:val="both"/>
        <w:rPr>
          <w:rFonts w:ascii="Arial" w:hAnsi="Arial" w:cs="Arial"/>
          <w:sz w:val="22"/>
          <w:szCs w:val="22"/>
        </w:rPr>
      </w:pPr>
      <w:r>
        <w:rPr>
          <w:rFonts w:ascii="Arial" w:hAnsi="Arial" w:cs="Arial"/>
          <w:b/>
          <w:bCs/>
          <w:sz w:val="22"/>
          <w:szCs w:val="22"/>
        </w:rPr>
        <w:t xml:space="preserve">Nota Especial: </w:t>
      </w:r>
      <w:r>
        <w:rPr>
          <w:rFonts w:ascii="Arial" w:hAnsi="Arial" w:cs="Arial"/>
          <w:sz w:val="22"/>
          <w:szCs w:val="22"/>
        </w:rPr>
        <w:t>Las anteriores definiciones estarán sujetas a las modificaciones que se establezcan en normas posteriores.</w:t>
      </w:r>
    </w:p>
    <w:p w14:paraId="516DAFEA" w14:textId="77777777" w:rsidR="002F41A8" w:rsidRPr="00C63186" w:rsidRDefault="002F41A8" w:rsidP="00B320D0">
      <w:pPr>
        <w:pStyle w:val="NormalWeb"/>
        <w:numPr>
          <w:ilvl w:val="0"/>
          <w:numId w:val="14"/>
        </w:numPr>
        <w:spacing w:line="276" w:lineRule="auto"/>
        <w:jc w:val="both"/>
        <w:rPr>
          <w:rFonts w:ascii="Arial" w:hAnsi="Arial" w:cs="Arial"/>
          <w:b/>
          <w:bCs/>
        </w:rPr>
      </w:pPr>
      <w:r w:rsidRPr="00C63186">
        <w:rPr>
          <w:rFonts w:ascii="Arial" w:hAnsi="Arial" w:cs="Arial"/>
          <w:b/>
          <w:bCs/>
        </w:rPr>
        <w:t>Ley 1753 de 2015</w:t>
      </w:r>
    </w:p>
    <w:p w14:paraId="780295BF" w14:textId="77777777" w:rsidR="002F41A8" w:rsidRPr="00C63186" w:rsidRDefault="002F41A8" w:rsidP="008E39FD">
      <w:pPr>
        <w:jc w:val="both"/>
        <w:rPr>
          <w:rFonts w:ascii="Arial" w:hAnsi="Arial" w:cs="Arial"/>
          <w:sz w:val="24"/>
          <w:szCs w:val="24"/>
          <w:lang w:val="es-ES"/>
        </w:rPr>
      </w:pPr>
      <w:r w:rsidRPr="00C63186">
        <w:rPr>
          <w:rFonts w:ascii="Arial" w:hAnsi="Arial" w:cs="Arial"/>
          <w:sz w:val="24"/>
          <w:szCs w:val="24"/>
          <w:lang w:val="es-ES"/>
        </w:rPr>
        <w:lastRenderedPageBreak/>
        <w:t xml:space="preserve">Por su parte la Ley del Plan Nacional de Desarrollo del año 2015 dispuso en su artículo 190 que el manejo de los recursos, entre otros del FOES, será realizado por el Ministerio de Hacienda y Crédito Público y los mismos se considerarán inversión social, en los términos de la Constitución Política y normas orgánicas de presupuesto. </w:t>
      </w:r>
    </w:p>
    <w:p w14:paraId="1637B640" w14:textId="77777777" w:rsidR="002F41A8" w:rsidRPr="00C63186" w:rsidRDefault="002F41A8" w:rsidP="00B320D0">
      <w:pPr>
        <w:pStyle w:val="Prrafodelista"/>
        <w:numPr>
          <w:ilvl w:val="0"/>
          <w:numId w:val="14"/>
        </w:numPr>
        <w:jc w:val="both"/>
        <w:rPr>
          <w:rFonts w:ascii="Arial" w:hAnsi="Arial" w:cs="Arial"/>
          <w:b/>
          <w:bCs/>
          <w:sz w:val="24"/>
          <w:szCs w:val="24"/>
          <w:lang w:val="es-ES"/>
        </w:rPr>
      </w:pPr>
      <w:r w:rsidRPr="00C63186">
        <w:rPr>
          <w:rFonts w:ascii="Arial" w:hAnsi="Arial" w:cs="Arial"/>
          <w:b/>
          <w:bCs/>
          <w:sz w:val="24"/>
          <w:szCs w:val="24"/>
          <w:lang w:val="es-ES"/>
        </w:rPr>
        <w:t>Ley 2294 de 2023</w:t>
      </w:r>
    </w:p>
    <w:p w14:paraId="72578472" w14:textId="77777777" w:rsidR="002F41A8" w:rsidRPr="00C63186" w:rsidRDefault="002F41A8" w:rsidP="008E39FD">
      <w:pPr>
        <w:pStyle w:val="Prrafodelista"/>
        <w:ind w:left="0"/>
        <w:jc w:val="both"/>
        <w:rPr>
          <w:rFonts w:ascii="Arial" w:hAnsi="Arial" w:cs="Arial"/>
          <w:sz w:val="24"/>
          <w:szCs w:val="24"/>
        </w:rPr>
      </w:pPr>
    </w:p>
    <w:p w14:paraId="22810965" w14:textId="77777777" w:rsidR="002F41A8" w:rsidRPr="00C63186" w:rsidRDefault="002F41A8" w:rsidP="008E39FD">
      <w:pPr>
        <w:pStyle w:val="Prrafodelista"/>
        <w:ind w:left="0"/>
        <w:jc w:val="both"/>
        <w:rPr>
          <w:rFonts w:ascii="Arial" w:eastAsia="Arial MT" w:hAnsi="Arial" w:cs="Arial"/>
          <w:lang w:val="es-ES"/>
        </w:rPr>
      </w:pPr>
      <w:r w:rsidRPr="00C63186">
        <w:rPr>
          <w:rFonts w:ascii="Arial" w:hAnsi="Arial" w:cs="Arial"/>
          <w:sz w:val="24"/>
          <w:szCs w:val="24"/>
        </w:rPr>
        <w:t>Señala el artículo 248 de esta Ley (Plan Nacional de Desarrollo 2022-2026: Colombia Potencia Mundial de la Vida):</w:t>
      </w:r>
    </w:p>
    <w:p w14:paraId="4B522475"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r w:rsidRPr="00C63186">
        <w:rPr>
          <w:rFonts w:ascii="Arial" w:eastAsia="Arial MT" w:hAnsi="Arial" w:cs="Arial"/>
          <w:i/>
          <w:iCs/>
          <w:lang w:val="es-ES"/>
        </w:rPr>
        <w:t>“El Fondo de Energía Social (FOES) continuará siendo administrado por el Ministerio de Minas y Energía como un sistema especial de cuentas, que a partir de la entrada en vigencia de la presente ley podrá cubrir hasta noventa y dos pesos ($92) por kilovatio hora del valor de la energía eléctrica destinada al consumo de subsistencia de los usuarios residenciales de estratos 1 y 2 en las áreas rurales de menor desarrollo, zonas de difícil gestión y barrios subnormales, así como la financiación de soluciones energéticas con fuentes no convencionales de energía renovable (FNCER) que cubran de manera parcial o total las necesidades básicas de energía eléctrica de las comunidades pertenecientes a dichas zonas.</w:t>
      </w:r>
    </w:p>
    <w:p w14:paraId="294D8242"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p>
    <w:p w14:paraId="1D8AEB15"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r w:rsidRPr="00C63186">
        <w:rPr>
          <w:rFonts w:ascii="Arial" w:eastAsia="Arial MT" w:hAnsi="Arial" w:cs="Arial"/>
          <w:i/>
          <w:iCs/>
          <w:lang w:val="es-ES"/>
        </w:rPr>
        <w:t>(…)</w:t>
      </w:r>
    </w:p>
    <w:p w14:paraId="75693495"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p>
    <w:p w14:paraId="60131B8F"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sz w:val="24"/>
          <w:szCs w:val="24"/>
          <w:lang w:val="es-ES"/>
        </w:rPr>
      </w:pPr>
      <w:r w:rsidRPr="00C63186">
        <w:rPr>
          <w:rFonts w:ascii="Arial" w:eastAsia="Arial MT" w:hAnsi="Arial" w:cs="Arial"/>
          <w:b/>
          <w:bCs/>
          <w:i/>
          <w:iCs/>
          <w:lang w:val="es-ES"/>
        </w:rPr>
        <w:t>El Ministerio de Minas y Energía definirá el monto de los recursos</w:t>
      </w:r>
      <w:r w:rsidRPr="00C63186">
        <w:rPr>
          <w:rFonts w:ascii="Arial" w:eastAsia="Arial MT" w:hAnsi="Arial" w:cs="Arial"/>
          <w:i/>
          <w:iCs/>
          <w:lang w:val="es-ES"/>
        </w:rPr>
        <w:t xml:space="preserve"> que se destinarán para financiar los consumos de subsistencia de los usuarios de las áreas especiales de prestación del servicio, y el </w:t>
      </w:r>
      <w:r w:rsidRPr="00C63186">
        <w:rPr>
          <w:rFonts w:ascii="Arial" w:eastAsia="Arial MT" w:hAnsi="Arial" w:cs="Arial"/>
          <w:b/>
          <w:bCs/>
          <w:i/>
          <w:iCs/>
          <w:lang w:val="es-ES"/>
        </w:rPr>
        <w:t xml:space="preserve">que se </w:t>
      </w:r>
      <w:bookmarkStart w:id="204" w:name="_Hlk175557392"/>
      <w:r w:rsidRPr="00C63186">
        <w:rPr>
          <w:rFonts w:ascii="Arial" w:eastAsia="Arial MT" w:hAnsi="Arial" w:cs="Arial"/>
          <w:b/>
          <w:bCs/>
          <w:i/>
          <w:iCs/>
          <w:lang w:val="es-ES"/>
        </w:rPr>
        <w:t>destinará para la financiación de soluciones energéticas con fuentes no convencionales de energía renovable (FNCER) que cubran de manera parcial o total las necesidades básicas de energía eléctrica de las comunidades pertenecientes a dichas zonas, así como los nuevos criterios de focalización del FOES para esta destinación, teniendo en cuenta, entre otros parámetros, la atención de las áreas especiales de prestación del servicio más vulnerables, y los índices de pobreza energética o multidimensional.</w:t>
      </w:r>
      <w:r w:rsidRPr="00C63186">
        <w:rPr>
          <w:rFonts w:ascii="Arial" w:eastAsia="Arial MT" w:hAnsi="Arial" w:cs="Arial"/>
          <w:lang w:val="es-ES"/>
        </w:rPr>
        <w:t xml:space="preserve"> </w:t>
      </w:r>
      <w:bookmarkEnd w:id="204"/>
      <w:r w:rsidRPr="00C63186">
        <w:rPr>
          <w:rFonts w:ascii="Arial" w:eastAsia="Arial MT" w:hAnsi="Arial" w:cs="Arial"/>
          <w:sz w:val="24"/>
          <w:szCs w:val="24"/>
          <w:lang w:val="es-ES"/>
        </w:rPr>
        <w:t>(negrillas por fuera del texto original)</w:t>
      </w:r>
    </w:p>
    <w:p w14:paraId="58151849"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p>
    <w:p w14:paraId="3C519278"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r w:rsidRPr="00C63186">
        <w:rPr>
          <w:rFonts w:ascii="Arial" w:eastAsia="Arial MT" w:hAnsi="Arial" w:cs="Arial"/>
          <w:i/>
          <w:iCs/>
          <w:lang w:val="es-ES"/>
        </w:rPr>
        <w:t>Al FOES ingresarán los recursos provenientes del ciento por ciento (100 %) de las rentas de congestión calculadas por el ASIC, como producto de las exportaciones de energía eléctrica. Adicionalmente, también continuarán ingresando los recursos que recaude el ASIC correspondientes a no más de dos pesos con diez centavos ($2,10) por kilovatio hora transportado, con el fin de financiar el 50 % restante el FOES tendrá vigencia hasta el 31 de diciembre de 2030.</w:t>
      </w:r>
    </w:p>
    <w:p w14:paraId="206CD94A"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p>
    <w:p w14:paraId="0AD8C19B" w14:textId="77777777" w:rsidR="002F41A8" w:rsidRPr="00C63186" w:rsidRDefault="002F41A8" w:rsidP="00B03685">
      <w:pPr>
        <w:widowControl w:val="0"/>
        <w:suppressAutoHyphens w:val="0"/>
        <w:autoSpaceDE w:val="0"/>
        <w:autoSpaceDN w:val="0"/>
        <w:spacing w:after="0"/>
        <w:ind w:left="567"/>
        <w:jc w:val="both"/>
        <w:rPr>
          <w:rFonts w:ascii="Arial" w:eastAsia="Arial MT" w:hAnsi="Arial" w:cs="Arial"/>
          <w:i/>
          <w:iCs/>
          <w:lang w:val="es-ES"/>
        </w:rPr>
      </w:pPr>
      <w:r w:rsidRPr="00C63186">
        <w:rPr>
          <w:rFonts w:ascii="Arial" w:eastAsia="Arial MT" w:hAnsi="Arial" w:cs="Arial"/>
          <w:b/>
          <w:bCs/>
          <w:i/>
          <w:iCs/>
          <w:lang w:val="es-ES"/>
        </w:rPr>
        <w:t>PARÁGRAFO</w:t>
      </w:r>
      <w:r w:rsidRPr="00C63186">
        <w:rPr>
          <w:rFonts w:ascii="Arial" w:eastAsia="Arial MT" w:hAnsi="Arial" w:cs="Arial"/>
          <w:i/>
          <w:iCs/>
          <w:lang w:val="es-ES"/>
        </w:rPr>
        <w:t>. El Ministerio de Minas y Energía como administrador del Fondo de Energía Social FOES, priorizará a mercados con mayores pérdidas, entre ellos el régimen tarifario especial de la región Caribe, para que las soluciones con fuentes no convencionales de energía renovable (FNCER) aporten técnicamente en disminuir las pérdidas de esos mercados.”</w:t>
      </w:r>
    </w:p>
    <w:p w14:paraId="388802FE" w14:textId="77777777" w:rsidR="002F41A8" w:rsidRPr="00C63186" w:rsidRDefault="002F41A8" w:rsidP="00B03685">
      <w:pPr>
        <w:widowControl w:val="0"/>
        <w:suppressAutoHyphens w:val="0"/>
        <w:autoSpaceDE w:val="0"/>
        <w:autoSpaceDN w:val="0"/>
        <w:spacing w:after="0"/>
        <w:ind w:left="567"/>
        <w:jc w:val="both"/>
        <w:rPr>
          <w:rFonts w:ascii="Arial" w:hAnsi="Arial" w:cs="Arial"/>
          <w:b/>
          <w:bCs/>
          <w:sz w:val="24"/>
          <w:szCs w:val="24"/>
          <w:lang w:val="es-ES"/>
        </w:rPr>
      </w:pPr>
    </w:p>
    <w:p w14:paraId="54E7A024" w14:textId="77777777" w:rsidR="002F41A8" w:rsidRPr="00C63186" w:rsidRDefault="002F41A8" w:rsidP="00B03685">
      <w:pPr>
        <w:pStyle w:val="Textoindependiente"/>
        <w:spacing w:line="276" w:lineRule="auto"/>
        <w:rPr>
          <w:rFonts w:eastAsia="Arial MT" w:cs="Arial"/>
          <w:bCs/>
          <w:lang w:val="es-ES"/>
        </w:rPr>
      </w:pPr>
      <w:r w:rsidRPr="00C63186">
        <w:rPr>
          <w:rFonts w:eastAsia="Arial MT" w:cs="Arial"/>
          <w:bCs/>
          <w:lang w:val="es-ES"/>
        </w:rPr>
        <w:t xml:space="preserve">En desarrollo de la labor asignada al Ministerio de Minas y Energía como Administrador del Fondo de Energía Social -FOES mediante artículo 248 de la Ley 2294 de 2023, esta Entidad establecerá el monto destinado a la implementación de soluciones energéticas con Fuentes No Convencionales de Energía-FNCER que cubran de manera parcial o total las necesidades básicas de energía eléctrica de los usuarios residenciales de los </w:t>
      </w:r>
      <w:r w:rsidRPr="00C63186">
        <w:rPr>
          <w:rFonts w:eastAsia="Arial MT" w:cs="Arial"/>
          <w:bCs/>
          <w:lang w:val="es-ES"/>
        </w:rPr>
        <w:lastRenderedPageBreak/>
        <w:t>estratos 1 y 2 ubicados en i) Áreas Rurales de Menor Desarrollo, ii) Zonas de Difícil Gestión y iii) Barrios Subnormales.</w:t>
      </w:r>
    </w:p>
    <w:p w14:paraId="54F7650F" w14:textId="77777777" w:rsidR="002F41A8" w:rsidRPr="00C63186" w:rsidRDefault="002F41A8" w:rsidP="00B03685">
      <w:pPr>
        <w:pStyle w:val="Textoindependiente"/>
        <w:spacing w:line="276" w:lineRule="auto"/>
        <w:rPr>
          <w:rFonts w:eastAsia="Arial MT" w:cs="Arial"/>
          <w:bCs/>
          <w:lang w:val="es-ES"/>
        </w:rPr>
      </w:pPr>
    </w:p>
    <w:p w14:paraId="68047D6B" w14:textId="19F739E3" w:rsidR="002F41A8" w:rsidRPr="00C63186" w:rsidRDefault="002F41A8" w:rsidP="00B03685">
      <w:pPr>
        <w:pStyle w:val="Textoindependiente"/>
        <w:spacing w:line="276" w:lineRule="auto"/>
        <w:rPr>
          <w:rFonts w:eastAsia="Arial MT" w:cs="Arial"/>
          <w:bCs/>
          <w:lang w:val="es-ES"/>
        </w:rPr>
      </w:pPr>
      <w:r w:rsidRPr="00C63186">
        <w:rPr>
          <w:rFonts w:eastAsia="Arial MT" w:cs="Arial"/>
          <w:bCs/>
          <w:lang w:val="es-ES"/>
        </w:rPr>
        <w:t>Así mismo, en el presente Manual Operativo se determinan las condiciones que aplicará FONENERGÍA para la asignación de los recursos que se le otorgan con cargo a FOES, para la construcción de infraestructura FNCER en las Áreas Especiales.</w:t>
      </w:r>
    </w:p>
    <w:p w14:paraId="5C55AAC3" w14:textId="77777777" w:rsidR="00456862" w:rsidRPr="00C63186" w:rsidRDefault="00456862" w:rsidP="00B03685">
      <w:pPr>
        <w:pStyle w:val="Textoindependiente"/>
        <w:spacing w:line="276" w:lineRule="auto"/>
        <w:rPr>
          <w:rFonts w:eastAsia="Arial MT" w:cs="Arial"/>
          <w:bCs/>
          <w:lang w:val="es-ES"/>
        </w:rPr>
      </w:pPr>
    </w:p>
    <w:p w14:paraId="7FDE55CF" w14:textId="01896013" w:rsidR="002F41A8" w:rsidRDefault="00C31966" w:rsidP="0080740E">
      <w:pPr>
        <w:pStyle w:val="Ttulo5"/>
        <w:ind w:left="1008" w:hanging="1008"/>
      </w:pPr>
      <w:bookmarkStart w:id="205" w:name="_Toc205496221"/>
      <w:bookmarkStart w:id="206" w:name="_Toc219397318"/>
      <w:bookmarkStart w:id="207" w:name="_Toc224844398"/>
      <w:r w:rsidRPr="0080740E">
        <w:t xml:space="preserve">IV-1.2 </w:t>
      </w:r>
      <w:r w:rsidR="002F41A8" w:rsidRPr="0080740E">
        <w:t>Proyectos con FNCER en Áreas Especiales</w:t>
      </w:r>
      <w:bookmarkEnd w:id="205"/>
      <w:bookmarkEnd w:id="206"/>
      <w:bookmarkEnd w:id="207"/>
    </w:p>
    <w:p w14:paraId="2F1B6FD1" w14:textId="77777777" w:rsidR="0080740E" w:rsidRPr="0080740E" w:rsidRDefault="0080740E" w:rsidP="0080740E"/>
    <w:p w14:paraId="0F8ED6E5" w14:textId="77777777" w:rsidR="002F41A8" w:rsidRPr="00C63186" w:rsidRDefault="002F41A8" w:rsidP="00B03685">
      <w:pPr>
        <w:pStyle w:val="Textoindependiente"/>
        <w:spacing w:line="276" w:lineRule="auto"/>
        <w:rPr>
          <w:rFonts w:eastAsia="Arial MT" w:cs="Arial"/>
          <w:lang w:val="es-ES"/>
        </w:rPr>
      </w:pPr>
      <w:r w:rsidRPr="20FA6F65">
        <w:rPr>
          <w:rFonts w:eastAsia="Arial MT" w:cs="Arial"/>
          <w:lang w:val="es-ES"/>
        </w:rPr>
        <w:t>FONENERGÍA podrá estructurar y/o recibir propuestas, viabilizar, priorizar, asignar recursos, adelantar la contratación, ejecutar y efectuar seguimiento en el marco de la financiación con recursos del Fondo de Energía Social-FOES, en los términos del artículo 248 de la Ley 2294 de 2023 y el Decreto 1073 de 2015 para proyectos de generación de energía eléctrica con Fuentes No Convencionales de Energía Renovable -FNCER en las denominadas Áreas Especiales.</w:t>
      </w:r>
    </w:p>
    <w:p w14:paraId="75D6C9DB" w14:textId="77777777" w:rsidR="002F41A8" w:rsidRPr="00C63186" w:rsidRDefault="002F41A8" w:rsidP="00B03685">
      <w:pPr>
        <w:pStyle w:val="Textoindependiente"/>
        <w:spacing w:line="276" w:lineRule="auto"/>
        <w:rPr>
          <w:rFonts w:eastAsia="Arial MT" w:cs="Arial"/>
          <w:bCs/>
          <w:lang w:val="es-ES"/>
        </w:rPr>
      </w:pPr>
    </w:p>
    <w:p w14:paraId="4C0ADF61" w14:textId="03A3D0B9" w:rsidR="002F41A8" w:rsidRPr="00C63186" w:rsidRDefault="002F41A8" w:rsidP="00B03685">
      <w:pPr>
        <w:pStyle w:val="Textoindependiente"/>
        <w:spacing w:line="276" w:lineRule="auto"/>
        <w:rPr>
          <w:rFonts w:eastAsia="Arial MT" w:cs="Arial"/>
          <w:bCs/>
          <w:lang w:val="es-ES"/>
        </w:rPr>
      </w:pPr>
      <w:r w:rsidRPr="00C63186">
        <w:rPr>
          <w:rFonts w:eastAsia="Arial MT" w:cs="Arial"/>
          <w:bCs/>
          <w:lang w:val="es-ES"/>
        </w:rPr>
        <w:t>En el caso de recepción de propuestas, podrá utilizarse el mecanismo de convocatoria a Operadores de Red o Comercializadores</w:t>
      </w:r>
      <w:r>
        <w:rPr>
          <w:rFonts w:eastAsia="Arial MT" w:cs="Arial"/>
          <w:bCs/>
          <w:lang w:val="es-ES"/>
        </w:rPr>
        <w:t xml:space="preserve"> </w:t>
      </w:r>
      <w:r w:rsidRPr="00C63186">
        <w:rPr>
          <w:rFonts w:eastAsia="Arial MT" w:cs="Arial"/>
          <w:bCs/>
          <w:lang w:val="es-ES"/>
        </w:rPr>
        <w:t>que presten el servicio en las zonas de incumbencia de las respectivas Áreas Especiales así como a suscriptores comunitarios, o la presentación directa por parte de las Entidades Territoriales con la aprobación previa de los respectivos Operadores de Red o Comercializadores.</w:t>
      </w:r>
    </w:p>
    <w:p w14:paraId="582859CA" w14:textId="77777777" w:rsidR="002F41A8" w:rsidRPr="00C63186" w:rsidRDefault="002F41A8" w:rsidP="00B03685">
      <w:pPr>
        <w:pStyle w:val="Textoindependiente"/>
        <w:spacing w:line="276" w:lineRule="auto"/>
        <w:rPr>
          <w:rFonts w:eastAsia="Arial MT" w:cs="Arial"/>
          <w:bCs/>
          <w:lang w:val="es-ES"/>
        </w:rPr>
      </w:pPr>
    </w:p>
    <w:p w14:paraId="1F097426" w14:textId="77777777" w:rsidR="002F41A8" w:rsidRPr="00C63186" w:rsidRDefault="002F41A8" w:rsidP="00B03685">
      <w:pPr>
        <w:pStyle w:val="Textoindependiente"/>
        <w:spacing w:line="276" w:lineRule="auto"/>
        <w:rPr>
          <w:rFonts w:eastAsia="Arial MT" w:cs="Arial"/>
          <w:bCs/>
          <w:lang w:val="es-ES"/>
        </w:rPr>
      </w:pPr>
      <w:r w:rsidRPr="00C63186">
        <w:rPr>
          <w:rFonts w:eastAsia="Arial MT" w:cs="Arial"/>
          <w:bCs/>
          <w:lang w:val="es-ES"/>
        </w:rPr>
        <w:t xml:space="preserve">También podrán presentar propuestas o acceder a la estructuración de proyectos, los potenciales usuarios interesados en conformarse mediante el esquema de Comunidades Energéticas. </w:t>
      </w:r>
    </w:p>
    <w:p w14:paraId="48B9A082" w14:textId="77777777" w:rsidR="002F41A8" w:rsidRPr="00C63186" w:rsidRDefault="002F41A8" w:rsidP="00B03685">
      <w:pPr>
        <w:pStyle w:val="Textoindependiente"/>
        <w:spacing w:line="276" w:lineRule="auto"/>
        <w:rPr>
          <w:rFonts w:eastAsia="Arial MT" w:cs="Arial"/>
          <w:bCs/>
          <w:lang w:val="es-ES"/>
        </w:rPr>
      </w:pPr>
    </w:p>
    <w:p w14:paraId="144F78BD" w14:textId="77777777" w:rsidR="002F41A8" w:rsidRPr="00C63186" w:rsidRDefault="002F41A8" w:rsidP="00B03685">
      <w:pPr>
        <w:widowControl w:val="0"/>
        <w:suppressAutoHyphens w:val="0"/>
        <w:autoSpaceDE w:val="0"/>
        <w:autoSpaceDN w:val="0"/>
        <w:spacing w:after="0"/>
        <w:jc w:val="both"/>
        <w:rPr>
          <w:rFonts w:ascii="Arial" w:eastAsia="Arial MT" w:hAnsi="Arial" w:cs="Arial"/>
          <w:iCs/>
          <w:sz w:val="24"/>
          <w:szCs w:val="24"/>
          <w:lang w:val="es-ES"/>
        </w:rPr>
      </w:pPr>
      <w:bookmarkStart w:id="208" w:name="_Hlk162937942"/>
      <w:r w:rsidRPr="00C63186">
        <w:rPr>
          <w:rFonts w:ascii="Arial" w:eastAsia="Arial MT" w:hAnsi="Arial" w:cs="Arial"/>
          <w:iCs/>
          <w:sz w:val="24"/>
          <w:szCs w:val="24"/>
          <w:lang w:val="es-ES"/>
        </w:rPr>
        <w:t xml:space="preserve">En el caso de utilización del mecanismo de convocatorias, estas se realizarán con amplia publicidad anunciando las fechas de recepción de proyectos, al igual que los plazos y condiciones para la presentación, priorización y ejecución de los mismos, cuyos </w:t>
      </w:r>
      <w:r w:rsidRPr="005950D9">
        <w:rPr>
          <w:rFonts w:ascii="Arial" w:eastAsia="Arial MT" w:hAnsi="Arial" w:cs="Arial"/>
          <w:iCs/>
          <w:sz w:val="24"/>
          <w:szCs w:val="24"/>
          <w:highlight w:val="yellow"/>
          <w:lang w:val="es-ES"/>
        </w:rPr>
        <w:t>requisitos básicos serán los señalados en el numeral 7.1.4 de este Manual.</w:t>
      </w:r>
    </w:p>
    <w:p w14:paraId="47D7B883" w14:textId="77777777" w:rsidR="002F41A8" w:rsidRPr="00C63186" w:rsidRDefault="002F41A8" w:rsidP="00B03685">
      <w:pPr>
        <w:widowControl w:val="0"/>
        <w:suppressAutoHyphens w:val="0"/>
        <w:autoSpaceDE w:val="0"/>
        <w:autoSpaceDN w:val="0"/>
        <w:spacing w:after="0"/>
        <w:jc w:val="both"/>
        <w:rPr>
          <w:rFonts w:ascii="Arial" w:eastAsia="Arial MT" w:hAnsi="Arial" w:cs="Arial"/>
          <w:iCs/>
          <w:sz w:val="24"/>
          <w:szCs w:val="24"/>
          <w:lang w:val="es-ES"/>
        </w:rPr>
      </w:pPr>
    </w:p>
    <w:p w14:paraId="39CE48DD" w14:textId="5B58B146" w:rsidR="002F41A8" w:rsidRPr="0080740E" w:rsidRDefault="00FE5F76" w:rsidP="0080740E">
      <w:pPr>
        <w:pStyle w:val="Ttulo5"/>
        <w:ind w:left="1008" w:hanging="1008"/>
      </w:pPr>
      <w:bookmarkStart w:id="209" w:name="_Toc205496222"/>
      <w:bookmarkStart w:id="210" w:name="_Toc219397319"/>
      <w:bookmarkStart w:id="211" w:name="_Toc224844399"/>
      <w:r w:rsidRPr="0080740E">
        <w:t>IV-1.</w:t>
      </w:r>
      <w:r w:rsidR="004F4887" w:rsidRPr="0080740E">
        <w:t xml:space="preserve">3  </w:t>
      </w:r>
      <w:r w:rsidR="002F41A8" w:rsidRPr="0080740E">
        <w:t>Requisitos para la presentación de proyectos</w:t>
      </w:r>
      <w:bookmarkEnd w:id="209"/>
      <w:bookmarkEnd w:id="210"/>
      <w:bookmarkEnd w:id="211"/>
    </w:p>
    <w:p w14:paraId="39CE26DE" w14:textId="77777777" w:rsidR="002F41A8" w:rsidRPr="00C63186" w:rsidRDefault="002F41A8" w:rsidP="00B03685">
      <w:pPr>
        <w:pStyle w:val="Textoindependiente"/>
        <w:spacing w:line="276" w:lineRule="auto"/>
        <w:rPr>
          <w:rFonts w:eastAsia="Arial MT" w:cs="Arial"/>
          <w:b/>
          <w:lang w:val="es-ES"/>
        </w:rPr>
      </w:pPr>
    </w:p>
    <w:p w14:paraId="34B5F1A9" w14:textId="3E8B07C6" w:rsidR="002F41A8" w:rsidRPr="00C63186" w:rsidRDefault="002F41A8" w:rsidP="00B03685">
      <w:pPr>
        <w:pStyle w:val="Textoindependiente"/>
        <w:spacing w:line="276" w:lineRule="auto"/>
        <w:rPr>
          <w:rFonts w:eastAsia="Arial MT" w:cs="Arial"/>
          <w:lang w:val="es-ES"/>
        </w:rPr>
      </w:pPr>
      <w:r w:rsidRPr="20FA6F65">
        <w:rPr>
          <w:rFonts w:eastAsia="Arial MT" w:cs="Arial"/>
          <w:lang w:val="es-ES"/>
        </w:rPr>
        <w:t xml:space="preserve">La presentación de los proyectos que busquen financiarse con cargo a los recursos del FOES, se deberá radicar en medio digital en el buzón electrónico que FONENERGÍA establezca, con los siguientes </w:t>
      </w:r>
      <w:r w:rsidRPr="20FA6F65">
        <w:rPr>
          <w:rFonts w:eastAsia="Arial MT" w:cs="Arial"/>
          <w:highlight w:val="yellow"/>
          <w:lang w:val="es-ES"/>
        </w:rPr>
        <w:t>requerimientos adicionales a los requisitos básicos establecidos en el numeral 1.4 de este Manual:</w:t>
      </w:r>
    </w:p>
    <w:p w14:paraId="4304A029" w14:textId="77777777" w:rsidR="002F41A8" w:rsidRPr="00C63186" w:rsidRDefault="002F41A8" w:rsidP="00B03685">
      <w:pPr>
        <w:widowControl w:val="0"/>
        <w:suppressAutoHyphens w:val="0"/>
        <w:autoSpaceDE w:val="0"/>
        <w:autoSpaceDN w:val="0"/>
        <w:spacing w:after="0"/>
        <w:jc w:val="both"/>
        <w:rPr>
          <w:rFonts w:ascii="Arial" w:eastAsia="Arial MT" w:hAnsi="Arial" w:cs="Arial"/>
          <w:i/>
          <w:lang w:val="es-ES"/>
        </w:rPr>
      </w:pPr>
    </w:p>
    <w:p w14:paraId="23810E7A" w14:textId="76B6041A" w:rsidR="002F41A8" w:rsidRPr="00C63186" w:rsidRDefault="002F41A8" w:rsidP="00B03685">
      <w:pPr>
        <w:pStyle w:val="Textoindependiente"/>
        <w:spacing w:line="276" w:lineRule="auto"/>
        <w:rPr>
          <w:rFonts w:cs="Arial"/>
          <w:iCs/>
        </w:rPr>
      </w:pPr>
      <w:r w:rsidRPr="00C63186">
        <w:rPr>
          <w:rFonts w:cs="Arial"/>
          <w:b/>
          <w:bCs/>
          <w:iCs/>
        </w:rPr>
        <w:t>1)</w:t>
      </w:r>
      <w:r w:rsidRPr="00C63186">
        <w:rPr>
          <w:rFonts w:cs="Arial"/>
          <w:iCs/>
        </w:rPr>
        <w:t xml:space="preserve"> Carta de presentación la cual debe incluir los datos generales del proyecto, lugar en el que se adelantará (departamento, municipio, barrio y su código SUI), nombre y costo del proyecto, número de usuarios que se beneficiarán con el proyecto, </w:t>
      </w:r>
      <w:r>
        <w:rPr>
          <w:rFonts w:cs="Arial"/>
          <w:iCs/>
        </w:rPr>
        <w:t>incluyendo el tiempo de operación estimado del proyecto,</w:t>
      </w:r>
      <w:r w:rsidRPr="00C63186">
        <w:rPr>
          <w:rFonts w:cs="Arial"/>
          <w:iCs/>
        </w:rPr>
        <w:t xml:space="preserve"> domicilio para el envío de la correspondencia y correo electrónico para facilitar la comunicación.</w:t>
      </w:r>
    </w:p>
    <w:p w14:paraId="29152009" w14:textId="77777777" w:rsidR="002F41A8" w:rsidRPr="00C63186" w:rsidRDefault="002F41A8" w:rsidP="00B03685">
      <w:pPr>
        <w:pStyle w:val="Textoindependiente"/>
        <w:spacing w:line="276" w:lineRule="auto"/>
        <w:rPr>
          <w:rFonts w:cs="Arial"/>
          <w:i/>
        </w:rPr>
      </w:pPr>
    </w:p>
    <w:p w14:paraId="2A7AB836" w14:textId="77777777" w:rsidR="002F41A8" w:rsidRPr="00C63186" w:rsidRDefault="002F41A8" w:rsidP="00B03685">
      <w:pPr>
        <w:pStyle w:val="Textoindependiente"/>
        <w:spacing w:line="276" w:lineRule="auto"/>
        <w:rPr>
          <w:rFonts w:cs="Arial"/>
        </w:rPr>
      </w:pPr>
      <w:r w:rsidRPr="00C63186">
        <w:rPr>
          <w:rFonts w:cs="Arial"/>
          <w:b/>
          <w:bCs/>
        </w:rPr>
        <w:t>2)</w:t>
      </w:r>
      <w:r w:rsidRPr="00C63186">
        <w:rPr>
          <w:rFonts w:cs="Arial"/>
        </w:rPr>
        <w:t xml:space="preserve"> Garantía de seriedad de la propuesta valor del 5% del costo del proyecto.</w:t>
      </w:r>
    </w:p>
    <w:p w14:paraId="40F9B946" w14:textId="77777777" w:rsidR="002F41A8" w:rsidRPr="00C63186" w:rsidRDefault="002F41A8" w:rsidP="00B03685">
      <w:pPr>
        <w:pStyle w:val="Textoindependiente"/>
        <w:spacing w:line="276" w:lineRule="auto"/>
        <w:rPr>
          <w:rFonts w:cs="Arial"/>
          <w:i/>
        </w:rPr>
      </w:pPr>
    </w:p>
    <w:p w14:paraId="47457B1C" w14:textId="3FC85D18" w:rsidR="002F41A8" w:rsidRPr="00C63186" w:rsidRDefault="002F41A8" w:rsidP="00B03685">
      <w:pPr>
        <w:pStyle w:val="Textoindependiente"/>
        <w:spacing w:line="276" w:lineRule="auto"/>
        <w:rPr>
          <w:rFonts w:cs="Arial"/>
          <w:iCs/>
        </w:rPr>
      </w:pPr>
      <w:r w:rsidRPr="00C63186">
        <w:rPr>
          <w:rFonts w:cs="Arial"/>
          <w:b/>
          <w:bCs/>
          <w:iCs/>
        </w:rPr>
        <w:t>3)</w:t>
      </w:r>
      <w:r w:rsidRPr="00C63186">
        <w:rPr>
          <w:rFonts w:cs="Arial"/>
          <w:iCs/>
        </w:rPr>
        <w:t xml:space="preserve"> Análisis de costos y presupuesto individual y total estimado</w:t>
      </w:r>
      <w:r>
        <w:rPr>
          <w:rFonts w:cs="Arial"/>
          <w:iCs/>
        </w:rPr>
        <w:t>, así como el plan de inversiones mensualizado</w:t>
      </w:r>
      <w:r w:rsidRPr="00C63186">
        <w:rPr>
          <w:rFonts w:cs="Arial"/>
          <w:iCs/>
        </w:rPr>
        <w:t xml:space="preserve"> para la ejecución del proyecto, que incluya</w:t>
      </w:r>
      <w:r>
        <w:rPr>
          <w:rFonts w:cs="Arial"/>
          <w:iCs/>
        </w:rPr>
        <w:t xml:space="preserve">n </w:t>
      </w:r>
      <w:r w:rsidRPr="00C63186">
        <w:rPr>
          <w:rFonts w:cs="Arial"/>
          <w:iCs/>
        </w:rPr>
        <w:t xml:space="preserve">los valores de los </w:t>
      </w:r>
      <w:r w:rsidRPr="00C63186">
        <w:rPr>
          <w:rFonts w:cs="Arial"/>
          <w:iCs/>
        </w:rPr>
        <w:lastRenderedPageBreak/>
        <w:t xml:space="preserve">materiales, mano de obra, equipos y herramientas los cuales deberán ser acordes con los precios del mercado, así como los costos de interventoría y el costo de certificación de cumplimiento RETIE.  </w:t>
      </w:r>
    </w:p>
    <w:p w14:paraId="4F90C25A" w14:textId="77777777" w:rsidR="002F41A8" w:rsidRPr="00C63186" w:rsidRDefault="002F41A8" w:rsidP="00B03685">
      <w:pPr>
        <w:pStyle w:val="Textoindependiente"/>
        <w:spacing w:line="276" w:lineRule="auto"/>
        <w:rPr>
          <w:rFonts w:cs="Arial"/>
          <w:i/>
        </w:rPr>
      </w:pPr>
    </w:p>
    <w:p w14:paraId="7F7CE716" w14:textId="77777777" w:rsidR="002F41A8" w:rsidRPr="00C63186" w:rsidRDefault="002F41A8" w:rsidP="00B03685">
      <w:pPr>
        <w:pStyle w:val="Textoindependiente"/>
        <w:spacing w:line="276" w:lineRule="auto"/>
        <w:rPr>
          <w:rFonts w:cs="Arial"/>
          <w:iCs/>
        </w:rPr>
      </w:pPr>
      <w:r w:rsidRPr="00C63186">
        <w:rPr>
          <w:rFonts w:cs="Arial"/>
          <w:b/>
          <w:bCs/>
          <w:iCs/>
        </w:rPr>
        <w:t>4)</w:t>
      </w:r>
      <w:r w:rsidRPr="00C63186">
        <w:rPr>
          <w:rFonts w:cs="Arial"/>
          <w:iCs/>
        </w:rPr>
        <w:t xml:space="preserve">  Diseños Eléctricos y Memorias de Cálculo, que incluya planos e información sobre la infraestructura eléctrica existente, así como la proyectada, los cuales se aportarán a título gratuito, pudiendo disponer FONENERGÍA libremente de ellos. </w:t>
      </w:r>
    </w:p>
    <w:p w14:paraId="75BA2283" w14:textId="77777777" w:rsidR="002F41A8" w:rsidRPr="00C63186" w:rsidRDefault="002F41A8" w:rsidP="00B03685">
      <w:pPr>
        <w:pStyle w:val="Textoindependiente"/>
        <w:spacing w:line="276" w:lineRule="auto"/>
        <w:rPr>
          <w:rFonts w:cs="Arial"/>
          <w:iCs/>
        </w:rPr>
      </w:pPr>
    </w:p>
    <w:p w14:paraId="00CAEE9C" w14:textId="77777777" w:rsidR="002F41A8" w:rsidRDefault="002F41A8" w:rsidP="00B03685">
      <w:pPr>
        <w:pStyle w:val="Textoindependiente"/>
        <w:spacing w:line="276" w:lineRule="auto"/>
        <w:rPr>
          <w:rFonts w:cs="Arial"/>
          <w:lang w:val="es-ES"/>
        </w:rPr>
      </w:pPr>
      <w:r w:rsidRPr="20FA6F65">
        <w:rPr>
          <w:rFonts w:cs="Arial"/>
          <w:b/>
          <w:bCs/>
          <w:lang w:val="es-ES"/>
        </w:rPr>
        <w:t>5)</w:t>
      </w:r>
      <w:r w:rsidRPr="20FA6F65">
        <w:rPr>
          <w:rFonts w:cs="Arial"/>
          <w:lang w:val="es-ES"/>
        </w:rPr>
        <w:t xml:space="preserve"> Documento justificativo de la implementación del proyecto que refleje el </w:t>
      </w:r>
      <w:r w:rsidRPr="002F41A8">
        <w:rPr>
          <w:rFonts w:cs="Arial"/>
          <w:highlight w:val="yellow"/>
          <w:lang w:val="es-ES"/>
        </w:rPr>
        <w:t xml:space="preserve">Impacto </w:t>
      </w:r>
      <w:r w:rsidRPr="20FA6F65">
        <w:rPr>
          <w:rFonts w:cs="Arial"/>
          <w:highlight w:val="yellow"/>
          <w:lang w:val="es-ES"/>
        </w:rPr>
        <w:t xml:space="preserve">que el desarrollo </w:t>
      </w:r>
      <w:r w:rsidRPr="002F41A8">
        <w:rPr>
          <w:rFonts w:cs="Arial"/>
          <w:highlight w:val="yellow"/>
          <w:lang w:val="es-ES"/>
        </w:rPr>
        <w:t>del proyecto</w:t>
      </w:r>
      <w:r w:rsidRPr="20FA6F65">
        <w:rPr>
          <w:rFonts w:cs="Arial"/>
          <w:highlight w:val="yellow"/>
          <w:lang w:val="es-ES"/>
        </w:rPr>
        <w:t xml:space="preserve"> </w:t>
      </w:r>
      <w:r w:rsidRPr="002F41A8">
        <w:rPr>
          <w:rFonts w:cs="Arial"/>
          <w:lang w:val="es-ES"/>
        </w:rPr>
        <w:t>te</w:t>
      </w:r>
      <w:r w:rsidRPr="20FA6F65">
        <w:rPr>
          <w:rFonts w:cs="Arial"/>
          <w:lang w:val="es-ES"/>
        </w:rPr>
        <w:t xml:space="preserve">ndrá para la reducción o eliminación de las condiciones que dan origen al área especial. I) Para los barrios subnormales (BS), el porcentaje de normalización de los usuarios que serán beneficiados con el proyecto; ii) Para las Áreas Rurales de menor Desarrollo (ARMD), el impacto del proyecto en la reducción del NBI de los usuarios beneficiados o impacto sobre el indicador que se determine para la clasificación de las ARMD; iii) Para las Zonas de Difícil Gestión (ZDG), se deberá presentar la reducción de nivel de pérdidas respecto a la energía de entrada al Sistema de Distribución Local que atiende exclusivamente a dicha zona y/o la reducción del nivel de cartera vencida mayor a noventa días en la ZDG con la implementación del proyecto. </w:t>
      </w:r>
    </w:p>
    <w:p w14:paraId="04308342" w14:textId="77777777" w:rsidR="002F41A8" w:rsidRDefault="002F41A8" w:rsidP="00B03685">
      <w:pPr>
        <w:pStyle w:val="Textoindependiente"/>
        <w:spacing w:line="276" w:lineRule="auto"/>
        <w:rPr>
          <w:rFonts w:cs="Arial"/>
          <w:lang w:val="es-ES"/>
        </w:rPr>
      </w:pPr>
    </w:p>
    <w:p w14:paraId="24FB1044" w14:textId="04A8411B" w:rsidR="002F41A8" w:rsidRDefault="002F41A8" w:rsidP="00B03685">
      <w:pPr>
        <w:pStyle w:val="Textoindependiente"/>
        <w:spacing w:line="276" w:lineRule="auto"/>
        <w:rPr>
          <w:rFonts w:cs="Arial"/>
          <w:iCs/>
        </w:rPr>
      </w:pPr>
      <w:r w:rsidRPr="20FA6F65">
        <w:rPr>
          <w:rFonts w:cs="Arial"/>
          <w:lang w:val="es-ES"/>
        </w:rPr>
        <w:t>En todos los casos, el documento justificativo deberá presentar el esquema de desmonte del beneficio del FOES, a partir de la implementación del proyecto.</w:t>
      </w:r>
    </w:p>
    <w:p w14:paraId="4EABD9DE" w14:textId="77777777" w:rsidR="002F41A8" w:rsidRPr="00C63186" w:rsidRDefault="002F41A8" w:rsidP="00B03685">
      <w:pPr>
        <w:pStyle w:val="Textoindependiente"/>
        <w:spacing w:line="276" w:lineRule="auto"/>
        <w:rPr>
          <w:rFonts w:cs="Arial"/>
          <w:iCs/>
        </w:rPr>
      </w:pPr>
      <w:r>
        <w:rPr>
          <w:rFonts w:cs="Arial"/>
          <w:b/>
          <w:bCs/>
          <w:iCs/>
        </w:rPr>
        <w:t xml:space="preserve">6) </w:t>
      </w:r>
      <w:r w:rsidRPr="00C63186">
        <w:rPr>
          <w:rFonts w:cs="Arial"/>
          <w:iCs/>
        </w:rPr>
        <w:t xml:space="preserve">Cronograma de ejecución de obra, el cual debe incluir los procesos de contratación de los proveedores de los bienes y servicios para el proyecto. </w:t>
      </w:r>
    </w:p>
    <w:p w14:paraId="31D1F955" w14:textId="77777777" w:rsidR="002F41A8" w:rsidRPr="00C63186" w:rsidRDefault="002F41A8" w:rsidP="00B03685">
      <w:pPr>
        <w:pStyle w:val="Textoindependiente"/>
        <w:spacing w:line="276" w:lineRule="auto"/>
        <w:rPr>
          <w:rFonts w:cs="Arial"/>
          <w:i/>
        </w:rPr>
      </w:pPr>
    </w:p>
    <w:p w14:paraId="5F5709FE" w14:textId="45D6650D" w:rsidR="002F41A8" w:rsidRPr="00C63186" w:rsidRDefault="002F41A8" w:rsidP="00B03685">
      <w:pPr>
        <w:pStyle w:val="Textoindependiente"/>
        <w:spacing w:line="276" w:lineRule="auto"/>
        <w:rPr>
          <w:rFonts w:cs="Arial"/>
          <w:lang w:val="es-ES"/>
        </w:rPr>
      </w:pPr>
      <w:r>
        <w:rPr>
          <w:rFonts w:cs="Arial"/>
          <w:b/>
          <w:bCs/>
          <w:lang w:val="es-ES"/>
        </w:rPr>
        <w:t>7</w:t>
      </w:r>
      <w:r w:rsidRPr="00C63186">
        <w:rPr>
          <w:rFonts w:cs="Arial"/>
          <w:b/>
          <w:bCs/>
          <w:lang w:val="es-ES"/>
        </w:rPr>
        <w:t>)</w:t>
      </w:r>
      <w:r w:rsidRPr="00C63186">
        <w:rPr>
          <w:rFonts w:cs="Arial"/>
          <w:lang w:val="es-ES"/>
        </w:rPr>
        <w:t xml:space="preserve"> Carta de compromiso para realizar la administración, operación, mantenimiento y atención de los suscriptores beneficiarios de las soluciones energéticas con Fuentes No Convencionales de Energía Renovable (FNCER), sin perjuicio de la asignación de tales labores a las Comunidades Energéticas beneficiadas con estos recursos.</w:t>
      </w:r>
    </w:p>
    <w:p w14:paraId="2927467E" w14:textId="77777777" w:rsidR="002F41A8" w:rsidRPr="00C63186" w:rsidRDefault="002F41A8" w:rsidP="00B03685">
      <w:pPr>
        <w:pStyle w:val="Textoindependiente"/>
        <w:spacing w:line="276" w:lineRule="auto"/>
        <w:rPr>
          <w:rFonts w:cs="Arial"/>
          <w:i/>
        </w:rPr>
      </w:pPr>
    </w:p>
    <w:p w14:paraId="62C814DB" w14:textId="4CEF7F0F" w:rsidR="002F41A8" w:rsidRPr="00C63186" w:rsidRDefault="002F41A8" w:rsidP="00B03685">
      <w:pPr>
        <w:pStyle w:val="Textoindependiente"/>
        <w:spacing w:line="276" w:lineRule="auto"/>
        <w:rPr>
          <w:rFonts w:cs="Arial"/>
          <w:iCs/>
        </w:rPr>
      </w:pPr>
      <w:r>
        <w:rPr>
          <w:rFonts w:cs="Arial"/>
          <w:b/>
          <w:bCs/>
          <w:iCs/>
        </w:rPr>
        <w:t>8</w:t>
      </w:r>
      <w:r w:rsidRPr="00C63186">
        <w:rPr>
          <w:rFonts w:cs="Arial"/>
          <w:b/>
          <w:bCs/>
          <w:iCs/>
        </w:rPr>
        <w:t>)</w:t>
      </w:r>
      <w:r w:rsidRPr="00C63186">
        <w:rPr>
          <w:rFonts w:cs="Arial"/>
          <w:iCs/>
        </w:rPr>
        <w:t xml:space="preserve"> Certificado del registro de las Áreas Especiales en el Sistema Único de Información que administra la Superintendencia de Servicios Públicos, SSPD, correspondiente al proyecto.</w:t>
      </w:r>
    </w:p>
    <w:p w14:paraId="30D50188" w14:textId="77777777" w:rsidR="002F41A8" w:rsidRPr="00C63186" w:rsidRDefault="002F41A8" w:rsidP="00B03685">
      <w:pPr>
        <w:pStyle w:val="Textoindependiente"/>
        <w:spacing w:line="276" w:lineRule="auto"/>
        <w:rPr>
          <w:rFonts w:cs="Arial"/>
          <w:i/>
        </w:rPr>
      </w:pPr>
    </w:p>
    <w:p w14:paraId="76A88E6D" w14:textId="1AEA4C67" w:rsidR="002F41A8" w:rsidRPr="00C63186" w:rsidRDefault="002F41A8" w:rsidP="00B03685">
      <w:pPr>
        <w:pStyle w:val="Textoindependiente"/>
        <w:spacing w:line="276" w:lineRule="auto"/>
        <w:rPr>
          <w:rFonts w:cs="Arial"/>
          <w:iCs/>
        </w:rPr>
      </w:pPr>
      <w:r>
        <w:rPr>
          <w:rFonts w:cs="Arial"/>
          <w:b/>
          <w:bCs/>
          <w:iCs/>
        </w:rPr>
        <w:t>9</w:t>
      </w:r>
      <w:r w:rsidRPr="00C63186">
        <w:rPr>
          <w:rFonts w:cs="Arial"/>
          <w:b/>
          <w:bCs/>
          <w:iCs/>
        </w:rPr>
        <w:t>)</w:t>
      </w:r>
      <w:r w:rsidRPr="00C63186">
        <w:rPr>
          <w:rFonts w:cs="Arial"/>
          <w:iCs/>
        </w:rPr>
        <w:t xml:space="preserve"> Carta suscrita por el Representante Legal del comercializador o de la comunidad energética mediante la cual se compromete a desembolsar o gestionar los recursos necesarios requeridos para la reposición de la infraestructura energética implementada con recursos del FOES, durante la vida útil del proyecto.</w:t>
      </w:r>
    </w:p>
    <w:p w14:paraId="3B6CEB80" w14:textId="77777777" w:rsidR="002F41A8" w:rsidRPr="00C63186" w:rsidRDefault="002F41A8" w:rsidP="00B03685">
      <w:pPr>
        <w:pStyle w:val="Textoindependiente"/>
        <w:spacing w:line="276" w:lineRule="auto"/>
        <w:rPr>
          <w:rFonts w:cs="Arial"/>
          <w:i/>
        </w:rPr>
      </w:pPr>
    </w:p>
    <w:p w14:paraId="5C9369BC" w14:textId="2981B8C0" w:rsidR="002F41A8" w:rsidRPr="00C63186" w:rsidRDefault="002F41A8" w:rsidP="00B03685">
      <w:pPr>
        <w:pStyle w:val="Textoindependiente"/>
        <w:spacing w:line="276" w:lineRule="auto"/>
        <w:rPr>
          <w:rFonts w:cs="Arial"/>
          <w:lang w:val="es-ES"/>
        </w:rPr>
      </w:pPr>
      <w:r>
        <w:rPr>
          <w:rFonts w:cs="Arial"/>
          <w:b/>
          <w:bCs/>
          <w:lang w:val="es-ES"/>
        </w:rPr>
        <w:t>10</w:t>
      </w:r>
      <w:r w:rsidRPr="00C63186">
        <w:rPr>
          <w:rFonts w:cs="Arial"/>
          <w:b/>
          <w:bCs/>
          <w:lang w:val="es-ES"/>
        </w:rPr>
        <w:t>)</w:t>
      </w:r>
      <w:r w:rsidRPr="00C63186">
        <w:rPr>
          <w:rFonts w:cs="Arial"/>
          <w:lang w:val="es-ES"/>
        </w:rPr>
        <w:t xml:space="preserve"> Si como efecto de la operación de los activos resultantes de la ejecución del proyecto se obtiene la calidad de autogenerador a pequeña o gran escala, se dará cumplimiento a los parámetros dispuestos en el Decreto 348 de 2017 y/o aquellos relacionados y en ese evento, de requerirse predios para la instalación de la FNCER, se deberá contar con el título o la facultad para la utilización del predio en que se construirá la infraestructura. </w:t>
      </w:r>
    </w:p>
    <w:p w14:paraId="1E4C4224" w14:textId="77777777" w:rsidR="002F41A8" w:rsidRPr="00C63186" w:rsidRDefault="002F41A8" w:rsidP="00B03685">
      <w:pPr>
        <w:pStyle w:val="Textoindependiente"/>
        <w:spacing w:line="276" w:lineRule="auto"/>
        <w:rPr>
          <w:rFonts w:cs="Arial"/>
          <w:i/>
          <w:iCs/>
        </w:rPr>
      </w:pPr>
    </w:p>
    <w:p w14:paraId="6E9227AE" w14:textId="70997377" w:rsidR="002F41A8" w:rsidRDefault="002F41A8" w:rsidP="00B03685">
      <w:pPr>
        <w:pStyle w:val="Textoindependiente"/>
        <w:spacing w:line="276" w:lineRule="auto"/>
        <w:rPr>
          <w:rFonts w:cs="Arial"/>
          <w:iCs/>
        </w:rPr>
      </w:pPr>
      <w:r w:rsidRPr="00C63186">
        <w:rPr>
          <w:rFonts w:cs="Arial"/>
          <w:b/>
          <w:bCs/>
          <w:iCs/>
        </w:rPr>
        <w:t>1</w:t>
      </w:r>
      <w:r>
        <w:rPr>
          <w:rFonts w:cs="Arial"/>
          <w:b/>
          <w:bCs/>
          <w:iCs/>
        </w:rPr>
        <w:t>1</w:t>
      </w:r>
      <w:r w:rsidRPr="00C63186">
        <w:rPr>
          <w:rFonts w:cs="Arial"/>
          <w:b/>
          <w:bCs/>
          <w:iCs/>
        </w:rPr>
        <w:t>)</w:t>
      </w:r>
      <w:r w:rsidRPr="00C63186">
        <w:rPr>
          <w:rFonts w:cs="Arial"/>
          <w:iCs/>
        </w:rPr>
        <w:t xml:space="preserve"> Certificado de la autoridad competente, donde conste que los proyectos no se encuentran diseñados en áreas en condición de riesgo, de </w:t>
      </w:r>
      <w:r w:rsidRPr="00C63186">
        <w:rPr>
          <w:rFonts w:cs="Arial"/>
          <w:iCs/>
          <w:spacing w:val="-59"/>
        </w:rPr>
        <w:t xml:space="preserve">    </w:t>
      </w:r>
      <w:r w:rsidRPr="00C63186">
        <w:rPr>
          <w:rFonts w:cs="Arial"/>
          <w:iCs/>
        </w:rPr>
        <w:t>acuerdo</w:t>
      </w:r>
      <w:r w:rsidRPr="00C63186">
        <w:rPr>
          <w:rFonts w:cs="Arial"/>
          <w:iCs/>
          <w:spacing w:val="-8"/>
        </w:rPr>
        <w:t xml:space="preserve"> </w:t>
      </w:r>
      <w:r w:rsidRPr="00C63186">
        <w:rPr>
          <w:rFonts w:cs="Arial"/>
          <w:iCs/>
        </w:rPr>
        <w:t>con</w:t>
      </w:r>
      <w:r w:rsidRPr="00C63186">
        <w:rPr>
          <w:rFonts w:cs="Arial"/>
          <w:iCs/>
          <w:spacing w:val="-8"/>
        </w:rPr>
        <w:t xml:space="preserve"> </w:t>
      </w:r>
      <w:r w:rsidRPr="00C63186">
        <w:rPr>
          <w:rFonts w:cs="Arial"/>
          <w:iCs/>
        </w:rPr>
        <w:t>la</w:t>
      </w:r>
      <w:r w:rsidRPr="00C63186">
        <w:rPr>
          <w:rFonts w:cs="Arial"/>
          <w:iCs/>
          <w:spacing w:val="-8"/>
        </w:rPr>
        <w:t xml:space="preserve"> </w:t>
      </w:r>
      <w:r w:rsidRPr="00C63186">
        <w:rPr>
          <w:rFonts w:cs="Arial"/>
          <w:iCs/>
        </w:rPr>
        <w:t>definición</w:t>
      </w:r>
      <w:r w:rsidRPr="00C63186">
        <w:rPr>
          <w:rFonts w:cs="Arial"/>
          <w:iCs/>
          <w:spacing w:val="-8"/>
        </w:rPr>
        <w:t xml:space="preserve"> </w:t>
      </w:r>
      <w:r w:rsidRPr="00C63186">
        <w:rPr>
          <w:rFonts w:cs="Arial"/>
          <w:iCs/>
        </w:rPr>
        <w:t>establecida</w:t>
      </w:r>
      <w:r w:rsidRPr="00C63186">
        <w:rPr>
          <w:rFonts w:cs="Arial"/>
          <w:iCs/>
          <w:spacing w:val="-8"/>
        </w:rPr>
        <w:t xml:space="preserve"> </w:t>
      </w:r>
      <w:r w:rsidRPr="00C63186">
        <w:rPr>
          <w:rFonts w:cs="Arial"/>
          <w:iCs/>
        </w:rPr>
        <w:t>por</w:t>
      </w:r>
      <w:r w:rsidRPr="00C63186">
        <w:rPr>
          <w:rFonts w:cs="Arial"/>
          <w:iCs/>
          <w:spacing w:val="-9"/>
        </w:rPr>
        <w:t xml:space="preserve"> </w:t>
      </w:r>
      <w:r w:rsidRPr="00C63186">
        <w:rPr>
          <w:rFonts w:cs="Arial"/>
          <w:iCs/>
        </w:rPr>
        <w:t>el</w:t>
      </w:r>
      <w:r w:rsidRPr="00C63186">
        <w:rPr>
          <w:rFonts w:cs="Arial"/>
          <w:iCs/>
          <w:spacing w:val="-8"/>
        </w:rPr>
        <w:t xml:space="preserve"> </w:t>
      </w:r>
      <w:r w:rsidRPr="00C63186">
        <w:rPr>
          <w:rFonts w:cs="Arial"/>
          <w:iCs/>
        </w:rPr>
        <w:t>Decreto</w:t>
      </w:r>
      <w:r w:rsidRPr="00C63186">
        <w:rPr>
          <w:rFonts w:cs="Arial"/>
          <w:iCs/>
          <w:spacing w:val="-8"/>
        </w:rPr>
        <w:t xml:space="preserve"> </w:t>
      </w:r>
      <w:r w:rsidRPr="00C63186">
        <w:rPr>
          <w:rFonts w:cs="Arial"/>
          <w:iCs/>
        </w:rPr>
        <w:t>1807</w:t>
      </w:r>
      <w:r w:rsidRPr="00C63186">
        <w:rPr>
          <w:rFonts w:cs="Arial"/>
          <w:iCs/>
          <w:spacing w:val="-8"/>
        </w:rPr>
        <w:t xml:space="preserve"> </w:t>
      </w:r>
      <w:r w:rsidRPr="00C63186">
        <w:rPr>
          <w:rFonts w:cs="Arial"/>
          <w:iCs/>
        </w:rPr>
        <w:t>de</w:t>
      </w:r>
      <w:r w:rsidRPr="00C63186">
        <w:rPr>
          <w:rFonts w:cs="Arial"/>
          <w:iCs/>
          <w:spacing w:val="-8"/>
        </w:rPr>
        <w:t xml:space="preserve"> </w:t>
      </w:r>
      <w:r w:rsidRPr="00C63186">
        <w:rPr>
          <w:rFonts w:cs="Arial"/>
          <w:iCs/>
        </w:rPr>
        <w:t>2014</w:t>
      </w:r>
      <w:r w:rsidRPr="00C63186">
        <w:rPr>
          <w:rFonts w:cs="Arial"/>
          <w:iCs/>
          <w:spacing w:val="-11"/>
        </w:rPr>
        <w:t xml:space="preserve"> </w:t>
      </w:r>
      <w:r w:rsidRPr="00C63186">
        <w:rPr>
          <w:rFonts w:cs="Arial"/>
          <w:iCs/>
        </w:rPr>
        <w:t>y</w:t>
      </w:r>
      <w:r w:rsidRPr="00C63186">
        <w:rPr>
          <w:rFonts w:cs="Arial"/>
          <w:iCs/>
          <w:spacing w:val="-7"/>
        </w:rPr>
        <w:t xml:space="preserve"> </w:t>
      </w:r>
      <w:r w:rsidRPr="00C63186">
        <w:rPr>
          <w:rFonts w:cs="Arial"/>
          <w:iCs/>
        </w:rPr>
        <w:t>lo</w:t>
      </w:r>
      <w:r w:rsidRPr="00C63186">
        <w:rPr>
          <w:rFonts w:cs="Arial"/>
          <w:iCs/>
          <w:spacing w:val="-7"/>
        </w:rPr>
        <w:t xml:space="preserve"> indicado </w:t>
      </w:r>
      <w:r w:rsidRPr="00C63186">
        <w:rPr>
          <w:rFonts w:cs="Arial"/>
          <w:iCs/>
        </w:rPr>
        <w:t>por</w:t>
      </w:r>
      <w:r w:rsidRPr="00C63186">
        <w:rPr>
          <w:rFonts w:cs="Arial"/>
          <w:iCs/>
          <w:spacing w:val="-8"/>
        </w:rPr>
        <w:t xml:space="preserve"> </w:t>
      </w:r>
      <w:r w:rsidRPr="00C63186">
        <w:rPr>
          <w:rFonts w:cs="Arial"/>
          <w:iCs/>
        </w:rPr>
        <w:t>el</w:t>
      </w:r>
      <w:r w:rsidRPr="00C63186">
        <w:rPr>
          <w:rFonts w:cs="Arial"/>
          <w:iCs/>
          <w:spacing w:val="-9"/>
        </w:rPr>
        <w:t xml:space="preserve"> </w:t>
      </w:r>
      <w:r w:rsidRPr="00C63186">
        <w:rPr>
          <w:rFonts w:cs="Arial"/>
          <w:iCs/>
        </w:rPr>
        <w:t>respectivo</w:t>
      </w:r>
      <w:r w:rsidRPr="00C63186">
        <w:rPr>
          <w:rFonts w:cs="Arial"/>
          <w:iCs/>
          <w:spacing w:val="-8"/>
        </w:rPr>
        <w:t xml:space="preserve"> </w:t>
      </w:r>
      <w:r w:rsidRPr="00C63186">
        <w:rPr>
          <w:rFonts w:cs="Arial"/>
          <w:iCs/>
        </w:rPr>
        <w:t>Plan</w:t>
      </w:r>
      <w:r w:rsidRPr="00C63186">
        <w:rPr>
          <w:rFonts w:cs="Arial"/>
          <w:iCs/>
          <w:spacing w:val="-8"/>
        </w:rPr>
        <w:t xml:space="preserve"> </w:t>
      </w:r>
      <w:r w:rsidRPr="00C63186">
        <w:rPr>
          <w:rFonts w:cs="Arial"/>
          <w:iCs/>
        </w:rPr>
        <w:t>de</w:t>
      </w:r>
      <w:r w:rsidRPr="00C63186">
        <w:rPr>
          <w:rFonts w:cs="Arial"/>
          <w:iCs/>
          <w:spacing w:val="-13"/>
        </w:rPr>
        <w:t xml:space="preserve"> </w:t>
      </w:r>
      <w:r w:rsidRPr="00C63186">
        <w:rPr>
          <w:rFonts w:cs="Arial"/>
          <w:iCs/>
        </w:rPr>
        <w:t>Ordenamiento</w:t>
      </w:r>
      <w:r w:rsidRPr="00C63186">
        <w:rPr>
          <w:rFonts w:cs="Arial"/>
          <w:iCs/>
          <w:spacing w:val="-8"/>
        </w:rPr>
        <w:t xml:space="preserve"> </w:t>
      </w:r>
      <w:r w:rsidRPr="00C63186">
        <w:rPr>
          <w:rFonts w:cs="Arial"/>
          <w:iCs/>
        </w:rPr>
        <w:t>Territorial</w:t>
      </w:r>
      <w:r w:rsidRPr="00C63186">
        <w:rPr>
          <w:rFonts w:cs="Arial"/>
          <w:iCs/>
          <w:spacing w:val="-8"/>
        </w:rPr>
        <w:t xml:space="preserve"> </w:t>
      </w:r>
      <w:r w:rsidRPr="00C63186">
        <w:rPr>
          <w:rFonts w:cs="Arial"/>
          <w:iCs/>
        </w:rPr>
        <w:t>-</w:t>
      </w:r>
      <w:r w:rsidRPr="00C63186">
        <w:rPr>
          <w:rFonts w:cs="Arial"/>
          <w:iCs/>
          <w:spacing w:val="-7"/>
        </w:rPr>
        <w:t xml:space="preserve"> </w:t>
      </w:r>
      <w:r w:rsidRPr="00C63186">
        <w:rPr>
          <w:rFonts w:cs="Arial"/>
          <w:iCs/>
        </w:rPr>
        <w:t>POT,</w:t>
      </w:r>
      <w:r w:rsidRPr="00C63186">
        <w:rPr>
          <w:rFonts w:cs="Arial"/>
          <w:iCs/>
          <w:spacing w:val="-7"/>
        </w:rPr>
        <w:t xml:space="preserve"> </w:t>
      </w:r>
      <w:r w:rsidRPr="00C63186">
        <w:rPr>
          <w:rFonts w:cs="Arial"/>
          <w:iCs/>
        </w:rPr>
        <w:t>o</w:t>
      </w:r>
      <w:r w:rsidRPr="00C63186">
        <w:rPr>
          <w:rFonts w:cs="Arial"/>
          <w:iCs/>
          <w:spacing w:val="-10"/>
        </w:rPr>
        <w:t xml:space="preserve"> </w:t>
      </w:r>
      <w:r w:rsidRPr="00C63186">
        <w:rPr>
          <w:rFonts w:cs="Arial"/>
          <w:iCs/>
        </w:rPr>
        <w:t>en</w:t>
      </w:r>
      <w:r w:rsidRPr="00C63186">
        <w:rPr>
          <w:rFonts w:cs="Arial"/>
          <w:iCs/>
          <w:spacing w:val="-8"/>
        </w:rPr>
        <w:t xml:space="preserve"> </w:t>
      </w:r>
      <w:r w:rsidRPr="00C63186">
        <w:rPr>
          <w:rFonts w:cs="Arial"/>
          <w:iCs/>
        </w:rPr>
        <w:t>las</w:t>
      </w:r>
      <w:r w:rsidRPr="00C63186">
        <w:rPr>
          <w:rFonts w:cs="Arial"/>
          <w:iCs/>
          <w:spacing w:val="-8"/>
        </w:rPr>
        <w:t xml:space="preserve"> </w:t>
      </w:r>
      <w:r w:rsidRPr="00C63186">
        <w:rPr>
          <w:rFonts w:cs="Arial"/>
          <w:iCs/>
        </w:rPr>
        <w:t>que conste que</w:t>
      </w:r>
      <w:r w:rsidRPr="00C63186">
        <w:rPr>
          <w:rFonts w:cs="Arial"/>
          <w:iCs/>
          <w:spacing w:val="-10"/>
        </w:rPr>
        <w:t xml:space="preserve"> </w:t>
      </w:r>
      <w:r w:rsidRPr="00C63186">
        <w:rPr>
          <w:rFonts w:cs="Arial"/>
          <w:iCs/>
        </w:rPr>
        <w:t>los</w:t>
      </w:r>
      <w:r w:rsidRPr="00C63186">
        <w:rPr>
          <w:rFonts w:cs="Arial"/>
          <w:iCs/>
          <w:spacing w:val="-10"/>
        </w:rPr>
        <w:t xml:space="preserve"> </w:t>
      </w:r>
      <w:r w:rsidRPr="00C63186">
        <w:rPr>
          <w:rFonts w:cs="Arial"/>
          <w:iCs/>
        </w:rPr>
        <w:t>terrenos en que</w:t>
      </w:r>
      <w:r w:rsidRPr="00C63186">
        <w:rPr>
          <w:rFonts w:cs="Arial"/>
          <w:iCs/>
          <w:spacing w:val="-13"/>
        </w:rPr>
        <w:t xml:space="preserve"> </w:t>
      </w:r>
      <w:r w:rsidRPr="00C63186">
        <w:rPr>
          <w:rFonts w:cs="Arial"/>
          <w:iCs/>
        </w:rPr>
        <w:t>se</w:t>
      </w:r>
      <w:r w:rsidRPr="00C63186">
        <w:rPr>
          <w:rFonts w:cs="Arial"/>
          <w:iCs/>
          <w:spacing w:val="-14"/>
        </w:rPr>
        <w:t xml:space="preserve"> </w:t>
      </w:r>
      <w:r w:rsidRPr="00C63186">
        <w:rPr>
          <w:rFonts w:cs="Arial"/>
          <w:iCs/>
        </w:rPr>
        <w:t>ubique</w:t>
      </w:r>
      <w:r w:rsidRPr="00C63186">
        <w:rPr>
          <w:rFonts w:cs="Arial"/>
          <w:iCs/>
          <w:spacing w:val="-13"/>
        </w:rPr>
        <w:t xml:space="preserve"> </w:t>
      </w:r>
      <w:r w:rsidRPr="00C63186">
        <w:rPr>
          <w:rFonts w:cs="Arial"/>
          <w:iCs/>
        </w:rPr>
        <w:t xml:space="preserve">el </w:t>
      </w:r>
      <w:r w:rsidRPr="00C63186">
        <w:rPr>
          <w:rFonts w:cs="Arial"/>
          <w:iCs/>
        </w:rPr>
        <w:lastRenderedPageBreak/>
        <w:t>área especial</w:t>
      </w:r>
      <w:r w:rsidRPr="00C63186">
        <w:rPr>
          <w:rFonts w:cs="Arial"/>
          <w:iCs/>
          <w:spacing w:val="-14"/>
        </w:rPr>
        <w:t xml:space="preserve"> no </w:t>
      </w:r>
      <w:r w:rsidRPr="00C63186">
        <w:rPr>
          <w:rFonts w:cs="Arial"/>
          <w:iCs/>
        </w:rPr>
        <w:t>se</w:t>
      </w:r>
      <w:r w:rsidRPr="00C63186">
        <w:rPr>
          <w:rFonts w:cs="Arial"/>
          <w:iCs/>
          <w:spacing w:val="-13"/>
        </w:rPr>
        <w:t xml:space="preserve"> </w:t>
      </w:r>
      <w:r w:rsidRPr="00C63186">
        <w:rPr>
          <w:rFonts w:cs="Arial"/>
          <w:iCs/>
        </w:rPr>
        <w:t>encuentren</w:t>
      </w:r>
      <w:r w:rsidRPr="00C63186">
        <w:rPr>
          <w:rFonts w:cs="Arial"/>
          <w:iCs/>
          <w:spacing w:val="-12"/>
        </w:rPr>
        <w:t xml:space="preserve"> </w:t>
      </w:r>
      <w:r w:rsidRPr="00C63186">
        <w:rPr>
          <w:rFonts w:cs="Arial"/>
          <w:iCs/>
        </w:rPr>
        <w:t>en</w:t>
      </w:r>
      <w:r w:rsidRPr="00C63186">
        <w:rPr>
          <w:rFonts w:cs="Arial"/>
          <w:iCs/>
          <w:spacing w:val="-13"/>
        </w:rPr>
        <w:t xml:space="preserve"> </w:t>
      </w:r>
      <w:r w:rsidRPr="00C63186">
        <w:rPr>
          <w:rFonts w:cs="Arial"/>
          <w:iCs/>
        </w:rPr>
        <w:t>litigio</w:t>
      </w:r>
      <w:r w:rsidRPr="00C63186">
        <w:rPr>
          <w:rFonts w:cs="Arial"/>
          <w:iCs/>
          <w:spacing w:val="-10"/>
        </w:rPr>
        <w:t xml:space="preserve"> </w:t>
      </w:r>
      <w:r w:rsidRPr="00C63186">
        <w:rPr>
          <w:rFonts w:cs="Arial"/>
          <w:iCs/>
        </w:rPr>
        <w:t>que</w:t>
      </w:r>
      <w:r w:rsidRPr="00C63186">
        <w:rPr>
          <w:rFonts w:cs="Arial"/>
          <w:iCs/>
          <w:spacing w:val="-13"/>
        </w:rPr>
        <w:t xml:space="preserve"> </w:t>
      </w:r>
      <w:r w:rsidRPr="00C63186">
        <w:rPr>
          <w:rFonts w:cs="Arial"/>
          <w:iCs/>
        </w:rPr>
        <w:t>pueda</w:t>
      </w:r>
      <w:r w:rsidRPr="00C63186">
        <w:rPr>
          <w:rFonts w:cs="Arial"/>
          <w:iCs/>
          <w:spacing w:val="-11"/>
        </w:rPr>
        <w:t xml:space="preserve"> </w:t>
      </w:r>
      <w:r w:rsidRPr="00C63186">
        <w:rPr>
          <w:rFonts w:cs="Arial"/>
          <w:iCs/>
        </w:rPr>
        <w:t>afectar de cualquier forma la ejecución del proyecto.</w:t>
      </w:r>
    </w:p>
    <w:p w14:paraId="78093EC9" w14:textId="77777777" w:rsidR="002F41A8" w:rsidRDefault="002F41A8" w:rsidP="00B03685">
      <w:pPr>
        <w:pStyle w:val="Textoindependiente"/>
        <w:spacing w:line="276" w:lineRule="auto"/>
        <w:rPr>
          <w:rFonts w:cs="Arial"/>
          <w:iCs/>
        </w:rPr>
      </w:pPr>
    </w:p>
    <w:p w14:paraId="15BA9989" w14:textId="49EF94A4" w:rsidR="002F41A8" w:rsidRPr="00C867B8" w:rsidRDefault="002F41A8" w:rsidP="008E39FD">
      <w:pPr>
        <w:pStyle w:val="Textoindependiente"/>
        <w:spacing w:after="160" w:line="276" w:lineRule="auto"/>
        <w:rPr>
          <w:rFonts w:eastAsiaTheme="minorEastAsia" w:cs="Arial"/>
          <w:szCs w:val="24"/>
          <w:lang w:val="es-ES"/>
        </w:rPr>
      </w:pPr>
      <w:r w:rsidRPr="20FA6F65">
        <w:rPr>
          <w:rFonts w:cs="Arial"/>
          <w:b/>
          <w:bCs/>
          <w:lang w:val="es-ES"/>
        </w:rPr>
        <w:t xml:space="preserve">12) </w:t>
      </w:r>
      <w:r w:rsidRPr="20FA6F65">
        <w:rPr>
          <w:rFonts w:cs="Arial"/>
          <w:highlight w:val="yellow"/>
          <w:lang w:val="es-ES"/>
        </w:rPr>
        <w:t>Para los</w:t>
      </w:r>
      <w:r w:rsidRPr="002F41A8">
        <w:rPr>
          <w:rFonts w:cs="Arial"/>
          <w:lang w:val="es-ES"/>
        </w:rPr>
        <w:t xml:space="preserve"> proyectos financiados con recursos del FOES, se deberá presentar </w:t>
      </w:r>
      <w:r w:rsidRPr="20FA6F65">
        <w:rPr>
          <w:rFonts w:cs="Arial"/>
          <w:lang w:val="es-ES"/>
        </w:rPr>
        <w:t>esquema de sostenibilidad</w:t>
      </w:r>
      <w:r w:rsidRPr="20FA6F65">
        <w:rPr>
          <w:rFonts w:cs="Arial"/>
          <w:szCs w:val="24"/>
          <w:lang w:val="es-ES"/>
        </w:rPr>
        <w:t xml:space="preserve"> que plasme el mecanismo que garantice  la sostenibilidad financiera, social, ambiental y técnica del proyecto, de conformidad con las normas regulatorias vigentes; el cual deberá ser presentado al Prestador del servicio que vaya a adelantar las labores de AOM para su respectivo aval, </w:t>
      </w:r>
      <w:r w:rsidRPr="00C867B8">
        <w:rPr>
          <w:rFonts w:eastAsiaTheme="minorEastAsia" w:cs="Arial"/>
          <w:szCs w:val="24"/>
          <w:lang w:val="es-ES"/>
        </w:rPr>
        <w:t>incluyendo la remuneración del AOM y; en el caso que aplique, la comercialización de excedentes de energía así como la forma de realizar dicha comercialización y su remuneración.</w:t>
      </w:r>
    </w:p>
    <w:bookmarkEnd w:id="208"/>
    <w:p w14:paraId="60FCB48E" w14:textId="289C0D42" w:rsidR="002F41A8" w:rsidRPr="00C63186" w:rsidRDefault="002F41A8" w:rsidP="008E39FD">
      <w:pPr>
        <w:spacing w:after="0"/>
        <w:jc w:val="both"/>
        <w:rPr>
          <w:rFonts w:ascii="Arial" w:eastAsia="Arial MT" w:hAnsi="Arial" w:cs="Arial"/>
          <w:bCs/>
          <w:iCs/>
          <w:sz w:val="24"/>
          <w:szCs w:val="24"/>
          <w:lang w:val="es-ES"/>
        </w:rPr>
      </w:pPr>
      <w:r w:rsidRPr="00C63186">
        <w:rPr>
          <w:rFonts w:ascii="Arial" w:eastAsia="Arial MT" w:hAnsi="Arial" w:cs="Arial"/>
          <w:b/>
          <w:iCs/>
          <w:sz w:val="24"/>
          <w:szCs w:val="24"/>
          <w:lang w:val="es-ES"/>
        </w:rPr>
        <w:t xml:space="preserve">Nota Especial 1: </w:t>
      </w:r>
      <w:r w:rsidRPr="00C63186">
        <w:rPr>
          <w:rFonts w:ascii="Arial" w:eastAsia="Arial MT" w:hAnsi="Arial" w:cs="Arial"/>
          <w:bCs/>
          <w:iCs/>
          <w:sz w:val="24"/>
          <w:szCs w:val="24"/>
          <w:lang w:val="es-ES"/>
        </w:rPr>
        <w:t>Cuando el proyecto pretenda beneficiar a Comunidades Energéticas debidamente constituidas, se dará aplicación a lo dispuesto en el</w:t>
      </w:r>
      <w:r>
        <w:rPr>
          <w:rFonts w:ascii="Arial" w:eastAsia="Arial MT" w:hAnsi="Arial" w:cs="Arial"/>
          <w:bCs/>
          <w:iCs/>
          <w:sz w:val="24"/>
          <w:szCs w:val="24"/>
          <w:lang w:val="es-ES"/>
        </w:rPr>
        <w:t xml:space="preserve"> Capítulo</w:t>
      </w:r>
      <w:r w:rsidRPr="00C63186">
        <w:rPr>
          <w:rFonts w:ascii="Arial" w:eastAsia="Arial MT" w:hAnsi="Arial" w:cs="Arial"/>
          <w:bCs/>
          <w:iCs/>
          <w:sz w:val="24"/>
          <w:szCs w:val="24"/>
          <w:lang w:val="es-ES"/>
        </w:rPr>
        <w:t xml:space="preserve"> </w:t>
      </w:r>
      <w:r>
        <w:rPr>
          <w:rFonts w:ascii="Arial" w:eastAsia="Arial MT" w:hAnsi="Arial" w:cs="Arial"/>
          <w:bCs/>
          <w:iCs/>
          <w:sz w:val="24"/>
          <w:szCs w:val="24"/>
          <w:lang w:val="es-ES"/>
        </w:rPr>
        <w:fldChar w:fldCharType="begin"/>
      </w:r>
      <w:r>
        <w:rPr>
          <w:rFonts w:ascii="Arial" w:eastAsia="Arial MT" w:hAnsi="Arial" w:cs="Arial"/>
          <w:bCs/>
          <w:iCs/>
          <w:sz w:val="24"/>
          <w:szCs w:val="24"/>
          <w:lang w:val="es-ES"/>
        </w:rPr>
        <w:instrText xml:space="preserve"> REF _Ref205538204 \r \h </w:instrText>
      </w:r>
      <w:r>
        <w:rPr>
          <w:rFonts w:ascii="Arial" w:eastAsia="Arial MT" w:hAnsi="Arial" w:cs="Arial"/>
          <w:bCs/>
          <w:iCs/>
          <w:sz w:val="24"/>
          <w:szCs w:val="24"/>
          <w:lang w:val="es-ES"/>
        </w:rPr>
      </w:r>
      <w:r>
        <w:rPr>
          <w:rFonts w:ascii="Arial" w:eastAsia="Arial MT" w:hAnsi="Arial" w:cs="Arial"/>
          <w:bCs/>
          <w:iCs/>
          <w:sz w:val="24"/>
          <w:szCs w:val="24"/>
          <w:lang w:val="es-ES"/>
        </w:rPr>
        <w:fldChar w:fldCharType="separate"/>
      </w:r>
      <w:r w:rsidR="00005B8A">
        <w:rPr>
          <w:rFonts w:ascii="Arial" w:eastAsia="Arial MT" w:hAnsi="Arial" w:cs="Arial"/>
          <w:bCs/>
          <w:iCs/>
          <w:sz w:val="24"/>
          <w:szCs w:val="24"/>
          <w:lang w:val="es-ES"/>
        </w:rPr>
        <w:t>8.4</w:t>
      </w:r>
      <w:r>
        <w:rPr>
          <w:rFonts w:ascii="Arial" w:eastAsia="Arial MT" w:hAnsi="Arial" w:cs="Arial"/>
          <w:bCs/>
          <w:iCs/>
          <w:sz w:val="24"/>
          <w:szCs w:val="24"/>
          <w:lang w:val="es-ES"/>
        </w:rPr>
        <w:fldChar w:fldCharType="end"/>
      </w:r>
      <w:r>
        <w:rPr>
          <w:rFonts w:ascii="Arial" w:eastAsia="Arial MT" w:hAnsi="Arial" w:cs="Arial"/>
          <w:bCs/>
          <w:iCs/>
          <w:sz w:val="24"/>
          <w:szCs w:val="24"/>
          <w:lang w:val="es-ES"/>
        </w:rPr>
        <w:t xml:space="preserve"> </w:t>
      </w:r>
      <w:r w:rsidRPr="00C63186">
        <w:rPr>
          <w:rFonts w:ascii="Arial" w:eastAsia="Arial MT" w:hAnsi="Arial" w:cs="Arial"/>
          <w:bCs/>
          <w:iCs/>
          <w:sz w:val="24"/>
          <w:szCs w:val="24"/>
          <w:lang w:val="es-ES"/>
        </w:rPr>
        <w:t>de este Manual y a las disposiciones contendidas en el Decreto 2236 de 2023 y aquellas que reglamenten las mismas.</w:t>
      </w:r>
    </w:p>
    <w:p w14:paraId="59A787F9" w14:textId="77777777" w:rsidR="002F41A8" w:rsidRPr="00C63186" w:rsidRDefault="002F41A8" w:rsidP="008E39FD">
      <w:pPr>
        <w:spacing w:after="0"/>
        <w:jc w:val="both"/>
        <w:rPr>
          <w:rFonts w:ascii="Arial" w:eastAsia="Arial MT" w:hAnsi="Arial" w:cs="Arial"/>
          <w:bCs/>
          <w:iCs/>
          <w:sz w:val="24"/>
          <w:szCs w:val="24"/>
          <w:lang w:val="es-ES"/>
        </w:rPr>
      </w:pPr>
    </w:p>
    <w:p w14:paraId="0B1833E0" w14:textId="77777777" w:rsidR="002F41A8" w:rsidRPr="00C63186" w:rsidRDefault="002F41A8" w:rsidP="008E39FD">
      <w:pPr>
        <w:spacing w:after="0"/>
        <w:jc w:val="both"/>
        <w:rPr>
          <w:rFonts w:ascii="Arial" w:eastAsia="Arial MT" w:hAnsi="Arial" w:cs="Arial"/>
          <w:iCs/>
          <w:sz w:val="24"/>
          <w:szCs w:val="24"/>
          <w:lang w:val="es-ES"/>
        </w:rPr>
      </w:pPr>
      <w:r w:rsidRPr="00C63186">
        <w:rPr>
          <w:rFonts w:ascii="Arial" w:eastAsia="Arial MT" w:hAnsi="Arial" w:cs="Arial"/>
          <w:b/>
          <w:iCs/>
          <w:sz w:val="24"/>
          <w:szCs w:val="24"/>
          <w:lang w:val="es-ES"/>
        </w:rPr>
        <w:t xml:space="preserve">Nota Especial 2: </w:t>
      </w:r>
      <w:r w:rsidRPr="00C63186">
        <w:rPr>
          <w:rFonts w:ascii="Arial" w:eastAsia="Arial MT" w:hAnsi="Arial" w:cs="Arial"/>
          <w:iCs/>
          <w:sz w:val="24"/>
          <w:szCs w:val="24"/>
          <w:lang w:val="es-ES"/>
        </w:rPr>
        <w:t xml:space="preserve">La asignación de recursos se realizará según la prioridad establecida por FONENERGÍA para los proyectos y la disponibilidad de los recursos </w:t>
      </w:r>
      <w:r w:rsidRPr="00C63186">
        <w:rPr>
          <w:rFonts w:ascii="Arial" w:eastAsia="Arial MT" w:hAnsi="Arial" w:cs="Arial"/>
          <w:bCs/>
          <w:iCs/>
          <w:sz w:val="24"/>
          <w:szCs w:val="24"/>
          <w:lang w:val="es-ES"/>
        </w:rPr>
        <w:t xml:space="preserve">en cada vigencia fiscal asignada </w:t>
      </w:r>
      <w:r w:rsidRPr="00C63186">
        <w:rPr>
          <w:rFonts w:ascii="Arial" w:eastAsia="Arial MT" w:hAnsi="Arial" w:cs="Arial"/>
          <w:iCs/>
          <w:sz w:val="24"/>
          <w:szCs w:val="24"/>
          <w:lang w:val="es-ES"/>
        </w:rPr>
        <w:t>en el proyecto de inversión debidamente aprobado por el DNP.</w:t>
      </w:r>
    </w:p>
    <w:p w14:paraId="3A8AD8BD" w14:textId="77777777" w:rsidR="002F41A8" w:rsidRPr="00C63186" w:rsidRDefault="002F41A8" w:rsidP="00B03685">
      <w:pPr>
        <w:widowControl w:val="0"/>
        <w:suppressAutoHyphens w:val="0"/>
        <w:autoSpaceDE w:val="0"/>
        <w:autoSpaceDN w:val="0"/>
        <w:spacing w:after="0"/>
        <w:jc w:val="both"/>
        <w:rPr>
          <w:rFonts w:ascii="Arial" w:eastAsia="Arial MT" w:hAnsi="Arial" w:cs="Arial"/>
          <w:bCs/>
          <w:i/>
          <w:iCs/>
          <w:lang w:val="es-ES"/>
        </w:rPr>
      </w:pPr>
    </w:p>
    <w:p w14:paraId="3643B23C" w14:textId="60F3075E" w:rsidR="002F41A8" w:rsidRPr="00C63186" w:rsidRDefault="00E44755" w:rsidP="00E44755">
      <w:pPr>
        <w:rPr>
          <w:rFonts w:eastAsia="Arial MT" w:cs="Arial"/>
          <w:b/>
          <w:lang w:val="es-ES"/>
        </w:rPr>
      </w:pPr>
      <w:bookmarkStart w:id="212" w:name="_Toc205496223"/>
      <w:bookmarkStart w:id="213" w:name="_Toc219397320"/>
      <w:r w:rsidRPr="00E44755">
        <w:rPr>
          <w:rFonts w:ascii="Arial" w:hAnsi="Arial" w:cs="Arial"/>
          <w:b/>
          <w:bCs/>
          <w:sz w:val="24"/>
          <w:szCs w:val="24"/>
          <w:lang w:val="es-ES"/>
        </w:rPr>
        <w:t xml:space="preserve">IV-1.4 </w:t>
      </w:r>
      <w:r w:rsidR="002F41A8" w:rsidRPr="00E44755">
        <w:rPr>
          <w:rFonts w:ascii="Arial" w:hAnsi="Arial" w:cs="Arial"/>
          <w:b/>
          <w:sz w:val="24"/>
          <w:szCs w:val="24"/>
          <w:lang w:val="es-ES"/>
        </w:rPr>
        <w:t>Activos</w:t>
      </w:r>
      <w:bookmarkEnd w:id="212"/>
      <w:bookmarkEnd w:id="213"/>
    </w:p>
    <w:p w14:paraId="5E1969CF" w14:textId="77777777" w:rsidR="002F41A8" w:rsidRPr="00C63186" w:rsidRDefault="002F41A8" w:rsidP="00B03685">
      <w:pPr>
        <w:widowControl w:val="0"/>
        <w:suppressAutoHyphens w:val="0"/>
        <w:autoSpaceDE w:val="0"/>
        <w:autoSpaceDN w:val="0"/>
        <w:spacing w:after="0"/>
        <w:jc w:val="both"/>
        <w:rPr>
          <w:rFonts w:ascii="Arial" w:eastAsia="Arial MT" w:hAnsi="Arial" w:cs="Arial"/>
          <w:iCs/>
          <w:sz w:val="24"/>
          <w:szCs w:val="24"/>
          <w:lang w:val="es-ES"/>
        </w:rPr>
      </w:pPr>
      <w:r w:rsidRPr="00C63186">
        <w:rPr>
          <w:rFonts w:ascii="Arial" w:eastAsia="Arial MT" w:hAnsi="Arial" w:cs="Arial"/>
          <w:iCs/>
          <w:sz w:val="24"/>
          <w:szCs w:val="24"/>
          <w:lang w:val="es-ES"/>
        </w:rPr>
        <w:t>Las inversiones en infraestructura con cargo a los recursos del Fondo de Energía Social - FOES, tendrán como titular a la Nación - Ministerio de Minas y Energía en proporción a su aporte.</w:t>
      </w:r>
    </w:p>
    <w:p w14:paraId="0FFD0504" w14:textId="77777777" w:rsidR="002F41A8" w:rsidRPr="00C63186" w:rsidRDefault="002F41A8" w:rsidP="00B03685">
      <w:pPr>
        <w:widowControl w:val="0"/>
        <w:suppressAutoHyphens w:val="0"/>
        <w:autoSpaceDE w:val="0"/>
        <w:autoSpaceDN w:val="0"/>
        <w:spacing w:after="0"/>
        <w:jc w:val="both"/>
        <w:rPr>
          <w:rFonts w:ascii="Arial" w:eastAsia="Arial MT" w:hAnsi="Arial" w:cs="Arial"/>
          <w:bCs/>
          <w:iCs/>
          <w:sz w:val="24"/>
          <w:szCs w:val="24"/>
          <w:lang w:val="es-ES"/>
        </w:rPr>
      </w:pPr>
    </w:p>
    <w:p w14:paraId="78B6239F" w14:textId="6A500C67" w:rsidR="002F41A8" w:rsidRPr="00C63186" w:rsidRDefault="002F41A8" w:rsidP="00B03685">
      <w:pPr>
        <w:widowControl w:val="0"/>
        <w:suppressAutoHyphens w:val="0"/>
        <w:autoSpaceDE w:val="0"/>
        <w:autoSpaceDN w:val="0"/>
        <w:spacing w:after="0"/>
        <w:jc w:val="both"/>
        <w:rPr>
          <w:rFonts w:ascii="Arial" w:eastAsia="Arial MT" w:hAnsi="Arial" w:cs="Arial"/>
          <w:bCs/>
          <w:iCs/>
          <w:sz w:val="24"/>
          <w:szCs w:val="24"/>
          <w:lang w:val="es-ES"/>
        </w:rPr>
      </w:pPr>
      <w:r>
        <w:rPr>
          <w:rFonts w:ascii="Arial" w:eastAsia="Arial MT" w:hAnsi="Arial" w:cs="Arial"/>
          <w:bCs/>
          <w:iCs/>
          <w:sz w:val="24"/>
          <w:szCs w:val="24"/>
          <w:lang w:val="es-ES"/>
        </w:rPr>
        <w:t>De conformidad con lo dispuesto por el artículo 248 de la Ley 2294 de 2023 o aquella norma que la modifique o sustituya, l</w:t>
      </w:r>
      <w:r w:rsidRPr="00C63186">
        <w:rPr>
          <w:rFonts w:ascii="Arial" w:eastAsia="Arial MT" w:hAnsi="Arial" w:cs="Arial"/>
          <w:bCs/>
          <w:iCs/>
          <w:sz w:val="24"/>
          <w:szCs w:val="24"/>
          <w:lang w:val="es-ES"/>
        </w:rPr>
        <w:t xml:space="preserve">os activos que se financien con los recursos del FOES, </w:t>
      </w:r>
      <w:r>
        <w:rPr>
          <w:rFonts w:ascii="Arial" w:eastAsia="Arial MT" w:hAnsi="Arial" w:cs="Arial"/>
          <w:bCs/>
          <w:iCs/>
          <w:sz w:val="24"/>
          <w:szCs w:val="24"/>
          <w:lang w:val="es-ES"/>
        </w:rPr>
        <w:t>serán transferidos a título gratuito a las alcaldías municipales</w:t>
      </w:r>
      <w:r w:rsidRPr="00C63186">
        <w:rPr>
          <w:rFonts w:ascii="Arial" w:eastAsia="Arial MT" w:hAnsi="Arial" w:cs="Arial"/>
          <w:bCs/>
          <w:iCs/>
          <w:sz w:val="24"/>
          <w:szCs w:val="24"/>
          <w:lang w:val="es-ES"/>
        </w:rPr>
        <w:t xml:space="preserve">, </w:t>
      </w:r>
      <w:r>
        <w:rPr>
          <w:rFonts w:ascii="Arial" w:eastAsia="Arial MT" w:hAnsi="Arial" w:cs="Arial"/>
          <w:bCs/>
          <w:iCs/>
          <w:sz w:val="24"/>
          <w:szCs w:val="24"/>
          <w:lang w:val="es-ES"/>
        </w:rPr>
        <w:t>en los términos</w:t>
      </w:r>
      <w:r w:rsidRPr="00C63186">
        <w:rPr>
          <w:rFonts w:ascii="Arial" w:eastAsia="Arial MT" w:hAnsi="Arial" w:cs="Arial"/>
          <w:bCs/>
          <w:iCs/>
          <w:sz w:val="24"/>
          <w:szCs w:val="24"/>
          <w:lang w:val="es-ES"/>
        </w:rPr>
        <w:t xml:space="preserve"> </w:t>
      </w:r>
      <w:r>
        <w:rPr>
          <w:rFonts w:ascii="Arial" w:eastAsia="Arial MT" w:hAnsi="Arial" w:cs="Arial"/>
          <w:bCs/>
          <w:iCs/>
          <w:sz w:val="24"/>
          <w:szCs w:val="24"/>
          <w:lang w:val="es-ES"/>
        </w:rPr>
        <w:t>del</w:t>
      </w:r>
      <w:r w:rsidRPr="00C63186">
        <w:rPr>
          <w:rFonts w:ascii="Arial" w:eastAsia="Arial MT" w:hAnsi="Arial" w:cs="Arial"/>
          <w:bCs/>
          <w:iCs/>
          <w:sz w:val="24"/>
          <w:szCs w:val="24"/>
          <w:lang w:val="es-ES"/>
        </w:rPr>
        <w:t xml:space="preserve"> artículo 87 numeral 9 de la Ley 142 de 1994, o aquella norma que la modifique o sustituya.</w:t>
      </w:r>
    </w:p>
    <w:p w14:paraId="7E817B4D" w14:textId="77777777" w:rsidR="002F41A8" w:rsidRPr="00C63186" w:rsidRDefault="002F41A8" w:rsidP="00B03685">
      <w:pPr>
        <w:pStyle w:val="Textoindependiente"/>
        <w:spacing w:line="276" w:lineRule="auto"/>
        <w:rPr>
          <w:rFonts w:eastAsia="Arial MT" w:cs="Arial"/>
          <w:bCs/>
          <w:iCs/>
          <w:szCs w:val="24"/>
          <w:lang w:val="es-ES"/>
        </w:rPr>
      </w:pPr>
    </w:p>
    <w:p w14:paraId="38D85D6B" w14:textId="10BE4F9C" w:rsidR="00E44755" w:rsidRPr="005A0170" w:rsidRDefault="00E44755" w:rsidP="005A0170">
      <w:pPr>
        <w:pStyle w:val="Ttulo3"/>
        <w:jc w:val="center"/>
      </w:pPr>
      <w:bookmarkStart w:id="214" w:name="_Toc224844400"/>
      <w:r w:rsidRPr="005A0170">
        <w:t xml:space="preserve">CAPÍTULO </w:t>
      </w:r>
      <w:r w:rsidR="00274C89" w:rsidRPr="005A0170">
        <w:t>II</w:t>
      </w:r>
      <w:bookmarkEnd w:id="214"/>
    </w:p>
    <w:p w14:paraId="46F5507A" w14:textId="77777777" w:rsidR="002F41A8" w:rsidRPr="001C39DE" w:rsidRDefault="002F41A8" w:rsidP="001C39DE">
      <w:pPr>
        <w:pStyle w:val="Ttulo4"/>
        <w:ind w:left="864" w:hanging="864"/>
        <w:jc w:val="center"/>
      </w:pPr>
      <w:bookmarkStart w:id="215" w:name="_Toc205496224"/>
      <w:bookmarkStart w:id="216" w:name="_Toc219397321"/>
      <w:bookmarkStart w:id="217" w:name="_Toc224844401"/>
      <w:bookmarkEnd w:id="197"/>
      <w:r w:rsidRPr="001C39DE">
        <w:t>OBRAS POR IMPUESTOS</w:t>
      </w:r>
      <w:bookmarkEnd w:id="215"/>
      <w:bookmarkEnd w:id="216"/>
      <w:bookmarkEnd w:id="217"/>
    </w:p>
    <w:p w14:paraId="4C1D23B3" w14:textId="77777777" w:rsidR="002F41A8" w:rsidRPr="00C63186" w:rsidRDefault="002F41A8" w:rsidP="00B03685">
      <w:pPr>
        <w:pStyle w:val="Textoindependiente"/>
        <w:spacing w:line="276" w:lineRule="auto"/>
        <w:rPr>
          <w:rFonts w:eastAsia="Arial MT" w:cs="Arial"/>
          <w:b/>
          <w:szCs w:val="24"/>
          <w:lang w:val="es-ES"/>
        </w:rPr>
      </w:pPr>
    </w:p>
    <w:p w14:paraId="3D4A5F2B" w14:textId="2950B9BA" w:rsidR="002F41A8" w:rsidRDefault="00274C89" w:rsidP="002E3DB0">
      <w:pPr>
        <w:pStyle w:val="Ttulo5"/>
        <w:spacing w:before="0"/>
        <w:ind w:left="1008" w:hanging="1008"/>
      </w:pPr>
      <w:bookmarkStart w:id="218" w:name="_Toc205496225"/>
      <w:bookmarkStart w:id="219" w:name="_Toc219397322"/>
      <w:bookmarkStart w:id="220" w:name="_Toc224844402"/>
      <w:r w:rsidRPr="00DA0A24">
        <w:t xml:space="preserve">IV-2.1 </w:t>
      </w:r>
      <w:r w:rsidR="002F41A8" w:rsidRPr="00DA0A24">
        <w:t>Antecedentes mecanismo Obras por Impuestos</w:t>
      </w:r>
      <w:bookmarkEnd w:id="218"/>
      <w:bookmarkEnd w:id="219"/>
      <w:bookmarkEnd w:id="220"/>
    </w:p>
    <w:p w14:paraId="7E791612" w14:textId="77777777" w:rsidR="00DA0A24" w:rsidRPr="00DA0A24" w:rsidRDefault="00DA0A24" w:rsidP="002E3DB0">
      <w:pPr>
        <w:spacing w:after="0"/>
      </w:pPr>
    </w:p>
    <w:p w14:paraId="6931C744"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Ley 1819 de 2016</w:t>
      </w:r>
    </w:p>
    <w:p w14:paraId="77F1A93A" w14:textId="77777777" w:rsidR="002F41A8" w:rsidRPr="00C63186" w:rsidRDefault="002F41A8" w:rsidP="00F512C5">
      <w:pPr>
        <w:suppressAutoHyphens w:val="0"/>
        <w:spacing w:after="0"/>
        <w:jc w:val="both"/>
        <w:textAlignment w:val="baseline"/>
        <w:rPr>
          <w:rFonts w:ascii="Arial" w:eastAsia="Times New Roman" w:hAnsi="Arial" w:cs="Arial"/>
          <w:i/>
          <w:iCs/>
          <w:lang w:eastAsia="es-CO"/>
        </w:rPr>
      </w:pPr>
    </w:p>
    <w:p w14:paraId="0CF602F2"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artículo 238, la Ley 1819 de 2016 estableció el concepto “obras por impuestos”, disponiendo:</w:t>
      </w:r>
    </w:p>
    <w:p w14:paraId="54DBAE8B"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0AC3DFEB"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sz w:val="24"/>
          <w:szCs w:val="24"/>
          <w:lang w:eastAsia="es-CO"/>
        </w:rPr>
        <w:t>“</w:t>
      </w:r>
      <w:r w:rsidRPr="00C63186">
        <w:rPr>
          <w:rFonts w:ascii="Arial" w:eastAsia="Times New Roman" w:hAnsi="Arial" w:cs="Arial"/>
          <w:i/>
          <w:iCs/>
          <w:lang w:eastAsia="es-CO"/>
        </w:rPr>
        <w:t xml:space="preserve">Las personas jurídicas contribuyentes del impuesto sobre la renta y complementarios que en el año o período gravable obtengan ingresos brutos iguales o superiores a 33.610 UVT, podrán efectuar el pago hasta del cincuenta por ciento (50%) del impuesto a cargo determinado en la correspondiente declaración de renta, mediante la destinación de dicho valor a la inversión directa en la ejecución de proyectos viabilizados y prioritarios de trascendencia social en los diferentes municipios ubicados en las Zomac, que se encuentren debidamente aprobados por la Agencia para la Renovación del Territorio ART, previo visto bueno del Departamento Nacional de Planeación (DNP), relacionados con el </w:t>
      </w:r>
      <w:r w:rsidRPr="00C63186">
        <w:rPr>
          <w:rFonts w:ascii="Arial" w:eastAsia="Times New Roman" w:hAnsi="Arial" w:cs="Arial"/>
          <w:i/>
          <w:iCs/>
          <w:lang w:eastAsia="es-CO"/>
        </w:rPr>
        <w:lastRenderedPageBreak/>
        <w:t>suministro de agua potable, alcantarillado, energía, salud pública, educación pública o construcción y/o reparación de infraestructura vial…”</w:t>
      </w:r>
    </w:p>
    <w:p w14:paraId="1771F08C"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0925EADA"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Así mismo, señaló el procedimiento que debe seguir el interesado en aplicar tal opción e indicó, entre otros asuntos:</w:t>
      </w:r>
    </w:p>
    <w:p w14:paraId="0EAF6552"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El contribuyente podrá proponer proyectos distintos a los consignados en el Banco de Proyectos, los cuales deberán someterse a la aprobación de la Agencia.</w:t>
      </w:r>
    </w:p>
    <w:p w14:paraId="79CEB023"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La interventoría de la ejecución de la obra estará en cabeza de las entidades nacionales competentes con la obra a desarrollar, las cuales se deberán sujetar a la respectiva reglamentación, la cual, en todo caso, debe contemplar que el valor de la interventoría debe estar incluido dentro del presupuesto general de proyecto que contenga la obra a ejecutar.</w:t>
      </w:r>
    </w:p>
    <w:p w14:paraId="09481525"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La obligación tributaria se extinguirá en la fecha en que se produzca la entrega de la obra totalmente construida y en disposición para su uso y/o funcionamiento junto con la conformidad de la debida satisfacción por parte del Interventor. Lo anterior sin perjuicio de los intereses de mora previstos en el presente artículo.</w:t>
      </w:r>
    </w:p>
    <w:p w14:paraId="2D5FEB9C"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Al mecanismo de pago previsto en el presente artículo podrán acogerse las personas jurídicas que sean deudores de multas, sanciones y otras obligaciones de tipo sancionatorio a favor de entidades públicas del orden nacional.</w:t>
      </w:r>
    </w:p>
    <w:p w14:paraId="53DE77DE"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La financiación de los proyectos podrá efectuarse de manera conjunta por varios contribuyentes, los cuales podrán seleccionar el mecanismo de pago de impuesto de renta o descuento del mismo respecto de los montos aportados de conformidad con lo aquí dispuesto.</w:t>
      </w:r>
    </w:p>
    <w:p w14:paraId="18A96255"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Las empresas dedicadas a la exploración y explotación de minerales y de hidrocarburos, y las calificadas como grandes contribuyentes dedicadas a la actividad portuaria por concesión legalmente otorgada, podrán acogerse al mecanismo de pago previsto en este artículo, para lo cual deberán cumplir con todos los requisitos legales y reglamentarios establecidos.</w:t>
      </w:r>
    </w:p>
    <w:p w14:paraId="352E12D3"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Para tal efecto, se dará prioridad a los proyectos que hayan de ejecutarse en los municipios ubicados en la ZOMAC que coincidan con aquellos en donde se desarrollen planes de Planes de Desarrollo con Enfoque Territorial (PDET).</w:t>
      </w:r>
    </w:p>
    <w:p w14:paraId="4394E81E"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El término de prescripción de la acción de cobro a que se refiere el artículo </w:t>
      </w:r>
      <w:hyperlink r:id="rId19" w:anchor="817" w:history="1">
        <w:r w:rsidRPr="00C63186">
          <w:rPr>
            <w:rFonts w:ascii="Arial" w:eastAsia="Times New Roman" w:hAnsi="Arial" w:cs="Arial"/>
            <w:i/>
            <w:iCs/>
            <w:u w:val="single"/>
            <w:lang w:eastAsia="es-CO"/>
          </w:rPr>
          <w:t>817</w:t>
        </w:r>
      </w:hyperlink>
      <w:r w:rsidRPr="00C63186">
        <w:rPr>
          <w:rFonts w:ascii="Arial" w:eastAsia="Times New Roman" w:hAnsi="Arial" w:cs="Arial"/>
          <w:i/>
          <w:iCs/>
          <w:lang w:eastAsia="es-CO"/>
        </w:rPr>
        <w:t> del Estatuto Tributario, para las obligaciones tributarias de los contribuyentes que opten por la forma de pago de “Obras por impuestos” establecida en el presente artículo, se interrumpirá a partir de la comunicación de aprobación de la postulación que envía la Agencia de Renovación del Territorio (ART) al contribuyente y a la DIAN.</w:t>
      </w:r>
    </w:p>
    <w:p w14:paraId="42999AF8"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Los contribuyentes podrán optar por el mecanismo de obras por impuestos previsto en el presente artículo, o por el establecido en el artículo </w:t>
      </w:r>
      <w:hyperlink r:id="rId20" w:anchor="800-1" w:history="1">
        <w:r w:rsidRPr="00C63186">
          <w:rPr>
            <w:rFonts w:ascii="Arial" w:eastAsia="Times New Roman" w:hAnsi="Arial" w:cs="Arial"/>
            <w:i/>
            <w:iCs/>
            <w:u w:val="single"/>
            <w:lang w:eastAsia="es-CO"/>
          </w:rPr>
          <w:t>800-1</w:t>
        </w:r>
      </w:hyperlink>
      <w:r w:rsidRPr="00C63186">
        <w:rPr>
          <w:rFonts w:ascii="Arial" w:eastAsia="Times New Roman" w:hAnsi="Arial" w:cs="Arial"/>
          <w:i/>
          <w:iCs/>
          <w:lang w:eastAsia="es-CO"/>
        </w:rPr>
        <w:t> del Estatuto Tributario.</w:t>
      </w:r>
    </w:p>
    <w:p w14:paraId="19DAEE4B"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El mecanismo de pago de obras por impuestos de que trata el presente Artículo será aplicable en los territorios PDET y ZOMAC del Distrito Especial Industrial Portuario, Biodiverso y Ecoturístico de Buenaventura, siempre y cuando se cumplan las previsiones de que trata el Capítulo II del Decreto Ley </w:t>
      </w:r>
      <w:hyperlink r:id="rId21" w:anchor="INICIO" w:history="1">
        <w:r w:rsidRPr="00C63186">
          <w:rPr>
            <w:rFonts w:ascii="Arial" w:eastAsia="Times New Roman" w:hAnsi="Arial" w:cs="Arial"/>
            <w:i/>
            <w:iCs/>
            <w:u w:val="single"/>
            <w:lang w:eastAsia="es-CO"/>
          </w:rPr>
          <w:t>893</w:t>
        </w:r>
      </w:hyperlink>
      <w:r w:rsidRPr="00C63186">
        <w:rPr>
          <w:rFonts w:ascii="Arial" w:eastAsia="Times New Roman" w:hAnsi="Arial" w:cs="Arial"/>
          <w:i/>
          <w:iCs/>
          <w:lang w:eastAsia="es-CO"/>
        </w:rPr>
        <w:t xml:space="preserve"> de 2017. </w:t>
      </w:r>
    </w:p>
    <w:p w14:paraId="7EF470AF" w14:textId="77777777" w:rsidR="002F41A8" w:rsidRPr="00C63186" w:rsidRDefault="002F41A8" w:rsidP="008E39FD">
      <w:pPr>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lastRenderedPageBreak/>
        <w:t>Cuando se presenten circunstancias de fuerza mayor, debidamente probadas, que conlleven al incumplimiento definitivo de la entrega de la obra totalmente construida y en disposición para su uso y/o funcionamiento, dentro de los términos inicialmente previstos y/o de los correspondientes a las ampliaciones, la entidad nacional competente expedirá el acto administrativo debidamente motivado que así lo declare, previa comprobación del hecho que configura la circunstancia de fuerza mayor que implica el incumplimiento definitivo y lo notificará al contribuyente y a la fiduciaria, conforme con lo previsto en la Ley </w:t>
      </w:r>
      <w:hyperlink r:id="rId22" w:anchor="0" w:history="1">
        <w:r w:rsidRPr="00C63186">
          <w:rPr>
            <w:rFonts w:ascii="Arial" w:eastAsia="Times New Roman" w:hAnsi="Arial" w:cs="Arial"/>
            <w:i/>
            <w:iCs/>
            <w:u w:val="single"/>
            <w:lang w:eastAsia="es-CO"/>
          </w:rPr>
          <w:t>1437</w:t>
        </w:r>
      </w:hyperlink>
      <w:r w:rsidRPr="00C63186">
        <w:rPr>
          <w:rFonts w:ascii="Arial" w:eastAsia="Times New Roman" w:hAnsi="Arial" w:cs="Arial"/>
          <w:i/>
          <w:iCs/>
          <w:lang w:eastAsia="es-CO"/>
        </w:rPr>
        <w:t> de 2011.</w:t>
      </w:r>
    </w:p>
    <w:p w14:paraId="0293E7AF"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Decreto 1625 de 2016</w:t>
      </w:r>
    </w:p>
    <w:p w14:paraId="7F2BCCA8" w14:textId="77777777" w:rsidR="002F41A8" w:rsidRPr="00C63186" w:rsidRDefault="002F41A8" w:rsidP="00B03685">
      <w:pPr>
        <w:suppressAutoHyphens w:val="0"/>
        <w:spacing w:after="0"/>
        <w:jc w:val="both"/>
        <w:textAlignment w:val="baseline"/>
        <w:rPr>
          <w:rFonts w:ascii="Arial" w:eastAsia="Times New Roman" w:hAnsi="Arial" w:cs="Arial"/>
          <w:b/>
          <w:bCs/>
          <w:sz w:val="24"/>
          <w:szCs w:val="24"/>
          <w:lang w:eastAsia="es-CO"/>
        </w:rPr>
      </w:pPr>
    </w:p>
    <w:p w14:paraId="4E57500E"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El Decreto Único Reglamentario en Materia Tributaria establece en el Título 5 “Formas de Extinguir la Obligación Tributaria en el Mecanismo de Pago – Obras por Impuestos”, todo lo relacionado con los parámetros para su aplicación, señalando, entre otras disposiciones:</w:t>
      </w:r>
    </w:p>
    <w:p w14:paraId="06A6FFC8"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4FAF5533"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Style w:val="Fuerte"/>
          <w:rFonts w:ascii="Arial" w:hAnsi="Arial" w:cs="Arial"/>
          <w:i/>
          <w:iCs/>
        </w:rPr>
        <w:t>Artículo 1.6.5.1.1</w:t>
      </w:r>
      <w:r w:rsidRPr="00C63186">
        <w:rPr>
          <w:rStyle w:val="Fuerte"/>
          <w:rFonts w:ascii="Arial" w:hAnsi="Arial" w:cs="Arial"/>
        </w:rPr>
        <w:t>. </w:t>
      </w:r>
      <w:r w:rsidRPr="00C63186">
        <w:rPr>
          <w:rStyle w:val="nfasis"/>
          <w:rFonts w:ascii="Arial" w:hAnsi="Arial" w:cs="Arial"/>
          <w:b/>
          <w:bCs/>
        </w:rPr>
        <w:t>Obras por impuestos</w:t>
      </w:r>
      <w:r w:rsidRPr="00C63186">
        <w:rPr>
          <w:rFonts w:ascii="Arial" w:hAnsi="Arial" w:cs="Arial"/>
          <w:i/>
          <w:iCs/>
        </w:rPr>
        <w:t>. El mecanismo de pago - Obras por Impuestos de que trata el artículo 238 de la Ley 1819 de 2016 es un modo de extinguir las obligaciones tributarias del impuesto sobre la renta y complementario, a través de la inversión directa por parte del contribuyente en la ejecución de proyectos de trascendencia social en las Zonas Más Afectadas por el Conflicto Armado (Zomac).  </w:t>
      </w:r>
      <w:r w:rsidRPr="00C63186">
        <w:rPr>
          <w:rFonts w:ascii="Arial" w:eastAsia="Times New Roman" w:hAnsi="Arial" w:cs="Arial"/>
          <w:i/>
          <w:iCs/>
          <w:lang w:eastAsia="es-CO"/>
        </w:rPr>
        <w:t xml:space="preserve">  </w:t>
      </w:r>
    </w:p>
    <w:p w14:paraId="1464728D"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6C8B49B6"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Título 6 “Obras por Impuestos del artículo 800-1 del Estatuto Tributario” adicionado por el Decreto 1147 de 2020, también se establecen directrices para la aplicación de tal mecanismo, mencionando entre otras, en el Parágrafo del artículo 1.6.5.3.5.3.:</w:t>
      </w:r>
    </w:p>
    <w:p w14:paraId="3697B7B0"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756EBC6B" w14:textId="77777777" w:rsidR="002F41A8" w:rsidRPr="00C63186" w:rsidRDefault="002F41A8" w:rsidP="00B03685">
      <w:pPr>
        <w:suppressAutoHyphens w:val="0"/>
        <w:spacing w:after="0"/>
        <w:ind w:left="567"/>
        <w:jc w:val="both"/>
        <w:textAlignment w:val="baseline"/>
        <w:rPr>
          <w:rFonts w:ascii="Segoe UI" w:eastAsia="Times New Roman" w:hAnsi="Segoe UI" w:cs="Segoe UI"/>
          <w:sz w:val="18"/>
          <w:szCs w:val="18"/>
          <w:lang w:eastAsia="es-CO"/>
        </w:rPr>
      </w:pPr>
      <w:r w:rsidRPr="00C63186">
        <w:rPr>
          <w:rFonts w:ascii="Arial" w:eastAsia="Times New Roman" w:hAnsi="Arial" w:cs="Arial"/>
          <w:i/>
          <w:iCs/>
          <w:lang w:eastAsia="es-CO"/>
        </w:rPr>
        <w:t>Las entidades nacionales competentes deberán reglamentar mediante resolución los criterios, requisitos y estándares mínimos que deberán cumplir las obras para ser recibidas</w:t>
      </w:r>
      <w:r w:rsidRPr="00C63186">
        <w:rPr>
          <w:rFonts w:ascii="Arial" w:eastAsia="Times New Roman" w:hAnsi="Arial" w:cs="Arial"/>
          <w:sz w:val="24"/>
          <w:szCs w:val="24"/>
          <w:lang w:eastAsia="es-CO"/>
        </w:rPr>
        <w:t>. </w:t>
      </w:r>
    </w:p>
    <w:p w14:paraId="343F3AC6"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78BE98F7"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Decreto 1915 de 2017</w:t>
      </w:r>
    </w:p>
    <w:p w14:paraId="42FF302B"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p>
    <w:p w14:paraId="52E7C5F3"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Esta disposición que adicionó el Título 5 de la Parte 6 del Libro 1 del Decreto Único Reglamentario en materia tributaria 1625 de 2016, reglamentando el artículo 238 de la Ley 1819 de 2016, estableció parámetros generales orientadores en la aplicación del concepto “obras por impuestos”, indicando en el artículo 1.6.5.2.3. que la entidad competente frente a los proyectos de energía es el Ministerio de Minas y Energía, para lo cual podrá “ejercer directamente o delegar en las entidades adscritas o vinculadas las funciones…” de que trata el Decreto 1915 de 2017.</w:t>
      </w:r>
    </w:p>
    <w:p w14:paraId="20A1DD70"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7CB8C336"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artículo 1.6.5.3.1. adoptó el siguiente procedimiento para el desarrollo de las Obras por Impuestos:</w:t>
      </w:r>
    </w:p>
    <w:p w14:paraId="5725F14B" w14:textId="77777777" w:rsidR="002F41A8" w:rsidRPr="00C63186" w:rsidRDefault="002F41A8" w:rsidP="00B03685">
      <w:pPr>
        <w:suppressAutoHyphens w:val="0"/>
        <w:spacing w:after="0"/>
        <w:ind w:left="1134"/>
        <w:jc w:val="both"/>
        <w:textAlignment w:val="baseline"/>
        <w:rPr>
          <w:rFonts w:ascii="Arial" w:eastAsia="Times New Roman" w:hAnsi="Arial" w:cs="Arial"/>
          <w:lang w:eastAsia="es-CO"/>
        </w:rPr>
      </w:pPr>
    </w:p>
    <w:p w14:paraId="65A69BB1" w14:textId="77777777" w:rsidR="002F41A8" w:rsidRPr="00C63186" w:rsidRDefault="002F41A8" w:rsidP="008E39FD">
      <w:pPr>
        <w:shd w:val="clear" w:color="auto" w:fill="FFFFFF"/>
        <w:suppressAutoHyphens w:val="0"/>
        <w:spacing w:after="0"/>
        <w:ind w:left="567"/>
        <w:jc w:val="both"/>
        <w:rPr>
          <w:rFonts w:ascii="Tahoma" w:eastAsia="Times New Roman" w:hAnsi="Tahoma" w:cs="Tahoma"/>
          <w:sz w:val="24"/>
          <w:szCs w:val="24"/>
          <w:lang w:eastAsia="es-CO"/>
        </w:rPr>
      </w:pPr>
      <w:r w:rsidRPr="00C63186">
        <w:rPr>
          <w:rFonts w:ascii="Arial" w:eastAsia="Times New Roman" w:hAnsi="Arial" w:cs="Arial"/>
          <w:sz w:val="24"/>
          <w:szCs w:val="24"/>
          <w:lang w:val="es-ES" w:eastAsia="es-CO"/>
        </w:rPr>
        <w:t>1. Presentación y revisión de iniciativas o proyectos propuestos.</w:t>
      </w:r>
    </w:p>
    <w:p w14:paraId="486B4C65" w14:textId="208011DF" w:rsidR="002F41A8" w:rsidRPr="00C63186" w:rsidRDefault="002F41A8" w:rsidP="008E39FD">
      <w:pPr>
        <w:shd w:val="clear" w:color="auto" w:fill="FFFFFF"/>
        <w:suppressAutoHyphens w:val="0"/>
        <w:spacing w:after="0"/>
        <w:ind w:left="567"/>
        <w:jc w:val="both"/>
        <w:rPr>
          <w:rFonts w:ascii="Tahoma" w:eastAsia="Times New Roman" w:hAnsi="Tahoma" w:cs="Tahoma"/>
          <w:sz w:val="24"/>
          <w:szCs w:val="24"/>
          <w:lang w:eastAsia="es-CO"/>
        </w:rPr>
      </w:pPr>
      <w:r w:rsidRPr="00C63186">
        <w:rPr>
          <w:rFonts w:ascii="Arial" w:eastAsia="Times New Roman" w:hAnsi="Arial" w:cs="Arial"/>
          <w:sz w:val="24"/>
          <w:szCs w:val="24"/>
          <w:lang w:val="es-ES" w:eastAsia="es-CO"/>
        </w:rPr>
        <w:t>2. Estructuración, evaluación y registro en el banco de proyectos.</w:t>
      </w:r>
    </w:p>
    <w:p w14:paraId="60C6E554" w14:textId="77777777" w:rsidR="002F41A8" w:rsidRPr="00C63186" w:rsidRDefault="002F41A8" w:rsidP="008E39FD">
      <w:pPr>
        <w:shd w:val="clear" w:color="auto" w:fill="FFFFFF"/>
        <w:suppressAutoHyphens w:val="0"/>
        <w:spacing w:after="0"/>
        <w:ind w:left="567"/>
        <w:jc w:val="both"/>
        <w:rPr>
          <w:rFonts w:ascii="Tahoma" w:eastAsia="Times New Roman" w:hAnsi="Tahoma" w:cs="Tahoma"/>
          <w:sz w:val="24"/>
          <w:szCs w:val="24"/>
          <w:lang w:eastAsia="es-CO"/>
        </w:rPr>
      </w:pPr>
      <w:r w:rsidRPr="00C63186">
        <w:rPr>
          <w:rFonts w:ascii="Arial" w:eastAsia="Times New Roman" w:hAnsi="Arial" w:cs="Arial"/>
          <w:sz w:val="24"/>
          <w:szCs w:val="24"/>
          <w:lang w:val="es-ES" w:eastAsia="es-CO"/>
        </w:rPr>
        <w:t>3. Selección de proyectos, solicitud y aprobación de su vinculación al pago del impuesto.</w:t>
      </w:r>
    </w:p>
    <w:p w14:paraId="6CC4DD18" w14:textId="77777777" w:rsidR="002F41A8" w:rsidRPr="00C63186" w:rsidRDefault="002F41A8" w:rsidP="008E39FD">
      <w:pPr>
        <w:shd w:val="clear" w:color="auto" w:fill="FFFFFF"/>
        <w:suppressAutoHyphens w:val="0"/>
        <w:spacing w:after="0"/>
        <w:ind w:left="567"/>
        <w:jc w:val="both"/>
        <w:rPr>
          <w:rFonts w:ascii="Tahoma" w:eastAsia="Times New Roman" w:hAnsi="Tahoma" w:cs="Tahoma"/>
          <w:sz w:val="24"/>
          <w:szCs w:val="24"/>
          <w:lang w:eastAsia="es-CO"/>
        </w:rPr>
      </w:pPr>
      <w:r w:rsidRPr="00C63186">
        <w:rPr>
          <w:rFonts w:ascii="Arial" w:eastAsia="Times New Roman" w:hAnsi="Arial" w:cs="Arial"/>
          <w:sz w:val="24"/>
          <w:szCs w:val="24"/>
          <w:lang w:val="es-ES" w:eastAsia="es-CO"/>
        </w:rPr>
        <w:t>4. Constitución de la fiducia y preparación para la ejecución del proyecto.</w:t>
      </w:r>
    </w:p>
    <w:p w14:paraId="034BFCE8" w14:textId="77777777" w:rsidR="002F41A8" w:rsidRPr="00C63186" w:rsidRDefault="002F41A8" w:rsidP="008E39FD">
      <w:pPr>
        <w:shd w:val="clear" w:color="auto" w:fill="FFFFFF"/>
        <w:suppressAutoHyphens w:val="0"/>
        <w:spacing w:after="0"/>
        <w:ind w:left="567"/>
        <w:jc w:val="both"/>
        <w:rPr>
          <w:rFonts w:ascii="Tahoma" w:eastAsia="Times New Roman" w:hAnsi="Tahoma" w:cs="Tahoma"/>
          <w:sz w:val="24"/>
          <w:szCs w:val="24"/>
          <w:lang w:eastAsia="es-CO"/>
        </w:rPr>
      </w:pPr>
      <w:r w:rsidRPr="00C63186">
        <w:rPr>
          <w:rFonts w:ascii="Arial" w:eastAsia="Times New Roman" w:hAnsi="Arial" w:cs="Arial"/>
          <w:sz w:val="24"/>
          <w:szCs w:val="24"/>
          <w:lang w:val="es-ES" w:eastAsia="es-CO"/>
        </w:rPr>
        <w:t>5. Ejecución y entrega del proyecto.</w:t>
      </w:r>
    </w:p>
    <w:p w14:paraId="15320E2D"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3C56892D"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Ley 1943 de 2018</w:t>
      </w:r>
    </w:p>
    <w:p w14:paraId="5ED94FFF"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51DEE2DF"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Este conglomerado normativo había expedido disposiciones para el restablecimiento del equilibrio presupuestal general, introduciendo parámetros relacionados con Obras por Impuestos, pero fue declarado inexequible por la Corte Constitucional mediante Sentencia C-481 de 2019.</w:t>
      </w:r>
    </w:p>
    <w:p w14:paraId="6EB25ACD"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4B5269DA"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lang w:eastAsia="es-CO"/>
        </w:rPr>
      </w:pPr>
      <w:r w:rsidRPr="00C63186">
        <w:rPr>
          <w:rFonts w:ascii="Arial" w:eastAsia="Times New Roman" w:hAnsi="Arial" w:cs="Arial"/>
          <w:b/>
          <w:bCs/>
          <w:sz w:val="24"/>
          <w:szCs w:val="24"/>
          <w:lang w:eastAsia="es-CO"/>
        </w:rPr>
        <w:t>Ley 1955 de 2019</w:t>
      </w:r>
    </w:p>
    <w:p w14:paraId="33B3A1F1" w14:textId="66DB07F0" w:rsidR="002F41A8" w:rsidRPr="00C63186" w:rsidRDefault="002F41A8" w:rsidP="008E39FD">
      <w:pPr>
        <w:suppressAutoHyphens w:val="0"/>
        <w:spacing w:before="100" w:beforeAutospacing="1" w:after="100" w:afterAutospacing="1"/>
        <w:ind w:left="567"/>
        <w:jc w:val="both"/>
        <w:rPr>
          <w:rFonts w:ascii="Arial" w:eastAsia="Times New Roman" w:hAnsi="Arial" w:cs="Arial"/>
          <w:i/>
          <w:iCs/>
          <w:lang w:eastAsia="es-CO"/>
        </w:rPr>
      </w:pPr>
      <w:bookmarkStart w:id="221" w:name="285"/>
      <w:r w:rsidRPr="00C63186">
        <w:rPr>
          <w:rFonts w:ascii="Arial" w:eastAsia="Times New Roman" w:hAnsi="Arial" w:cs="Arial"/>
          <w:b/>
          <w:bCs/>
          <w:i/>
          <w:iCs/>
          <w:lang w:eastAsia="es-CO"/>
        </w:rPr>
        <w:t>ARTÍCULO 285</w:t>
      </w:r>
      <w:r w:rsidR="00396C51">
        <w:rPr>
          <w:rStyle w:val="Refdenotaalpie"/>
          <w:rFonts w:ascii="Arial" w:eastAsia="Times New Roman" w:hAnsi="Arial" w:cs="Arial"/>
          <w:b/>
          <w:bCs/>
          <w:i/>
          <w:iCs/>
          <w:lang w:eastAsia="es-CO"/>
        </w:rPr>
        <w:footnoteReference w:id="36"/>
      </w:r>
      <w:r w:rsidRPr="00C63186">
        <w:rPr>
          <w:rFonts w:ascii="Arial" w:eastAsia="Times New Roman" w:hAnsi="Arial" w:cs="Arial"/>
          <w:b/>
          <w:bCs/>
          <w:i/>
          <w:iCs/>
          <w:lang w:eastAsia="es-CO"/>
        </w:rPr>
        <w:t>. AMPLIACIÓN DE LAS OBRAS POR IMPUESTOS.</w:t>
      </w:r>
      <w:bookmarkEnd w:id="221"/>
      <w:r w:rsidRPr="00C63186">
        <w:rPr>
          <w:rFonts w:ascii="Arial" w:eastAsia="Times New Roman" w:hAnsi="Arial" w:cs="Arial"/>
          <w:i/>
          <w:iCs/>
          <w:lang w:eastAsia="es-CO"/>
        </w:rPr>
        <w:t> El mecanismo dispuesto en el artículo </w:t>
      </w:r>
      <w:hyperlink r:id="rId23" w:anchor="71" w:history="1">
        <w:r w:rsidRPr="00C63186">
          <w:rPr>
            <w:rFonts w:ascii="Arial" w:eastAsia="Times New Roman" w:hAnsi="Arial" w:cs="Arial"/>
            <w:i/>
            <w:iCs/>
            <w:u w:val="single"/>
            <w:lang w:eastAsia="es-CO"/>
          </w:rPr>
          <w:t>71</w:t>
        </w:r>
      </w:hyperlink>
      <w:r w:rsidRPr="00C63186">
        <w:rPr>
          <w:rFonts w:ascii="Arial" w:eastAsia="Times New Roman" w:hAnsi="Arial" w:cs="Arial"/>
          <w:i/>
          <w:iCs/>
          <w:lang w:eastAsia="es-CO"/>
        </w:rPr>
        <w:t> de la Ley 1943 de 2018 se priorizará para beneficiar a los municipios definidos en el Decreto </w:t>
      </w:r>
      <w:hyperlink r:id="rId24" w:anchor="Inicio" w:history="1">
        <w:r w:rsidRPr="00C63186">
          <w:rPr>
            <w:rFonts w:ascii="Arial" w:eastAsia="Times New Roman" w:hAnsi="Arial" w:cs="Arial"/>
            <w:i/>
            <w:iCs/>
            <w:u w:val="single"/>
            <w:lang w:eastAsia="es-CO"/>
          </w:rPr>
          <w:t>893</w:t>
        </w:r>
      </w:hyperlink>
      <w:r w:rsidRPr="00C63186">
        <w:rPr>
          <w:rFonts w:ascii="Arial" w:eastAsia="Times New Roman" w:hAnsi="Arial" w:cs="Arial"/>
          <w:i/>
          <w:iCs/>
          <w:lang w:eastAsia="es-CO"/>
        </w:rPr>
        <w:t> de 2017 o la reglamentación que lo modifique o sustituya.</w:t>
      </w:r>
    </w:p>
    <w:p w14:paraId="0D587AE9" w14:textId="77777777" w:rsidR="002F41A8" w:rsidRPr="00C63186" w:rsidRDefault="002F41A8" w:rsidP="008E39FD">
      <w:pPr>
        <w:suppressAutoHyphens w:val="0"/>
        <w:spacing w:before="100" w:beforeAutospacing="1" w:after="100" w:afterAutospacing="1"/>
        <w:ind w:left="567"/>
        <w:jc w:val="both"/>
        <w:rPr>
          <w:rFonts w:ascii="Arial" w:eastAsia="Times New Roman" w:hAnsi="Arial" w:cs="Arial"/>
          <w:i/>
          <w:iCs/>
          <w:lang w:eastAsia="es-CO"/>
        </w:rPr>
      </w:pPr>
      <w:r w:rsidRPr="00C63186">
        <w:rPr>
          <w:rFonts w:ascii="Arial" w:eastAsia="Times New Roman" w:hAnsi="Arial" w:cs="Arial"/>
          <w:i/>
          <w:iCs/>
          <w:lang w:eastAsia="es-CO"/>
        </w:rPr>
        <w:t>La Agencia de Renovación del Territorio (ART) efectuará una priorización de las iniciativas para conformar el banco de proyectos de que trata el inciso tercero del artículo 71 de la Ley 1943 de 2018, de conformidad con la identificación y priorización que se haya dado en el Plan de Acción para la Trasformación Regional (PATR) o la Hoja de Ruta correspondiente.</w:t>
      </w:r>
    </w:p>
    <w:p w14:paraId="167006C0"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b/>
          <w:bCs/>
          <w:sz w:val="24"/>
          <w:szCs w:val="24"/>
          <w:lang w:eastAsia="es-CO"/>
        </w:rPr>
        <w:t>Ley 2010 de 2019</w:t>
      </w:r>
    </w:p>
    <w:p w14:paraId="62BFBFE0" w14:textId="77777777" w:rsidR="002F41A8" w:rsidRPr="00C63186" w:rsidRDefault="002F41A8" w:rsidP="00B03685">
      <w:pPr>
        <w:suppressAutoHyphens w:val="0"/>
        <w:spacing w:after="0"/>
        <w:ind w:left="360"/>
        <w:jc w:val="both"/>
        <w:textAlignment w:val="baseline"/>
        <w:rPr>
          <w:rFonts w:ascii="Arial" w:eastAsia="Times New Roman" w:hAnsi="Arial" w:cs="Arial"/>
          <w:lang w:eastAsia="es-CO"/>
        </w:rPr>
      </w:pPr>
    </w:p>
    <w:p w14:paraId="7130E331"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artículo 79 la citada Ley adicionó el artículo 800-1 del Estatuto Tributario nacional, estableciendo parámetros relacionados con Obras por Impuestos, entre otros:</w:t>
      </w:r>
    </w:p>
    <w:p w14:paraId="7B88C170"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4871E298" w14:textId="77777777" w:rsidR="002F41A8" w:rsidRPr="00C63186" w:rsidRDefault="002F41A8" w:rsidP="00B320D0">
      <w:pPr>
        <w:pStyle w:val="Prrafodelista"/>
        <w:numPr>
          <w:ilvl w:val="0"/>
          <w:numId w:val="15"/>
        </w:numPr>
        <w:suppressAutoHyphens w:val="0"/>
        <w:spacing w:after="0"/>
        <w:jc w:val="both"/>
        <w:textAlignment w:val="baseline"/>
        <w:rPr>
          <w:rFonts w:ascii="Arial" w:eastAsia="Times New Roman" w:hAnsi="Arial" w:cs="Arial"/>
          <w:lang w:eastAsia="es-CO"/>
        </w:rPr>
      </w:pPr>
      <w:r w:rsidRPr="00C63186">
        <w:rPr>
          <w:rFonts w:ascii="Arial" w:eastAsia="Times New Roman" w:hAnsi="Arial" w:cs="Arial"/>
          <w:lang w:eastAsia="es-CO"/>
        </w:rPr>
        <w:t xml:space="preserve"> </w:t>
      </w:r>
      <w:r w:rsidRPr="00C63186">
        <w:rPr>
          <w:rFonts w:ascii="Arial" w:hAnsi="Arial" w:cs="Arial"/>
        </w:rPr>
        <w:t>Las personas naturales o jurídicas obligadas a llevar contabilidad, contribuyentes del impuesto sobre la renta y complementarios que en el año o período gravable inmediatamente anterior hayan obtenido ingresos brutos iguales o superiores a treinta y tres mil seiscientos diez (33.610) UVT, podrán celebrar convenios con las entidades públicas del nivel nacional, por los que recibirán a cambio títulos negociables para el pago del impuesto sobre la renta, en los términos previstos en la presente disposición</w:t>
      </w:r>
    </w:p>
    <w:p w14:paraId="540EB344" w14:textId="77777777" w:rsidR="002F41A8" w:rsidRPr="00C63186" w:rsidRDefault="002F41A8" w:rsidP="00B03685">
      <w:pPr>
        <w:suppressAutoHyphens w:val="0"/>
        <w:spacing w:after="0"/>
        <w:ind w:left="360"/>
        <w:jc w:val="both"/>
        <w:textAlignment w:val="baseline"/>
        <w:rPr>
          <w:rFonts w:ascii="Arial" w:eastAsia="Times New Roman" w:hAnsi="Arial" w:cs="Arial"/>
          <w:lang w:eastAsia="es-CO"/>
        </w:rPr>
      </w:pPr>
    </w:p>
    <w:p w14:paraId="53000D92" w14:textId="77777777" w:rsidR="002F41A8" w:rsidRPr="00C63186" w:rsidRDefault="002F41A8" w:rsidP="00B320D0">
      <w:pPr>
        <w:pStyle w:val="Prrafodelista"/>
        <w:numPr>
          <w:ilvl w:val="0"/>
          <w:numId w:val="15"/>
        </w:numPr>
        <w:suppressAutoHyphens w:val="0"/>
        <w:spacing w:after="0"/>
        <w:jc w:val="both"/>
        <w:textAlignment w:val="baseline"/>
        <w:rPr>
          <w:rFonts w:ascii="Arial" w:hAnsi="Arial" w:cs="Arial"/>
        </w:rPr>
      </w:pPr>
      <w:r w:rsidRPr="00C63186">
        <w:rPr>
          <w:rFonts w:ascii="Arial" w:hAnsi="Arial" w:cs="Arial"/>
        </w:rPr>
        <w:t>El objeto de los convenios será la inversión directa en la ejecución de proyectos de trascendencia económica y social en los diferentes municipios definidos como las Zonas Más Afectadas por el Conflicto Armado -ZOMAC, relacionados con agua potable y saneamiento básico, energía, salud pública, educación pública, bienes públicos rurales, adaptación al cambio climático y gestión del riesgo, pagos por servicios ambientales, tecnologías de la información y comunicaciones, infraestructura de transporte, infraestructura productiva, infraestructura cultural, infraestructura deportiva y las demás que defina el manual operativo de Obras por Impuestos, todo de conformidad con lo establecido en la evaluación de viabilidad del proyecto.</w:t>
      </w:r>
    </w:p>
    <w:p w14:paraId="44157A06" w14:textId="77777777" w:rsidR="002F41A8" w:rsidRPr="00C63186" w:rsidRDefault="002F41A8" w:rsidP="00B03685">
      <w:pPr>
        <w:suppressAutoHyphens w:val="0"/>
        <w:spacing w:after="0"/>
        <w:jc w:val="both"/>
        <w:textAlignment w:val="baseline"/>
        <w:rPr>
          <w:rFonts w:ascii="Arial" w:hAnsi="Arial" w:cs="Arial"/>
        </w:rPr>
      </w:pPr>
    </w:p>
    <w:p w14:paraId="06F705CF"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hAnsi="Arial" w:cs="Arial"/>
          <w:sz w:val="24"/>
          <w:szCs w:val="24"/>
        </w:rPr>
        <w:t>El citado artículo también dispuso que para el desarrollo del mecanismo Obras por Impuestos se tendrá en cuenta el siguiente procedimiento:</w:t>
      </w:r>
    </w:p>
    <w:p w14:paraId="4DA69091"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p>
    <w:p w14:paraId="0A04F7A0" w14:textId="77777777" w:rsidR="002F41A8" w:rsidRPr="00C63186" w:rsidRDefault="002F41A8" w:rsidP="00B320D0">
      <w:pPr>
        <w:pStyle w:val="Prrafodelista"/>
        <w:numPr>
          <w:ilvl w:val="0"/>
          <w:numId w:val="16"/>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Manifestación de interés por parte del contribuyente.</w:t>
      </w:r>
    </w:p>
    <w:p w14:paraId="7B9C6CA5" w14:textId="77777777" w:rsidR="002F41A8" w:rsidRPr="00C63186" w:rsidRDefault="002F41A8" w:rsidP="00B320D0">
      <w:pPr>
        <w:pStyle w:val="Prrafodelista"/>
        <w:numPr>
          <w:ilvl w:val="0"/>
          <w:numId w:val="16"/>
        </w:numPr>
        <w:suppressAutoHyphens w:val="0"/>
        <w:spacing w:after="0"/>
        <w:jc w:val="both"/>
        <w:textAlignment w:val="baseline"/>
        <w:rPr>
          <w:rFonts w:ascii="Arial" w:eastAsia="Times New Roman" w:hAnsi="Arial" w:cs="Arial"/>
          <w:sz w:val="24"/>
          <w:szCs w:val="24"/>
          <w:lang w:eastAsia="es-CO"/>
        </w:rPr>
      </w:pPr>
      <w:r w:rsidRPr="00C63186">
        <w:rPr>
          <w:rFonts w:ascii="Arial" w:hAnsi="Arial" w:cs="Arial"/>
          <w:sz w:val="24"/>
          <w:szCs w:val="24"/>
        </w:rPr>
        <w:lastRenderedPageBreak/>
        <w:t>Estructuración de iniciativas por parte del Contribuyente, previa aprobación de la entidad nacional competente.</w:t>
      </w:r>
    </w:p>
    <w:p w14:paraId="3B00E6A2" w14:textId="77777777" w:rsidR="002F41A8" w:rsidRPr="00C63186" w:rsidRDefault="002F41A8" w:rsidP="00B320D0">
      <w:pPr>
        <w:pStyle w:val="Prrafodelista"/>
        <w:numPr>
          <w:ilvl w:val="0"/>
          <w:numId w:val="16"/>
        </w:numPr>
        <w:suppressAutoHyphens w:val="0"/>
        <w:spacing w:after="0"/>
        <w:jc w:val="both"/>
        <w:textAlignment w:val="baseline"/>
        <w:rPr>
          <w:rFonts w:ascii="Arial" w:eastAsia="Times New Roman" w:hAnsi="Arial" w:cs="Arial"/>
          <w:sz w:val="24"/>
          <w:szCs w:val="24"/>
          <w:lang w:eastAsia="es-CO"/>
        </w:rPr>
      </w:pPr>
      <w:r w:rsidRPr="00C63186">
        <w:rPr>
          <w:rFonts w:ascii="Arial" w:hAnsi="Arial" w:cs="Arial"/>
          <w:sz w:val="24"/>
          <w:szCs w:val="24"/>
        </w:rPr>
        <w:t>Viabilización de iniciativas por parte de la entidad nacional competente y el DNP.</w:t>
      </w:r>
    </w:p>
    <w:p w14:paraId="2C9CB5E3" w14:textId="77777777" w:rsidR="002F41A8" w:rsidRPr="00C63186" w:rsidRDefault="002F41A8" w:rsidP="00B320D0">
      <w:pPr>
        <w:pStyle w:val="Prrafodelista"/>
        <w:numPr>
          <w:ilvl w:val="0"/>
          <w:numId w:val="16"/>
        </w:numPr>
        <w:suppressAutoHyphens w:val="0"/>
        <w:spacing w:after="0"/>
        <w:jc w:val="both"/>
        <w:textAlignment w:val="baseline"/>
        <w:rPr>
          <w:rFonts w:ascii="Arial" w:eastAsia="Times New Roman" w:hAnsi="Arial" w:cs="Arial"/>
          <w:sz w:val="24"/>
          <w:szCs w:val="24"/>
          <w:lang w:eastAsia="es-CO"/>
        </w:rPr>
      </w:pPr>
      <w:r w:rsidRPr="00C63186">
        <w:rPr>
          <w:rFonts w:ascii="Arial" w:hAnsi="Arial" w:cs="Arial"/>
          <w:sz w:val="24"/>
          <w:szCs w:val="24"/>
        </w:rPr>
        <w:t>Aprobación para la suscripción del convenio.</w:t>
      </w:r>
    </w:p>
    <w:p w14:paraId="12FA818F" w14:textId="77777777" w:rsidR="002F41A8" w:rsidRPr="00C63186" w:rsidRDefault="002F41A8" w:rsidP="00B320D0">
      <w:pPr>
        <w:pStyle w:val="Prrafodelista"/>
        <w:numPr>
          <w:ilvl w:val="0"/>
          <w:numId w:val="16"/>
        </w:numPr>
        <w:suppressAutoHyphens w:val="0"/>
        <w:spacing w:after="0"/>
        <w:jc w:val="both"/>
        <w:textAlignment w:val="baseline"/>
        <w:rPr>
          <w:rFonts w:ascii="Arial" w:eastAsia="Times New Roman" w:hAnsi="Arial" w:cs="Arial"/>
          <w:sz w:val="24"/>
          <w:szCs w:val="24"/>
          <w:lang w:eastAsia="es-CO"/>
        </w:rPr>
      </w:pPr>
      <w:r w:rsidRPr="00C63186">
        <w:rPr>
          <w:rFonts w:ascii="Arial" w:hAnsi="Arial" w:cs="Arial"/>
          <w:sz w:val="24"/>
          <w:szCs w:val="24"/>
        </w:rPr>
        <w:t>Suscripción del convenio.</w:t>
      </w:r>
    </w:p>
    <w:p w14:paraId="2F49185A" w14:textId="77777777" w:rsidR="002F41A8" w:rsidRPr="00C63186" w:rsidRDefault="002F41A8" w:rsidP="00B320D0">
      <w:pPr>
        <w:pStyle w:val="Prrafodelista"/>
        <w:numPr>
          <w:ilvl w:val="0"/>
          <w:numId w:val="16"/>
        </w:numPr>
        <w:suppressAutoHyphens w:val="0"/>
        <w:spacing w:after="0"/>
        <w:jc w:val="both"/>
        <w:textAlignment w:val="baseline"/>
        <w:rPr>
          <w:rFonts w:ascii="Arial" w:eastAsia="Times New Roman" w:hAnsi="Arial" w:cs="Arial"/>
          <w:sz w:val="24"/>
          <w:szCs w:val="24"/>
          <w:lang w:eastAsia="es-CO"/>
        </w:rPr>
      </w:pPr>
      <w:r w:rsidRPr="00C63186">
        <w:rPr>
          <w:rFonts w:ascii="Arial" w:hAnsi="Arial" w:cs="Arial"/>
          <w:sz w:val="24"/>
          <w:szCs w:val="24"/>
        </w:rPr>
        <w:t>Reglas del Convenio.</w:t>
      </w:r>
    </w:p>
    <w:p w14:paraId="22380086"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5978E7A0" w14:textId="77777777" w:rsidR="002F41A8" w:rsidRPr="00C63186" w:rsidRDefault="002F41A8" w:rsidP="00B03685">
      <w:pPr>
        <w:suppressAutoHyphens w:val="0"/>
        <w:spacing w:after="0"/>
        <w:jc w:val="both"/>
        <w:textAlignment w:val="baseline"/>
        <w:rPr>
          <w:rFonts w:ascii="Arial" w:hAnsi="Arial" w:cs="Arial"/>
          <w:sz w:val="24"/>
          <w:szCs w:val="24"/>
        </w:rPr>
      </w:pPr>
      <w:r w:rsidRPr="00C63186">
        <w:rPr>
          <w:rFonts w:ascii="Arial" w:hAnsi="Arial" w:cs="Arial"/>
          <w:sz w:val="24"/>
          <w:szCs w:val="24"/>
        </w:rPr>
        <w:t>Adicionalmente el artículo en cuestión adoptó las siguientes determinaciones:</w:t>
      </w:r>
    </w:p>
    <w:p w14:paraId="0E5AC1E4" w14:textId="77777777" w:rsidR="002F41A8" w:rsidRPr="00C63186" w:rsidRDefault="002F41A8" w:rsidP="00B03685">
      <w:pPr>
        <w:suppressAutoHyphens w:val="0"/>
        <w:spacing w:after="0"/>
        <w:jc w:val="both"/>
        <w:textAlignment w:val="baseline"/>
        <w:rPr>
          <w:rFonts w:ascii="Arial" w:hAnsi="Arial" w:cs="Arial"/>
          <w:sz w:val="24"/>
          <w:szCs w:val="24"/>
        </w:rPr>
      </w:pPr>
    </w:p>
    <w:p w14:paraId="4ACCF65C"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hAnsi="Arial" w:cs="Arial"/>
          <w:i/>
          <w:iCs/>
        </w:rPr>
        <w:t>Cualquier ajuste en el proyecto que implique la modificación del convenio de obras por impuestos, deberá ser aprobado por la Entidad Nacional Competente previo visto bueno de la Agencia de Renovación del Territorio -ART y el Departamento Nacional de Planeación -DNP</w:t>
      </w:r>
    </w:p>
    <w:p w14:paraId="3413F98B"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p>
    <w:p w14:paraId="7D592654" w14:textId="77777777" w:rsidR="002F41A8" w:rsidRPr="00C63186" w:rsidRDefault="002F41A8" w:rsidP="008E39FD">
      <w:pPr>
        <w:pStyle w:val="CM68"/>
        <w:spacing w:after="282" w:line="276" w:lineRule="auto"/>
        <w:ind w:left="567"/>
        <w:jc w:val="both"/>
        <w:rPr>
          <w:i/>
          <w:iCs/>
          <w:sz w:val="22"/>
          <w:szCs w:val="22"/>
        </w:rPr>
      </w:pPr>
      <w:r w:rsidRPr="00C63186">
        <w:rPr>
          <w:i/>
          <w:iCs/>
          <w:sz w:val="22"/>
          <w:szCs w:val="22"/>
        </w:rPr>
        <w:t xml:space="preserve">El mecanismo previsto en el presente artículo podrá ser usado de manera conjunta por varios contribuyentes para la realización de un mismo proyecto. </w:t>
      </w:r>
    </w:p>
    <w:p w14:paraId="602066BD" w14:textId="77777777" w:rsidR="002F41A8" w:rsidRPr="00C63186" w:rsidRDefault="002F41A8" w:rsidP="008E39FD">
      <w:pPr>
        <w:pStyle w:val="Default"/>
        <w:spacing w:line="276" w:lineRule="auto"/>
        <w:ind w:left="567"/>
        <w:jc w:val="both"/>
        <w:rPr>
          <w:i/>
          <w:iCs/>
          <w:color w:val="auto"/>
          <w:sz w:val="22"/>
          <w:szCs w:val="22"/>
        </w:rPr>
      </w:pPr>
      <w:r w:rsidRPr="00C63186">
        <w:rPr>
          <w:i/>
          <w:iCs/>
          <w:color w:val="auto"/>
          <w:sz w:val="22"/>
          <w:szCs w:val="22"/>
        </w:rPr>
        <w:t>las empresas dedicadas a la exploración y explotación de minerales e hidrocarburos, y las calificadas como grandes contribuyentes dedicadas a la actividad portuaria, no podrán desarrollar proyectos de infraestructura física que tengan relación de causalidad con su actividad generadora de renta.</w:t>
      </w:r>
    </w:p>
    <w:p w14:paraId="5612552C"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p>
    <w:p w14:paraId="185A6422" w14:textId="77777777" w:rsidR="002F41A8" w:rsidRPr="00C63186" w:rsidRDefault="002F41A8" w:rsidP="008E39FD">
      <w:pPr>
        <w:pStyle w:val="Default"/>
        <w:spacing w:line="276" w:lineRule="auto"/>
        <w:ind w:left="567"/>
        <w:jc w:val="both"/>
        <w:rPr>
          <w:i/>
          <w:iCs/>
          <w:color w:val="auto"/>
          <w:sz w:val="22"/>
          <w:szCs w:val="22"/>
        </w:rPr>
      </w:pPr>
      <w:r w:rsidRPr="00C63186">
        <w:rPr>
          <w:i/>
          <w:iCs/>
          <w:color w:val="auto"/>
          <w:sz w:val="22"/>
          <w:szCs w:val="22"/>
        </w:rPr>
        <w:t>La referencia al mecanismo de obras por impuestos realizada por el artículo 285 de la Ley 1955 de 2019 entiéndase hecha a este artículo 800-1.</w:t>
      </w:r>
    </w:p>
    <w:p w14:paraId="5EC03C73"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0FDBE84A"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Decreto 1147 de 2020</w:t>
      </w:r>
    </w:p>
    <w:p w14:paraId="026B1090"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60672832"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Este Decreto reglamenta el artículo 800-1 del Estatuto Tributario de acuerdo con la modificación que le introdujo el artículo 79 de la Ley 2010 de 2019, para lo cual adicionó el Título 6 a la Parte 6 del Libro 1 del Decreto Único Reglamentario en Materia Tributaria 1625 de 2016, indicando en el artículo 1.6.6.2.1. de éste, que la entidad nacional competente para participar en el mecanismo Obras por Impuestos, en materia de energía, es el Ministerio de Minas y Energía.</w:t>
      </w:r>
    </w:p>
    <w:p w14:paraId="707DF5BB"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2B490989"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El Decreto fija directrices para el desarrollo del mecanismo, entre otros, en lo relacionado con la suscripción del convenio, cesión del mismo, ejecución de los proyectos, gerencia de estos, garantías e interventorías, recibo de las obras.</w:t>
      </w:r>
    </w:p>
    <w:p w14:paraId="2BFF9753"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075D1ABB" w14:textId="77777777" w:rsidR="002F41A8" w:rsidRPr="005C3FF9"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5C3FF9">
        <w:rPr>
          <w:rFonts w:ascii="Arial" w:eastAsia="Times New Roman" w:hAnsi="Arial" w:cs="Arial"/>
          <w:b/>
          <w:bCs/>
          <w:sz w:val="24"/>
          <w:szCs w:val="24"/>
          <w:lang w:eastAsia="es-CO"/>
        </w:rPr>
        <w:t>Resolución conjunta DNP-ART 2411 de 2020</w:t>
      </w:r>
    </w:p>
    <w:p w14:paraId="19D727AA" w14:textId="77777777" w:rsidR="002F41A8" w:rsidRPr="005C3FF9" w:rsidRDefault="002F41A8" w:rsidP="00B03685">
      <w:pPr>
        <w:suppressAutoHyphens w:val="0"/>
        <w:spacing w:after="0"/>
        <w:jc w:val="both"/>
        <w:textAlignment w:val="baseline"/>
        <w:rPr>
          <w:rFonts w:ascii="Arial" w:eastAsia="Times New Roman" w:hAnsi="Arial" w:cs="Arial"/>
          <w:b/>
          <w:bCs/>
          <w:sz w:val="24"/>
          <w:szCs w:val="24"/>
          <w:lang w:eastAsia="es-CO"/>
        </w:rPr>
      </w:pPr>
    </w:p>
    <w:p w14:paraId="6E197348" w14:textId="77777777" w:rsidR="002F41A8" w:rsidRPr="005C3FF9" w:rsidRDefault="002F41A8" w:rsidP="00B03685">
      <w:pPr>
        <w:suppressAutoHyphens w:val="0"/>
        <w:spacing w:after="0"/>
        <w:jc w:val="both"/>
        <w:textAlignment w:val="baseline"/>
        <w:rPr>
          <w:rFonts w:ascii="Arial" w:eastAsia="Times New Roman" w:hAnsi="Arial" w:cs="Arial"/>
          <w:sz w:val="24"/>
          <w:szCs w:val="24"/>
          <w:lang w:eastAsia="es-CO"/>
        </w:rPr>
      </w:pPr>
      <w:r w:rsidRPr="005C3FF9">
        <w:rPr>
          <w:rFonts w:ascii="Arial" w:eastAsia="Times New Roman" w:hAnsi="Arial" w:cs="Arial"/>
          <w:sz w:val="24"/>
          <w:szCs w:val="24"/>
          <w:lang w:eastAsia="es-CO"/>
        </w:rPr>
        <w:t>Este acto administrativo expedido el 12 de noviembre por el Departamento Nacional de Planeación-DNP y la Agencia de Renovación del Territorio-ART, adoptó el Manual Operativo de Obras por Impuestos, el cual es de obligatorio cumplimiento por todos los actores involucrados en la operación y desarrollo de las diferentes etapas de tal mecanismo de extinción de la obligación tributaria. </w:t>
      </w:r>
    </w:p>
    <w:p w14:paraId="616878C8" w14:textId="77777777" w:rsidR="002F41A8" w:rsidRPr="005C3FF9" w:rsidRDefault="002F41A8" w:rsidP="00B03685">
      <w:pPr>
        <w:suppressAutoHyphens w:val="0"/>
        <w:spacing w:after="0"/>
        <w:jc w:val="both"/>
        <w:textAlignment w:val="baseline"/>
        <w:rPr>
          <w:rFonts w:ascii="Arial" w:eastAsia="Times New Roman" w:hAnsi="Arial" w:cs="Arial"/>
          <w:sz w:val="24"/>
          <w:szCs w:val="24"/>
          <w:lang w:eastAsia="es-CO"/>
        </w:rPr>
      </w:pPr>
    </w:p>
    <w:p w14:paraId="7FEE7295" w14:textId="77777777" w:rsidR="002F41A8" w:rsidRDefault="002F41A8" w:rsidP="00B03685">
      <w:pPr>
        <w:suppressAutoHyphens w:val="0"/>
        <w:spacing w:after="0"/>
        <w:jc w:val="both"/>
        <w:textAlignment w:val="baseline"/>
        <w:rPr>
          <w:rFonts w:ascii="Arial" w:eastAsia="Times New Roman" w:hAnsi="Arial" w:cs="Arial"/>
          <w:sz w:val="24"/>
          <w:szCs w:val="24"/>
          <w:lang w:eastAsia="es-CO"/>
        </w:rPr>
      </w:pPr>
      <w:r w:rsidRPr="005C3FF9">
        <w:rPr>
          <w:rFonts w:ascii="Arial" w:eastAsia="Times New Roman" w:hAnsi="Arial" w:cs="Arial"/>
          <w:sz w:val="24"/>
          <w:szCs w:val="24"/>
          <w:lang w:eastAsia="es-CO"/>
        </w:rPr>
        <w:t xml:space="preserve">En dicho documento se indica que la línea de inversión de energía comprende: </w:t>
      </w:r>
      <w:r w:rsidRPr="005C3FF9">
        <w:rPr>
          <w:rFonts w:ascii="Arial" w:eastAsia="Times New Roman" w:hAnsi="Arial" w:cs="Arial"/>
          <w:b/>
          <w:bCs/>
          <w:sz w:val="24"/>
          <w:szCs w:val="24"/>
          <w:lang w:eastAsia="es-CO"/>
        </w:rPr>
        <w:t>i)</w:t>
      </w:r>
      <w:r w:rsidRPr="005C3FF9">
        <w:rPr>
          <w:rFonts w:ascii="Arial" w:eastAsia="Times New Roman" w:hAnsi="Arial" w:cs="Arial"/>
          <w:sz w:val="24"/>
          <w:szCs w:val="24"/>
          <w:lang w:eastAsia="es-CO"/>
        </w:rPr>
        <w:t xml:space="preserve"> la construcción, mejoramiento, optimización o ampliación de la infraestructura eléctrica requerida para el suministro del servicio de energía; </w:t>
      </w:r>
      <w:r w:rsidRPr="005C3FF9">
        <w:rPr>
          <w:rFonts w:ascii="Arial" w:eastAsia="Times New Roman" w:hAnsi="Arial" w:cs="Arial"/>
          <w:b/>
          <w:bCs/>
          <w:sz w:val="24"/>
          <w:szCs w:val="24"/>
          <w:lang w:eastAsia="es-CO"/>
        </w:rPr>
        <w:t xml:space="preserve">ii) </w:t>
      </w:r>
      <w:r w:rsidRPr="005C3FF9">
        <w:rPr>
          <w:rFonts w:ascii="Arial" w:eastAsia="Times New Roman" w:hAnsi="Arial" w:cs="Arial"/>
          <w:sz w:val="24"/>
          <w:szCs w:val="24"/>
          <w:lang w:eastAsia="es-CO"/>
        </w:rPr>
        <w:t xml:space="preserve">la repotenciación, rehabilitación o reposición de infraestructura; y </w:t>
      </w:r>
      <w:r w:rsidRPr="005C3FF9">
        <w:rPr>
          <w:rFonts w:ascii="Arial" w:eastAsia="Times New Roman" w:hAnsi="Arial" w:cs="Arial"/>
          <w:b/>
          <w:bCs/>
          <w:sz w:val="24"/>
          <w:szCs w:val="24"/>
          <w:lang w:eastAsia="es-CO"/>
        </w:rPr>
        <w:t xml:space="preserve">iii) </w:t>
      </w:r>
      <w:r w:rsidRPr="005C3FF9">
        <w:rPr>
          <w:rFonts w:ascii="Arial" w:eastAsia="Times New Roman" w:hAnsi="Arial" w:cs="Arial"/>
          <w:sz w:val="24"/>
          <w:szCs w:val="24"/>
          <w:lang w:eastAsia="es-CO"/>
        </w:rPr>
        <w:t xml:space="preserve">construcción de infraestructura de gas combustible </w:t>
      </w:r>
      <w:r w:rsidRPr="005C3FF9">
        <w:rPr>
          <w:rFonts w:ascii="Arial" w:eastAsia="Times New Roman" w:hAnsi="Arial" w:cs="Arial"/>
          <w:sz w:val="24"/>
          <w:szCs w:val="24"/>
          <w:lang w:eastAsia="es-CO"/>
        </w:rPr>
        <w:lastRenderedPageBreak/>
        <w:t>domiciliario por redes. Esta última línea de inversión sólo aplica para la modalidad de convenio.</w:t>
      </w:r>
      <w:r w:rsidRPr="00C63186">
        <w:rPr>
          <w:rFonts w:ascii="Arial" w:eastAsia="Times New Roman" w:hAnsi="Arial" w:cs="Arial"/>
          <w:sz w:val="24"/>
          <w:szCs w:val="24"/>
          <w:lang w:eastAsia="es-CO"/>
        </w:rPr>
        <w:t> </w:t>
      </w:r>
    </w:p>
    <w:p w14:paraId="3638E92E" w14:textId="77777777" w:rsidR="00062735" w:rsidRDefault="00062735" w:rsidP="00B03685">
      <w:pPr>
        <w:suppressAutoHyphens w:val="0"/>
        <w:spacing w:after="0"/>
        <w:jc w:val="both"/>
        <w:textAlignment w:val="baseline"/>
        <w:rPr>
          <w:rFonts w:ascii="Arial" w:eastAsia="Times New Roman" w:hAnsi="Arial" w:cs="Arial"/>
          <w:sz w:val="24"/>
          <w:szCs w:val="24"/>
          <w:lang w:eastAsia="es-CO"/>
        </w:rPr>
      </w:pPr>
    </w:p>
    <w:p w14:paraId="18797E56" w14:textId="03CD25A6" w:rsidR="005C3FF9" w:rsidRPr="00C63186" w:rsidRDefault="005C3FF9" w:rsidP="00B03685">
      <w:pPr>
        <w:suppressAutoHyphens w:val="0"/>
        <w:spacing w:after="0"/>
        <w:jc w:val="both"/>
        <w:textAlignment w:val="baseline"/>
        <w:rPr>
          <w:rFonts w:ascii="Arial" w:eastAsia="Times New Roman" w:hAnsi="Arial" w:cs="Arial"/>
          <w:sz w:val="24"/>
          <w:szCs w:val="24"/>
          <w:lang w:eastAsia="es-CO"/>
        </w:rPr>
      </w:pPr>
      <w:r w:rsidRPr="005C3FF9">
        <w:rPr>
          <w:rFonts w:ascii="Arial" w:eastAsia="Times New Roman" w:hAnsi="Arial" w:cs="Arial"/>
          <w:sz w:val="24"/>
          <w:szCs w:val="24"/>
          <w:highlight w:val="cyan"/>
          <w:lang w:eastAsia="es-CO"/>
        </w:rPr>
        <w:t>Mencionar actualizaciones del Manual Operativo</w:t>
      </w:r>
    </w:p>
    <w:p w14:paraId="79AECDD7" w14:textId="77777777" w:rsidR="002F41A8" w:rsidRPr="00C63186" w:rsidRDefault="002F41A8" w:rsidP="00B03685">
      <w:pPr>
        <w:suppressAutoHyphens w:val="0"/>
        <w:spacing w:after="0"/>
        <w:ind w:left="567"/>
        <w:jc w:val="both"/>
        <w:textAlignment w:val="baseline"/>
        <w:rPr>
          <w:rFonts w:ascii="Segoe UI" w:eastAsia="Times New Roman" w:hAnsi="Segoe UI" w:cs="Segoe UI"/>
          <w:sz w:val="18"/>
          <w:szCs w:val="18"/>
          <w:lang w:eastAsia="es-CO"/>
        </w:rPr>
      </w:pPr>
    </w:p>
    <w:p w14:paraId="421B99EE"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Decreto 1208 de 2022</w:t>
      </w:r>
    </w:p>
    <w:p w14:paraId="37ED1DCC"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 </w:t>
      </w:r>
    </w:p>
    <w:p w14:paraId="1E9CE8E3"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Este Decreto reglamentó el parágrafo 4 del artículo 238 de la Ley 1819 de 2016, así como el artículo 800-1 del Estatuto Tributario, introduciendo modificaciones al Decreto Único Reglamentario en Materia Tributaria 1625 de 2016.</w:t>
      </w:r>
    </w:p>
    <w:p w14:paraId="049F14C6"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65ECAE45"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mismo se estableció que podrán desarrollarse proyectos en jurisdicciones, que, sin estar localizados en las ZOMAC, resulten estratégicos para la reactivación económica y/o social de éstas o algunas de ellas; proyectos que beneficien los municipios donde se implementan los Programas de Desarrollo con Enfoque Territorial -PDET; los territorios que tengan altos índices de pobreza, los que carezcan total o parcialmente de una infraestructura para la provisión de servicios públicos domiciliarios (servicios de energía, acueducto, alcantarillado, gas, entre otros), o aquellos localizados en las Zonas No Interconectadas. </w:t>
      </w:r>
    </w:p>
    <w:p w14:paraId="43E66BB3"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79BE9BAC"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Decreto 1458 de 2023. </w:t>
      </w:r>
    </w:p>
    <w:p w14:paraId="20671A09" w14:textId="77777777" w:rsidR="002F41A8" w:rsidRPr="00C63186" w:rsidRDefault="002F41A8" w:rsidP="00B03685">
      <w:pPr>
        <w:suppressAutoHyphens w:val="0"/>
        <w:spacing w:after="0"/>
        <w:ind w:left="567"/>
        <w:jc w:val="both"/>
        <w:textAlignment w:val="baseline"/>
        <w:rPr>
          <w:rFonts w:ascii="Segoe UI" w:eastAsia="Times New Roman" w:hAnsi="Segoe UI" w:cs="Segoe UI"/>
          <w:sz w:val="18"/>
          <w:szCs w:val="18"/>
          <w:lang w:eastAsia="es-CO"/>
        </w:rPr>
      </w:pPr>
      <w:r w:rsidRPr="00C63186">
        <w:rPr>
          <w:rFonts w:ascii="Arial" w:eastAsia="Times New Roman" w:hAnsi="Arial" w:cs="Arial"/>
          <w:sz w:val="24"/>
          <w:szCs w:val="24"/>
          <w:lang w:eastAsia="es-CO"/>
        </w:rPr>
        <w:t> </w:t>
      </w:r>
    </w:p>
    <w:p w14:paraId="2E5E8B2F"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Esta disposición introdujo modificaciones al Título 6 del DUR 1625 de 2016, es decir al mecanismo Obras por Impuestos de que trata el artículo 800-1 del Estatuto Tributario. Allí, entre otras determinaciones, indicó: </w:t>
      </w:r>
    </w:p>
    <w:p w14:paraId="7C0E6196"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4EC2BDB0" w14:textId="77777777" w:rsidR="002F41A8" w:rsidRPr="00C63186" w:rsidRDefault="002F41A8" w:rsidP="00B03685">
      <w:pPr>
        <w:suppressAutoHyphens w:val="0"/>
        <w:spacing w:after="0"/>
        <w:ind w:left="567"/>
        <w:jc w:val="both"/>
        <w:textAlignment w:val="baseline"/>
        <w:rPr>
          <w:rFonts w:ascii="Segoe UI" w:eastAsia="Times New Roman" w:hAnsi="Segoe UI" w:cs="Segoe UI"/>
          <w:sz w:val="18"/>
          <w:szCs w:val="18"/>
          <w:lang w:eastAsia="es-CO"/>
        </w:rPr>
      </w:pPr>
      <w:r w:rsidRPr="00C63186">
        <w:rPr>
          <w:rFonts w:ascii="Arial" w:eastAsia="Times New Roman" w:hAnsi="Arial" w:cs="Arial"/>
          <w:i/>
          <w:iCs/>
          <w:sz w:val="21"/>
          <w:szCs w:val="21"/>
          <w:lang w:eastAsia="es-CO"/>
        </w:rPr>
        <w:t xml:space="preserve">Mediante esta opción  del mecanismo  de Obras  por Impuestos  se podrán  financiar  los proyectos  de inversión  viabilizados  y registrados  en el  banco  de proyectos  de  inversión  de  Obras  por Impuestos soportado en el Sistema Unificado de Inversiones  y Finanzas Públicas (SUIFP)  </w:t>
      </w:r>
      <w:r w:rsidRPr="00C63186">
        <w:rPr>
          <w:rFonts w:ascii="Arial" w:eastAsia="Times New Roman" w:hAnsi="Arial" w:cs="Arial"/>
          <w:sz w:val="21"/>
          <w:szCs w:val="21"/>
          <w:lang w:eastAsia="es-CO"/>
        </w:rPr>
        <w:t xml:space="preserve">o </w:t>
      </w:r>
      <w:r w:rsidRPr="00C63186">
        <w:rPr>
          <w:rFonts w:ascii="Arial" w:eastAsia="Times New Roman" w:hAnsi="Arial" w:cs="Arial"/>
          <w:i/>
          <w:iCs/>
          <w:sz w:val="21"/>
          <w:szCs w:val="21"/>
          <w:lang w:eastAsia="es-CO"/>
        </w:rPr>
        <w:t xml:space="preserve">el que haga sus veces, propuestos por los contribuyentes  y las entidades públicas de cualquier nivel, priorizando  los municipios de que trata el Decreto Ley 893 de 2017 </w:t>
      </w:r>
      <w:r w:rsidRPr="00C63186">
        <w:rPr>
          <w:rFonts w:ascii="Times New Roman" w:eastAsia="Times New Roman" w:hAnsi="Times New Roman" w:cs="Times New Roman"/>
          <w:sz w:val="24"/>
          <w:szCs w:val="24"/>
          <w:lang w:eastAsia="es-CO"/>
        </w:rPr>
        <w:t xml:space="preserve">o </w:t>
      </w:r>
      <w:r w:rsidRPr="00C63186">
        <w:rPr>
          <w:rFonts w:ascii="Arial" w:eastAsia="Times New Roman" w:hAnsi="Arial" w:cs="Arial"/>
          <w:i/>
          <w:iCs/>
          <w:sz w:val="21"/>
          <w:szCs w:val="21"/>
          <w:lang w:eastAsia="es-CO"/>
        </w:rPr>
        <w:t xml:space="preserve">la normativa que lo modifique adicione </w:t>
      </w:r>
      <w:r w:rsidRPr="00C63186">
        <w:rPr>
          <w:rFonts w:ascii="Times New Roman" w:eastAsia="Times New Roman" w:hAnsi="Times New Roman" w:cs="Times New Roman"/>
          <w:sz w:val="26"/>
          <w:szCs w:val="26"/>
          <w:lang w:eastAsia="es-CO"/>
        </w:rPr>
        <w:t xml:space="preserve">o </w:t>
      </w:r>
      <w:r w:rsidRPr="00C63186">
        <w:rPr>
          <w:rFonts w:ascii="Arial" w:eastAsia="Times New Roman" w:hAnsi="Arial" w:cs="Arial"/>
          <w:i/>
          <w:iCs/>
          <w:sz w:val="21"/>
          <w:szCs w:val="21"/>
          <w:lang w:eastAsia="es-CO"/>
        </w:rPr>
        <w:t>sustituya.</w:t>
      </w:r>
      <w:r w:rsidRPr="00C63186">
        <w:rPr>
          <w:rFonts w:ascii="Arial" w:eastAsia="Times New Roman" w:hAnsi="Arial" w:cs="Arial"/>
          <w:sz w:val="21"/>
          <w:szCs w:val="21"/>
          <w:lang w:eastAsia="es-CO"/>
        </w:rPr>
        <w:t> </w:t>
      </w:r>
    </w:p>
    <w:p w14:paraId="1FF3EF11" w14:textId="77777777" w:rsidR="002F41A8" w:rsidRPr="00C63186" w:rsidRDefault="002F41A8" w:rsidP="00B03685">
      <w:pPr>
        <w:suppressAutoHyphens w:val="0"/>
        <w:spacing w:after="0"/>
        <w:ind w:left="567"/>
        <w:jc w:val="both"/>
        <w:textAlignment w:val="baseline"/>
        <w:rPr>
          <w:rFonts w:ascii="Segoe UI" w:eastAsia="Times New Roman" w:hAnsi="Segoe UI" w:cs="Segoe UI"/>
          <w:sz w:val="18"/>
          <w:szCs w:val="18"/>
          <w:lang w:eastAsia="es-CO"/>
        </w:rPr>
      </w:pPr>
      <w:r w:rsidRPr="00C63186">
        <w:rPr>
          <w:rFonts w:ascii="Arial" w:eastAsia="Times New Roman" w:hAnsi="Arial" w:cs="Arial"/>
          <w:sz w:val="21"/>
          <w:szCs w:val="21"/>
          <w:lang w:eastAsia="es-CO"/>
        </w:rPr>
        <w:t> </w:t>
      </w:r>
    </w:p>
    <w:p w14:paraId="6C2728C1" w14:textId="77777777" w:rsidR="002F41A8" w:rsidRPr="00C63186" w:rsidRDefault="002F41A8" w:rsidP="00B03685">
      <w:pPr>
        <w:suppressAutoHyphens w:val="0"/>
        <w:spacing w:after="0"/>
        <w:ind w:left="567"/>
        <w:jc w:val="both"/>
        <w:textAlignment w:val="baseline"/>
        <w:rPr>
          <w:rFonts w:ascii="Arial" w:eastAsia="Times New Roman" w:hAnsi="Arial" w:cs="Arial"/>
          <w:i/>
          <w:iCs/>
          <w:sz w:val="21"/>
          <w:szCs w:val="21"/>
          <w:lang w:eastAsia="es-CO"/>
        </w:rPr>
      </w:pPr>
      <w:r w:rsidRPr="00C63186">
        <w:rPr>
          <w:rFonts w:ascii="Arial" w:eastAsia="Times New Roman" w:hAnsi="Arial" w:cs="Arial"/>
          <w:i/>
          <w:iCs/>
          <w:sz w:val="21"/>
          <w:szCs w:val="21"/>
          <w:lang w:eastAsia="es-CO"/>
        </w:rPr>
        <w:t>También se podrán financiar los proyectos de inversión viabilizados y registrados en el Banco de Proyectos de inversión de Obras por Impuestos y que son de trascendencia económica y social en los municipios definidos como las Zonas Más Afectadas por el Conflicto Armado -ZOMAC y proyectos </w:t>
      </w:r>
      <w:r w:rsidRPr="00C63186">
        <w:rPr>
          <w:rFonts w:ascii="Times New Roman" w:eastAsia="Times New Roman" w:hAnsi="Times New Roman" w:cs="Times New Roman"/>
          <w:sz w:val="25"/>
          <w:szCs w:val="25"/>
          <w:lang w:eastAsia="es-CO"/>
        </w:rPr>
        <w:t xml:space="preserve">a </w:t>
      </w:r>
      <w:r w:rsidRPr="00C63186">
        <w:rPr>
          <w:rFonts w:ascii="Arial" w:eastAsia="Times New Roman" w:hAnsi="Arial" w:cs="Arial"/>
          <w:i/>
          <w:iCs/>
          <w:sz w:val="21"/>
          <w:szCs w:val="21"/>
          <w:lang w:eastAsia="es-CO"/>
        </w:rPr>
        <w:t>desarrollar en jurisdicciones, que, sin estar localizados en las ZOMAC, resulten estratégicos para la reactivación económica y/o social de éstas o</w:t>
      </w:r>
      <w:r w:rsidRPr="00C63186">
        <w:rPr>
          <w:rFonts w:ascii="Times New Roman" w:eastAsia="Times New Roman" w:hAnsi="Times New Roman" w:cs="Times New Roman"/>
          <w:sz w:val="26"/>
          <w:szCs w:val="26"/>
          <w:lang w:eastAsia="es-CO"/>
        </w:rPr>
        <w:t xml:space="preserve"> </w:t>
      </w:r>
      <w:r w:rsidRPr="00C63186">
        <w:rPr>
          <w:rFonts w:ascii="Arial" w:eastAsia="Times New Roman" w:hAnsi="Arial" w:cs="Arial"/>
          <w:i/>
          <w:iCs/>
          <w:sz w:val="21"/>
          <w:szCs w:val="21"/>
          <w:lang w:eastAsia="es-CO"/>
        </w:rPr>
        <w:t xml:space="preserve">algunas de ellas…  </w:t>
      </w:r>
    </w:p>
    <w:p w14:paraId="35535C31" w14:textId="77777777" w:rsidR="002F41A8" w:rsidRPr="00C63186" w:rsidRDefault="002F41A8" w:rsidP="00B03685">
      <w:pPr>
        <w:suppressAutoHyphens w:val="0"/>
        <w:spacing w:after="0"/>
        <w:ind w:left="567"/>
        <w:jc w:val="both"/>
        <w:textAlignment w:val="baseline"/>
        <w:rPr>
          <w:rFonts w:ascii="Arial" w:eastAsia="Times New Roman" w:hAnsi="Arial" w:cs="Arial"/>
          <w:i/>
          <w:iCs/>
          <w:sz w:val="21"/>
          <w:szCs w:val="21"/>
          <w:lang w:eastAsia="es-CO"/>
        </w:rPr>
      </w:pPr>
    </w:p>
    <w:p w14:paraId="5A0482D0" w14:textId="77777777" w:rsidR="002F41A8" w:rsidRPr="00C63186" w:rsidRDefault="002F41A8" w:rsidP="00B03685">
      <w:pPr>
        <w:suppressAutoHyphens w:val="0"/>
        <w:spacing w:after="0"/>
        <w:ind w:left="567"/>
        <w:jc w:val="both"/>
        <w:textAlignment w:val="baseline"/>
        <w:rPr>
          <w:rFonts w:ascii="Arial" w:eastAsia="Times New Roman" w:hAnsi="Arial" w:cs="Arial"/>
          <w:sz w:val="21"/>
          <w:szCs w:val="21"/>
          <w:lang w:eastAsia="es-CO"/>
        </w:rPr>
      </w:pPr>
      <w:r w:rsidRPr="00C63186">
        <w:rPr>
          <w:rFonts w:ascii="Arial" w:eastAsia="Times New Roman" w:hAnsi="Arial" w:cs="Arial"/>
          <w:i/>
          <w:iCs/>
          <w:sz w:val="21"/>
          <w:szCs w:val="21"/>
          <w:lang w:eastAsia="es-CO"/>
        </w:rPr>
        <w:t xml:space="preserve">Para el caso de los proyectos cuya ejecución se adelante en jurisdicciones diferentes </w:t>
      </w:r>
      <w:r w:rsidRPr="00C63186">
        <w:rPr>
          <w:rFonts w:ascii="Times New Roman" w:eastAsia="Times New Roman" w:hAnsi="Times New Roman" w:cs="Times New Roman"/>
          <w:sz w:val="24"/>
          <w:szCs w:val="24"/>
          <w:lang w:eastAsia="es-CO"/>
        </w:rPr>
        <w:t xml:space="preserve">a </w:t>
      </w:r>
      <w:r w:rsidRPr="00C63186">
        <w:rPr>
          <w:rFonts w:ascii="Arial" w:eastAsia="Times New Roman" w:hAnsi="Arial" w:cs="Arial"/>
          <w:i/>
          <w:iCs/>
          <w:sz w:val="21"/>
          <w:szCs w:val="21"/>
          <w:lang w:eastAsia="es-CO"/>
        </w:rPr>
        <w:t xml:space="preserve">los municipios que forman parte de las ZOMAC, la Agencia de Renovación del Territorio emitirá concepto en el que </w:t>
      </w:r>
      <w:r w:rsidRPr="00C63186">
        <w:rPr>
          <w:rFonts w:ascii="Arial" w:eastAsia="Times New Roman" w:hAnsi="Arial" w:cs="Arial"/>
          <w:sz w:val="20"/>
          <w:szCs w:val="20"/>
          <w:lang w:eastAsia="es-CO"/>
        </w:rPr>
        <w:t xml:space="preserve">se </w:t>
      </w:r>
      <w:r w:rsidRPr="00C63186">
        <w:rPr>
          <w:rFonts w:ascii="Arial" w:eastAsia="Times New Roman" w:hAnsi="Arial" w:cs="Arial"/>
          <w:i/>
          <w:iCs/>
          <w:sz w:val="21"/>
          <w:szCs w:val="21"/>
          <w:lang w:eastAsia="es-CO"/>
        </w:rPr>
        <w:t xml:space="preserve">establezca si dichos proyectos resultan estratégicos para la reactivación económica y/o social de las Zomac o algunas de ellas, conforme con los criterios y las previsiones que para el efecto se dispongan en el Manual Operativo de Obras por Impuestos, adoptado por el Departamento Nacional de Planeación </w:t>
      </w:r>
      <w:r w:rsidRPr="00C63186">
        <w:rPr>
          <w:rFonts w:ascii="Arial" w:eastAsia="Times New Roman" w:hAnsi="Arial" w:cs="Arial"/>
          <w:sz w:val="21"/>
          <w:szCs w:val="21"/>
          <w:lang w:eastAsia="es-CO"/>
        </w:rPr>
        <w:t xml:space="preserve">- </w:t>
      </w:r>
      <w:r w:rsidRPr="00C63186">
        <w:rPr>
          <w:rFonts w:ascii="Arial" w:eastAsia="Times New Roman" w:hAnsi="Arial" w:cs="Arial"/>
          <w:i/>
          <w:iCs/>
          <w:sz w:val="21"/>
          <w:szCs w:val="21"/>
          <w:lang w:eastAsia="es-CO"/>
        </w:rPr>
        <w:t>DNP y la Agencia de Renovación del Territorio- ART mediante Resolución No. 2411 de/12 de noviembre de 2020</w:t>
      </w:r>
      <w:r w:rsidRPr="00C63186">
        <w:rPr>
          <w:rFonts w:ascii="Arial" w:eastAsia="Times New Roman" w:hAnsi="Arial" w:cs="Arial"/>
          <w:sz w:val="21"/>
          <w:szCs w:val="21"/>
          <w:lang w:eastAsia="es-CO"/>
        </w:rPr>
        <w:t> </w:t>
      </w:r>
    </w:p>
    <w:p w14:paraId="7A1B5C8C" w14:textId="77777777" w:rsidR="002F41A8" w:rsidRPr="00C63186" w:rsidRDefault="002F41A8" w:rsidP="00B03685">
      <w:pPr>
        <w:suppressAutoHyphens w:val="0"/>
        <w:spacing w:after="0"/>
        <w:ind w:left="567"/>
        <w:jc w:val="both"/>
        <w:textAlignment w:val="baseline"/>
        <w:rPr>
          <w:rFonts w:ascii="Segoe UI" w:eastAsia="Times New Roman" w:hAnsi="Segoe UI" w:cs="Segoe UI"/>
          <w:sz w:val="18"/>
          <w:szCs w:val="18"/>
          <w:lang w:eastAsia="es-CO"/>
        </w:rPr>
      </w:pPr>
    </w:p>
    <w:p w14:paraId="06BA51C9" w14:textId="77777777" w:rsidR="002F41A8" w:rsidRPr="00C63186" w:rsidRDefault="002F41A8" w:rsidP="00B320D0">
      <w:pPr>
        <w:pStyle w:val="Prrafodelista"/>
        <w:numPr>
          <w:ilvl w:val="0"/>
          <w:numId w:val="14"/>
        </w:numPr>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Resolución MME 4 0274 de 2021</w:t>
      </w:r>
    </w:p>
    <w:p w14:paraId="34E0474A" w14:textId="77777777" w:rsidR="002F41A8" w:rsidRPr="00C63186" w:rsidRDefault="002F41A8" w:rsidP="00B03685">
      <w:pPr>
        <w:suppressAutoHyphens w:val="0"/>
        <w:spacing w:after="0"/>
        <w:jc w:val="both"/>
        <w:textAlignment w:val="baseline"/>
        <w:rPr>
          <w:rFonts w:ascii="Arial" w:eastAsia="Times New Roman" w:hAnsi="Arial" w:cs="Arial"/>
          <w:b/>
          <w:bCs/>
          <w:sz w:val="24"/>
          <w:szCs w:val="24"/>
          <w:lang w:eastAsia="es-CO"/>
        </w:rPr>
      </w:pPr>
    </w:p>
    <w:p w14:paraId="1B1BAF5C"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lastRenderedPageBreak/>
        <w:t>El Ministerio de Minas y Energía expidió el 20 de agosto de 2021 la citada Resolución en la que estableció el procedimiento para emitir la viabilidad sectorial a proyectos de obras presentados para ser ejecutados mediante el mecanismo Obras por Impuestos.</w:t>
      </w:r>
    </w:p>
    <w:p w14:paraId="10232F39"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30D7462B"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Allí dispuso que el Ministerio de Minas y Energía a través de su Oficina de Planeación, previo pronunciamiento de la respectiva Dirección </w:t>
      </w:r>
      <w:r w:rsidRPr="4276B9CC">
        <w:rPr>
          <w:rFonts w:ascii="Arial" w:eastAsia="Times New Roman" w:hAnsi="Arial" w:cs="Arial"/>
          <w:sz w:val="24"/>
          <w:szCs w:val="24"/>
          <w:lang w:eastAsia="es-CO"/>
        </w:rPr>
        <w:t>Técnica</w:t>
      </w:r>
      <w:r w:rsidRPr="00C63186">
        <w:rPr>
          <w:rFonts w:ascii="Arial" w:eastAsia="Times New Roman" w:hAnsi="Arial" w:cs="Arial"/>
          <w:sz w:val="24"/>
          <w:szCs w:val="24"/>
          <w:lang w:eastAsia="es-CO"/>
        </w:rPr>
        <w:t xml:space="preserve"> emitirá el concepto de pertinencia para que la iniciativa continúe a su etapa de estructuración, evaluación y registro en el Banco de Proyectos de Inversión.</w:t>
      </w:r>
    </w:p>
    <w:p w14:paraId="4DABBCC2"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50752FD9"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También asignó a la Unidad de Planeación Minero Energética</w:t>
      </w:r>
      <w:r w:rsidRPr="4276B9CC">
        <w:rPr>
          <w:rFonts w:ascii="Arial" w:eastAsia="Times New Roman" w:hAnsi="Arial" w:cs="Arial"/>
          <w:sz w:val="24"/>
          <w:szCs w:val="24"/>
          <w:lang w:eastAsia="es-CO"/>
        </w:rPr>
        <w:t xml:space="preserve"> - </w:t>
      </w:r>
      <w:r w:rsidRPr="00C63186">
        <w:rPr>
          <w:rFonts w:ascii="Arial" w:eastAsia="Times New Roman" w:hAnsi="Arial" w:cs="Arial"/>
          <w:sz w:val="24"/>
          <w:szCs w:val="24"/>
          <w:lang w:eastAsia="es-CO"/>
        </w:rPr>
        <w:t>UPME la función de emitir el concepto técnico y financiero de viabilidad sectorial a proyectos de energía eléctrica en el SIN o Gas Combustible domiciliario por redes; y al Instituto de Planificación y Promoción de Soluciones Energéticas a las Zonas No Interconectadas-IPSE para proyectos en las ZNI.   </w:t>
      </w:r>
    </w:p>
    <w:p w14:paraId="3AB97BB6" w14:textId="77777777" w:rsidR="002F41A8" w:rsidRPr="00C63186" w:rsidRDefault="002F41A8" w:rsidP="00B03685">
      <w:pPr>
        <w:suppressAutoHyphens w:val="0"/>
        <w:spacing w:after="0"/>
        <w:jc w:val="both"/>
        <w:textAlignment w:val="baseline"/>
        <w:rPr>
          <w:rFonts w:ascii="Arial" w:eastAsia="Times New Roman" w:hAnsi="Arial" w:cs="Arial"/>
          <w:sz w:val="21"/>
          <w:szCs w:val="21"/>
          <w:lang w:eastAsia="es-CO"/>
        </w:rPr>
      </w:pPr>
    </w:p>
    <w:p w14:paraId="3E8A3645" w14:textId="5F811CD3" w:rsidR="002F41A8" w:rsidRDefault="00274C89" w:rsidP="00F738DB">
      <w:pPr>
        <w:pStyle w:val="Ttulo5"/>
        <w:spacing w:before="0"/>
        <w:ind w:left="1008" w:hanging="1008"/>
      </w:pPr>
      <w:bookmarkStart w:id="222" w:name="_Toc205496226"/>
      <w:bookmarkStart w:id="223" w:name="_Toc219397323"/>
      <w:bookmarkStart w:id="224" w:name="_Toc224844403"/>
      <w:r w:rsidRPr="003334B4">
        <w:t xml:space="preserve">IV-2.2 </w:t>
      </w:r>
      <w:r w:rsidR="002F41A8" w:rsidRPr="003334B4">
        <w:t>Las ZOMAC</w:t>
      </w:r>
      <w:bookmarkEnd w:id="222"/>
      <w:bookmarkEnd w:id="223"/>
      <w:bookmarkEnd w:id="224"/>
    </w:p>
    <w:p w14:paraId="322AC912" w14:textId="77777777" w:rsidR="00F512C5" w:rsidRDefault="00F512C5" w:rsidP="00B03685">
      <w:pPr>
        <w:suppressAutoHyphens w:val="0"/>
        <w:spacing w:after="0"/>
        <w:jc w:val="both"/>
        <w:textAlignment w:val="baseline"/>
        <w:rPr>
          <w:rFonts w:ascii="Arial" w:eastAsia="Times New Roman" w:hAnsi="Arial" w:cs="Arial"/>
          <w:sz w:val="24"/>
          <w:szCs w:val="24"/>
          <w:lang w:eastAsia="es-CO"/>
        </w:rPr>
      </w:pPr>
    </w:p>
    <w:p w14:paraId="5750CF34" w14:textId="0C1FEC55" w:rsidR="002F41A8" w:rsidRPr="00C63186" w:rsidRDefault="00F512C5" w:rsidP="00B03685">
      <w:pPr>
        <w:suppressAutoHyphens w:val="0"/>
        <w:spacing w:after="0"/>
        <w:jc w:val="both"/>
        <w:textAlignment w:val="baseline"/>
        <w:rPr>
          <w:rFonts w:ascii="Arial" w:eastAsia="Times New Roman" w:hAnsi="Arial" w:cs="Arial"/>
          <w:sz w:val="24"/>
          <w:szCs w:val="24"/>
          <w:lang w:eastAsia="es-CO"/>
        </w:rPr>
      </w:pPr>
      <w:r>
        <w:rPr>
          <w:rFonts w:ascii="Arial" w:eastAsia="Times New Roman" w:hAnsi="Arial" w:cs="Arial"/>
          <w:sz w:val="24"/>
          <w:szCs w:val="24"/>
          <w:lang w:eastAsia="es-CO"/>
        </w:rPr>
        <w:t>La Ley 1819 de 2016 artículo 236</w:t>
      </w:r>
      <w:r w:rsidRPr="00F512C5">
        <w:rPr>
          <w:rFonts w:ascii="Arial" w:eastAsia="Times New Roman" w:hAnsi="Arial" w:cs="Arial"/>
          <w:sz w:val="24"/>
          <w:szCs w:val="24"/>
          <w:lang w:eastAsia="es-CO"/>
        </w:rPr>
        <w:t xml:space="preserve"> </w:t>
      </w:r>
      <w:r w:rsidRPr="00C63186">
        <w:rPr>
          <w:rFonts w:ascii="Arial" w:eastAsia="Times New Roman" w:hAnsi="Arial" w:cs="Arial"/>
          <w:sz w:val="24"/>
          <w:szCs w:val="24"/>
          <w:lang w:eastAsia="es-CO"/>
        </w:rPr>
        <w:t>que adoptó una reforma tributaria estructural</w:t>
      </w:r>
      <w:r>
        <w:rPr>
          <w:rFonts w:ascii="Arial" w:eastAsia="Times New Roman" w:hAnsi="Arial" w:cs="Arial"/>
          <w:sz w:val="24"/>
          <w:szCs w:val="24"/>
          <w:lang w:eastAsia="es-CO"/>
        </w:rPr>
        <w:t xml:space="preserve">, estableció el concepto de </w:t>
      </w:r>
      <w:r w:rsidR="002F41A8" w:rsidRPr="00C63186">
        <w:rPr>
          <w:rFonts w:ascii="Arial" w:eastAsia="Times New Roman" w:hAnsi="Arial" w:cs="Arial"/>
          <w:sz w:val="24"/>
          <w:szCs w:val="24"/>
          <w:lang w:eastAsia="es-CO"/>
        </w:rPr>
        <w:t>Zonas Más Afectadas por el Conflicto Armado – ZOMAC</w:t>
      </w:r>
      <w:r>
        <w:rPr>
          <w:rFonts w:ascii="Arial" w:eastAsia="Times New Roman" w:hAnsi="Arial" w:cs="Arial"/>
          <w:sz w:val="24"/>
          <w:szCs w:val="24"/>
          <w:lang w:eastAsia="es-CO"/>
        </w:rPr>
        <w:t>:</w:t>
      </w:r>
    </w:p>
    <w:p w14:paraId="5229EB6F"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7A5F8C98" w14:textId="77777777" w:rsidR="00F512C5" w:rsidRPr="00C63186" w:rsidRDefault="00F512C5" w:rsidP="00F512C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b/>
          <w:bCs/>
          <w:i/>
          <w:iCs/>
          <w:lang w:eastAsia="es-CO"/>
        </w:rPr>
        <w:t>ZOMAC:</w:t>
      </w:r>
      <w:r w:rsidRPr="00C63186">
        <w:rPr>
          <w:rFonts w:ascii="Arial" w:eastAsia="Times New Roman" w:hAnsi="Arial" w:cs="Arial"/>
          <w:i/>
          <w:iCs/>
          <w:lang w:eastAsia="es-CO"/>
        </w:rPr>
        <w:t xml:space="preserve"> son las zonas más afectadas por el conflicto armado. Las ZOMAC están constituidas por el conjunto de municipios que sean considerados como más afectados por el conflicto, definidos para el efecto por el Ministerio de Hacienda, el Departamento Nacional de Planeación y la Agencia de Renovación del Territorio (ART)</w:t>
      </w:r>
    </w:p>
    <w:p w14:paraId="22CFC6F2"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180FEF95"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Anexo 2 del Decreto 1650 de 2017 se fija la metodología para la determinación de las ZOMAC, indicando que se deben considerar las siguientes variables:</w:t>
      </w:r>
    </w:p>
    <w:p w14:paraId="3666ED6A"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25AEBD86"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índice de Pobreza Multidimensional (IPM);</w:t>
      </w:r>
    </w:p>
    <w:p w14:paraId="3BA97221"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índice de Incidencia del Conflicto Armado (IICA); </w:t>
      </w:r>
    </w:p>
    <w:p w14:paraId="6E8C3B85"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Indicador de desempeño fiscal; </w:t>
      </w:r>
    </w:p>
    <w:p w14:paraId="14D44DDD"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distancia a las capitales del departamento; </w:t>
      </w:r>
    </w:p>
    <w:p w14:paraId="2FBBC42B"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aglomeraciones de acuerdo con el sistema de ciudades; </w:t>
      </w:r>
    </w:p>
    <w:p w14:paraId="516177E4"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categorías de ruralidad; y </w:t>
      </w:r>
    </w:p>
    <w:p w14:paraId="2341509A" w14:textId="77777777" w:rsidR="002F41A8" w:rsidRPr="00C63186" w:rsidRDefault="002F41A8" w:rsidP="00B320D0">
      <w:pPr>
        <w:pStyle w:val="Prrafodelista"/>
        <w:numPr>
          <w:ilvl w:val="0"/>
          <w:numId w:val="17"/>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población. </w:t>
      </w:r>
    </w:p>
    <w:p w14:paraId="1BBDF791" w14:textId="77777777" w:rsidR="002F41A8" w:rsidRPr="00C63186" w:rsidRDefault="002F41A8" w:rsidP="00B03685">
      <w:pPr>
        <w:suppressAutoHyphens w:val="0"/>
        <w:spacing w:after="0"/>
        <w:ind w:left="360"/>
        <w:jc w:val="both"/>
        <w:textAlignment w:val="baseline"/>
        <w:rPr>
          <w:rFonts w:ascii="Arial" w:eastAsia="Times New Roman" w:hAnsi="Arial" w:cs="Arial"/>
          <w:sz w:val="24"/>
          <w:szCs w:val="24"/>
          <w:lang w:eastAsia="es-CO"/>
        </w:rPr>
      </w:pPr>
    </w:p>
    <w:p w14:paraId="61CF446C"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Adicionalmente, fueron considerados los Municipios Priorizados en los Programas de Desarrollo con Enfoque Territorial, en adelante PDET, establecidos con el Decreto 893 de 2017.</w:t>
      </w:r>
    </w:p>
    <w:p w14:paraId="6780DFC3"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561537B2"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En el Cuadro 1 del Anexo 2 del Decreto 1650 de 2017 se relacionan los municipios considerados ZOMAC.</w:t>
      </w:r>
    </w:p>
    <w:p w14:paraId="07068B2C"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5D46D40E" w14:textId="08EC3813" w:rsidR="002F41A8" w:rsidRDefault="00274C89" w:rsidP="00F738DB">
      <w:pPr>
        <w:pStyle w:val="Ttulo5"/>
        <w:spacing w:before="0"/>
        <w:ind w:left="1008" w:hanging="1008"/>
      </w:pPr>
      <w:bookmarkStart w:id="225" w:name="_Toc205496227"/>
      <w:bookmarkStart w:id="226" w:name="_Toc219397324"/>
      <w:bookmarkStart w:id="227" w:name="_Toc224844404"/>
      <w:r w:rsidRPr="003334B4">
        <w:t xml:space="preserve">IV-2.3 </w:t>
      </w:r>
      <w:r w:rsidR="002F41A8" w:rsidRPr="003334B4">
        <w:t>Los PDET</w:t>
      </w:r>
      <w:bookmarkEnd w:id="225"/>
      <w:bookmarkEnd w:id="226"/>
      <w:bookmarkEnd w:id="227"/>
    </w:p>
    <w:p w14:paraId="2166B956" w14:textId="77777777" w:rsidR="003334B4" w:rsidRPr="003334B4" w:rsidRDefault="003334B4" w:rsidP="00F738DB">
      <w:pPr>
        <w:spacing w:after="0"/>
      </w:pPr>
    </w:p>
    <w:p w14:paraId="0141F548"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Los Programas de Desarrollo con Enfoque Territorial-PDET son creación del Acuerdo Final para la Terminación del Conflicto y la Construcción de una Paz Estable y Duradera suscrito con la Guerrilla de las FARC, que encontró desarrollo en el Decreto Ley 893 de 2017, expedido con base en el artículo 2 del Acto Legislativo 01 de 2016, el cual otorgó </w:t>
      </w:r>
      <w:r w:rsidRPr="00C63186">
        <w:rPr>
          <w:rFonts w:ascii="Arial" w:eastAsia="Times New Roman" w:hAnsi="Arial" w:cs="Arial"/>
          <w:sz w:val="24"/>
          <w:szCs w:val="24"/>
          <w:lang w:eastAsia="es-CO"/>
        </w:rPr>
        <w:lastRenderedPageBreak/>
        <w:t>facultades extraordinarias y temporales al Presidente de la República para expedir decretos con fuerza de ley tendientes a implementar dicho Acuerdo.</w:t>
      </w:r>
    </w:p>
    <w:p w14:paraId="5A6B769D"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67B24C5C" w14:textId="77777777" w:rsidR="002F41A8" w:rsidRPr="00C63186" w:rsidRDefault="002F41A8" w:rsidP="00B03685">
      <w:pPr>
        <w:suppressAutoHyphens w:val="0"/>
        <w:spacing w:after="0"/>
        <w:jc w:val="both"/>
        <w:textAlignment w:val="baseline"/>
        <w:rPr>
          <w:rFonts w:ascii="Arial" w:eastAsia="Times New Roman" w:hAnsi="Arial" w:cs="Arial"/>
          <w:i/>
          <w:iCs/>
          <w:lang w:eastAsia="es-CO"/>
        </w:rPr>
      </w:pPr>
      <w:r w:rsidRPr="00C63186">
        <w:rPr>
          <w:rFonts w:ascii="Arial" w:eastAsia="Times New Roman" w:hAnsi="Arial" w:cs="Arial"/>
          <w:sz w:val="24"/>
          <w:szCs w:val="24"/>
          <w:lang w:eastAsia="es-CO"/>
        </w:rPr>
        <w:t xml:space="preserve">Este Acuerdo establece que el objetivo de los PDET </w:t>
      </w:r>
      <w:r w:rsidRPr="00C63186">
        <w:rPr>
          <w:rFonts w:ascii="Arial" w:eastAsia="Times New Roman" w:hAnsi="Arial" w:cs="Arial"/>
          <w:i/>
          <w:iCs/>
          <w:lang w:eastAsia="es-CO"/>
        </w:rPr>
        <w:t xml:space="preserve">es lograr la transformación estructural del campo y el ámbito rural, y un relacionamiento equitativo entre el campo y la ciudad, de manera que se asegure: </w:t>
      </w:r>
    </w:p>
    <w:p w14:paraId="3E285D3C" w14:textId="77777777" w:rsidR="002F41A8" w:rsidRPr="00C63186" w:rsidRDefault="002F41A8" w:rsidP="00B03685">
      <w:pPr>
        <w:suppressAutoHyphens w:val="0"/>
        <w:spacing w:after="0"/>
        <w:jc w:val="both"/>
        <w:textAlignment w:val="baseline"/>
        <w:rPr>
          <w:rFonts w:ascii="Arial" w:eastAsia="Times New Roman" w:hAnsi="Arial" w:cs="Arial"/>
          <w:lang w:eastAsia="es-CO"/>
        </w:rPr>
      </w:pPr>
    </w:p>
    <w:p w14:paraId="2D8D8B48"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r w:rsidRPr="00C63186">
        <w:rPr>
          <w:rFonts w:ascii="Arial" w:eastAsia="Times New Roman" w:hAnsi="Arial" w:cs="Arial"/>
          <w:lang w:eastAsia="es-CO"/>
        </w:rPr>
        <w:t xml:space="preserve">• El bienestar y el buen vivir de la población en zonas rurales—niños y niñas, hombres y mujeres— haciendo efectivos sus derechos políticos, económicos, sociales y culturales, y revirtiendo los efectos de la miseria y el conflicto; </w:t>
      </w:r>
    </w:p>
    <w:p w14:paraId="2A2523BF"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p>
    <w:p w14:paraId="6DD92103"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r w:rsidRPr="00C63186">
        <w:rPr>
          <w:rFonts w:ascii="Arial" w:eastAsia="Times New Roman" w:hAnsi="Arial" w:cs="Arial"/>
          <w:lang w:eastAsia="es-CO"/>
        </w:rPr>
        <w:t xml:space="preserve">• La protección de la riqueza pluriétnica y multicultural para que contribuya al conocimiento, a la organización de la vida, a la economía, a la producción y al relacionamiento con la naturaleza; </w:t>
      </w:r>
    </w:p>
    <w:p w14:paraId="3DD46CFF"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p>
    <w:p w14:paraId="196644B0"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r w:rsidRPr="00C63186">
        <w:rPr>
          <w:rFonts w:ascii="Arial" w:eastAsia="Times New Roman" w:hAnsi="Arial" w:cs="Arial"/>
          <w:lang w:eastAsia="es-CO"/>
        </w:rPr>
        <w:t xml:space="preserve">• El desarrollo de la economía campesina y familiar (cooperativa, mutual, comunal, micro empresarial y asociativa solidaria) y de formas propias de producción de las comunidades indígenas, negras, afrodescendientes, raizales y palenqueras, mediante el acceso integral a la tierra y a bienes y servicios productivos y sociales. Los PDET intervendrán con igual énfasis en los espacios interétnicos e interculturales para que avancen efectivamente hacia el desarrollo y la convivencia armónica; </w:t>
      </w:r>
    </w:p>
    <w:p w14:paraId="0365C372"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p>
    <w:p w14:paraId="7207A608" w14:textId="77777777" w:rsidR="002F41A8" w:rsidRDefault="002F41A8" w:rsidP="00B03685">
      <w:pPr>
        <w:suppressAutoHyphens w:val="0"/>
        <w:spacing w:after="0"/>
        <w:ind w:left="567"/>
        <w:jc w:val="both"/>
        <w:textAlignment w:val="baseline"/>
        <w:rPr>
          <w:rFonts w:ascii="Arial" w:eastAsia="Times New Roman" w:hAnsi="Arial" w:cs="Arial"/>
          <w:lang w:eastAsia="es-CO"/>
        </w:rPr>
      </w:pPr>
      <w:r w:rsidRPr="00C63186">
        <w:rPr>
          <w:rFonts w:ascii="Arial" w:eastAsia="Times New Roman" w:hAnsi="Arial" w:cs="Arial"/>
          <w:lang w:eastAsia="es-CO"/>
        </w:rPr>
        <w:t xml:space="preserve">• El desarrollo y la integración de las regiones abandonadas y golpeadas por el conflicto, implementando inversiones públicas progresivas, concertadas con las comunidades, con el fin de lograr la convergencia entre la calidad de vida rural y urbana, y fortalecer los encadenamientos entre la ciudad y el campo; </w:t>
      </w:r>
    </w:p>
    <w:p w14:paraId="4B775011" w14:textId="77777777" w:rsidR="00F512C5" w:rsidRPr="00C63186" w:rsidRDefault="00F512C5" w:rsidP="00F512C5">
      <w:pPr>
        <w:suppressAutoHyphens w:val="0"/>
        <w:spacing w:after="0"/>
        <w:jc w:val="both"/>
        <w:textAlignment w:val="baseline"/>
        <w:rPr>
          <w:rFonts w:ascii="Arial" w:eastAsia="Times New Roman" w:hAnsi="Arial" w:cs="Arial"/>
          <w:lang w:eastAsia="es-CO"/>
        </w:rPr>
      </w:pPr>
    </w:p>
    <w:p w14:paraId="2A7974E6"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r w:rsidRPr="00C63186">
        <w:rPr>
          <w:rFonts w:ascii="Arial" w:eastAsia="Times New Roman" w:hAnsi="Arial" w:cs="Arial"/>
          <w:lang w:eastAsia="es-CO"/>
        </w:rPr>
        <w:t>• El reconocimiento y la promoción de las organizaciones de las comunidades, incluyendo a las organizaciones de mujeres rurales, para que sean actores de primera línea de la transformación estructural del campo;</w:t>
      </w:r>
    </w:p>
    <w:p w14:paraId="108655ED" w14:textId="77777777" w:rsidR="002F41A8" w:rsidRPr="00C63186" w:rsidRDefault="002F41A8" w:rsidP="00B03685">
      <w:pPr>
        <w:suppressAutoHyphens w:val="0"/>
        <w:spacing w:after="0"/>
        <w:ind w:left="567"/>
        <w:jc w:val="both"/>
        <w:textAlignment w:val="baseline"/>
        <w:rPr>
          <w:rFonts w:ascii="Arial" w:eastAsia="Times New Roman" w:hAnsi="Arial" w:cs="Arial"/>
          <w:lang w:eastAsia="es-CO"/>
        </w:rPr>
      </w:pPr>
    </w:p>
    <w:p w14:paraId="0C9B2BAF" w14:textId="77777777" w:rsidR="002F41A8" w:rsidRPr="00C63186" w:rsidRDefault="002F41A8" w:rsidP="00B03685">
      <w:pPr>
        <w:suppressAutoHyphens w:val="0"/>
        <w:spacing w:after="0"/>
        <w:ind w:left="567"/>
        <w:jc w:val="both"/>
        <w:textAlignment w:val="baseline"/>
      </w:pPr>
      <w:r w:rsidRPr="00C63186">
        <w:rPr>
          <w:rFonts w:ascii="Arial" w:eastAsia="Times New Roman" w:hAnsi="Arial" w:cs="Arial"/>
          <w:lang w:eastAsia="es-CO"/>
        </w:rPr>
        <w:t>• Hacer del campo colombiano un escenario de reconciliación en el que todos y todas trabajan alrededor de un propósito común, que es la construcción del bien supremo de la paz, derecho y deber de obligatorio cumplimiento.</w:t>
      </w:r>
    </w:p>
    <w:p w14:paraId="37E79019"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498FD969"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Por su parte el artículo 1° del citado Decreto Ley 893 establece:</w:t>
      </w:r>
    </w:p>
    <w:p w14:paraId="2E94722E"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0FED0ACF"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i/>
          <w:iCs/>
          <w:lang w:eastAsia="es-CO"/>
        </w:rPr>
        <w:t>Objeto. Créanse los Programas de Desarrollo con Enfoque Territorial (PDET) como un instrumento de planificación y gestión para implementar de manera prioritaria los planes sectoriales y programas en el marco de la Reforma Rural Integral (RRI) y las medidas pertinentes que establece el Acuerdo Final, en articulación con los planes territoriales, en los municipios priorizados en el presente Decreto de conformidad con los criterios establecidos en el Acuerdo Final.</w:t>
      </w:r>
    </w:p>
    <w:p w14:paraId="13C44E3D"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i/>
          <w:iCs/>
          <w:lang w:eastAsia="es-CO"/>
        </w:rPr>
        <w:t> </w:t>
      </w:r>
    </w:p>
    <w:p w14:paraId="6CFA45FC"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i/>
          <w:iCs/>
          <w:lang w:eastAsia="es-CO"/>
        </w:rPr>
        <w:t>Los PDET se formularán por una sola vez y tendrán una vigencia de diez (10) años. Serán coordinados por la Agencia de Renovación del Territorio (ART), en ejercicio de las funciones que le son propias de conformidad con lo dispuesto en el Decreto Ley 2366 de 2015, modificado por el Decreto Ley 2096 de 2016.</w:t>
      </w:r>
    </w:p>
    <w:p w14:paraId="585BCDDB"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i/>
          <w:iCs/>
          <w:lang w:eastAsia="es-CO"/>
        </w:rPr>
        <w:t> </w:t>
      </w:r>
    </w:p>
    <w:p w14:paraId="54F52765" w14:textId="77777777" w:rsidR="002F41A8" w:rsidRPr="00C63186" w:rsidRDefault="002F41A8" w:rsidP="00B03685">
      <w:pPr>
        <w:suppressAutoHyphens w:val="0"/>
        <w:spacing w:after="0"/>
        <w:ind w:left="567"/>
        <w:jc w:val="both"/>
        <w:textAlignment w:val="baseline"/>
        <w:rPr>
          <w:rFonts w:ascii="Arial" w:eastAsia="Times New Roman" w:hAnsi="Arial" w:cs="Arial"/>
          <w:i/>
          <w:iCs/>
          <w:lang w:eastAsia="es-CO"/>
        </w:rPr>
      </w:pPr>
      <w:r w:rsidRPr="00C63186">
        <w:rPr>
          <w:rFonts w:ascii="Arial" w:eastAsia="Times New Roman" w:hAnsi="Arial" w:cs="Arial"/>
          <w:i/>
          <w:iCs/>
          <w:lang w:eastAsia="es-CO"/>
        </w:rPr>
        <w:t>PARÁGRAFO: Los planes sectoriales y programas que se creen para la implementación de la RRI incorporarán en su diseño y ejecución el enfoque étnico.</w:t>
      </w:r>
    </w:p>
    <w:p w14:paraId="5BF5298D"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val="es-ES" w:eastAsia="es-CO"/>
        </w:rPr>
      </w:pPr>
    </w:p>
    <w:p w14:paraId="6747FA96" w14:textId="27920E7F"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lastRenderedPageBreak/>
        <w:t>Con dicho Decreto Ley se crearon 16 PDET ubicados en 170 municipios, los cuales se relacionan en su artículo 3°.</w:t>
      </w:r>
    </w:p>
    <w:p w14:paraId="4F6529B4"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76FDB6BA" w14:textId="59363F06" w:rsidR="002F41A8" w:rsidRPr="003334B4" w:rsidRDefault="00110518" w:rsidP="003334B4">
      <w:pPr>
        <w:pStyle w:val="Ttulo5"/>
        <w:ind w:left="1008" w:hanging="1008"/>
      </w:pPr>
      <w:bookmarkStart w:id="228" w:name="_Toc205496228"/>
      <w:bookmarkStart w:id="229" w:name="_Toc219397325"/>
      <w:bookmarkStart w:id="230" w:name="_Toc224844405"/>
      <w:bookmarkStart w:id="231" w:name="_Hlk163121661"/>
      <w:r>
        <w:t xml:space="preserve">IV-2.4 </w:t>
      </w:r>
      <w:r w:rsidR="37B56313">
        <w:t>Concepto de Viabilidad Sectorial</w:t>
      </w:r>
      <w:bookmarkEnd w:id="228"/>
      <w:bookmarkEnd w:id="229"/>
      <w:bookmarkEnd w:id="230"/>
    </w:p>
    <w:p w14:paraId="7E5803B0" w14:textId="77777777" w:rsidR="002F41A8" w:rsidRPr="00C63186" w:rsidRDefault="002F41A8" w:rsidP="00B03685">
      <w:pPr>
        <w:suppressAutoHyphens w:val="0"/>
        <w:spacing w:after="0"/>
        <w:jc w:val="both"/>
        <w:textAlignment w:val="baseline"/>
        <w:rPr>
          <w:rFonts w:ascii="Arial" w:eastAsia="Times New Roman" w:hAnsi="Arial" w:cs="Arial"/>
          <w:b/>
          <w:bCs/>
          <w:sz w:val="24"/>
          <w:szCs w:val="24"/>
          <w:lang w:eastAsia="es-CO"/>
        </w:rPr>
      </w:pPr>
    </w:p>
    <w:p w14:paraId="492E2EDF" w14:textId="4D3ACFB4" w:rsidR="002F41A8" w:rsidRPr="00C63186" w:rsidRDefault="37B56313" w:rsidP="159D3704">
      <w:pPr>
        <w:suppressAutoHyphens w:val="0"/>
        <w:spacing w:after="0"/>
        <w:jc w:val="both"/>
        <w:textAlignment w:val="baseline"/>
        <w:rPr>
          <w:rFonts w:ascii="Arial" w:eastAsia="Times New Roman" w:hAnsi="Arial" w:cs="Arial"/>
          <w:sz w:val="24"/>
          <w:szCs w:val="24"/>
          <w:lang w:eastAsia="es-CO"/>
        </w:rPr>
      </w:pPr>
      <w:r w:rsidRPr="159D3704">
        <w:rPr>
          <w:rFonts w:ascii="Arial" w:eastAsia="Times New Roman" w:hAnsi="Arial" w:cs="Arial"/>
          <w:sz w:val="24"/>
          <w:szCs w:val="24"/>
          <w:lang w:eastAsia="es-CO"/>
        </w:rPr>
        <w:t xml:space="preserve">De conformidad con el Decreto 1625 de 2016, “Por medio del cual se expide el Decreto Único Reglamentario en materia tributaria”, expedido el 11 de octubre de 2016, se establece en el inciso 2 del artículo 1.6.6.2.1 que la entidad nacional competente en materia de energía es el Ministerio de Minas y Energía. En consecuencia, dicha entidad ejerce las funciones asignadas por la normativa tributaria en lo relacionado con los proyectos del sector energético que se sometan a su consideración. </w:t>
      </w:r>
    </w:p>
    <w:p w14:paraId="36FDD58E" w14:textId="3C8EEF41" w:rsidR="2265AC3A" w:rsidRDefault="2265AC3A" w:rsidP="2265AC3A">
      <w:pPr>
        <w:spacing w:after="0"/>
        <w:jc w:val="both"/>
        <w:rPr>
          <w:rFonts w:ascii="Arial" w:eastAsia="Times New Roman" w:hAnsi="Arial" w:cs="Arial"/>
          <w:sz w:val="24"/>
          <w:szCs w:val="24"/>
          <w:lang w:eastAsia="es-CO"/>
        </w:rPr>
      </w:pPr>
    </w:p>
    <w:p w14:paraId="2935449F" w14:textId="3C5B1A77" w:rsidR="002F41A8" w:rsidRPr="00C63186" w:rsidRDefault="37B56313" w:rsidP="159D3704">
      <w:pPr>
        <w:suppressAutoHyphens w:val="0"/>
        <w:spacing w:after="0"/>
        <w:jc w:val="both"/>
        <w:textAlignment w:val="baseline"/>
        <w:rPr>
          <w:rFonts w:ascii="Arial" w:eastAsia="Times New Roman" w:hAnsi="Arial" w:cs="Arial"/>
          <w:sz w:val="24"/>
          <w:szCs w:val="24"/>
          <w:lang w:eastAsia="es-CO"/>
        </w:rPr>
      </w:pPr>
      <w:r w:rsidRPr="159D3704">
        <w:rPr>
          <w:rFonts w:ascii="Arial" w:eastAsia="Times New Roman" w:hAnsi="Arial" w:cs="Arial"/>
          <w:sz w:val="24"/>
          <w:szCs w:val="24"/>
          <w:lang w:eastAsia="es-CO"/>
        </w:rPr>
        <w:t xml:space="preserve">En virtud de lo anterior, corresponde al Ministerio de Minas y Energía emitir el concepto de viabilidad sectorial de los proyectos que se presenten conforme a la normatividad aplicable. </w:t>
      </w:r>
    </w:p>
    <w:p w14:paraId="34CCED7E" w14:textId="24354D9B" w:rsidR="79535A68" w:rsidRDefault="79535A68" w:rsidP="79535A68">
      <w:pPr>
        <w:spacing w:after="0"/>
        <w:jc w:val="both"/>
        <w:rPr>
          <w:rFonts w:ascii="Arial" w:eastAsia="Times New Roman" w:hAnsi="Arial" w:cs="Arial"/>
          <w:sz w:val="24"/>
          <w:szCs w:val="24"/>
          <w:lang w:eastAsia="es-CO"/>
        </w:rPr>
      </w:pPr>
    </w:p>
    <w:p w14:paraId="4535A3C0" w14:textId="7B4BA7FF" w:rsidR="26C0D1F0" w:rsidRDefault="26C0D1F0" w:rsidP="57EA2B75">
      <w:pPr>
        <w:pStyle w:val="Ttulo5"/>
        <w:ind w:left="1008" w:hanging="1008"/>
      </w:pPr>
      <w:bookmarkStart w:id="232" w:name="_Toc224844406"/>
      <w:r w:rsidRPr="00A3029C">
        <w:rPr>
          <w:highlight w:val="yellow"/>
        </w:rPr>
        <w:t xml:space="preserve">IV-2.5 </w:t>
      </w:r>
      <w:r w:rsidR="2101E642" w:rsidRPr="00A3029C">
        <w:rPr>
          <w:highlight w:val="yellow"/>
        </w:rPr>
        <w:t>Suscripción de Convenios</w:t>
      </w:r>
      <w:bookmarkEnd w:id="232"/>
    </w:p>
    <w:p w14:paraId="3BFE6145" w14:textId="2FF05FA3" w:rsidR="57EA2B75" w:rsidRDefault="57EA2B75" w:rsidP="57EA2B75">
      <w:pPr>
        <w:spacing w:after="0"/>
        <w:jc w:val="both"/>
        <w:rPr>
          <w:rFonts w:ascii="Arial" w:eastAsia="Times New Roman" w:hAnsi="Arial" w:cs="Arial"/>
          <w:sz w:val="24"/>
          <w:szCs w:val="24"/>
          <w:lang w:eastAsia="es-CO"/>
        </w:rPr>
      </w:pPr>
    </w:p>
    <w:p w14:paraId="6BC8C860" w14:textId="5D7E25C6" w:rsidR="002F41A8" w:rsidRPr="00C63186" w:rsidRDefault="021BC9C2" w:rsidP="4BD06D72">
      <w:pPr>
        <w:suppressAutoHyphens w:val="0"/>
        <w:spacing w:after="0"/>
        <w:jc w:val="both"/>
        <w:textAlignment w:val="baseline"/>
        <w:rPr>
          <w:rFonts w:ascii="Arial" w:eastAsia="Times New Roman" w:hAnsi="Arial" w:cs="Arial"/>
          <w:sz w:val="24"/>
          <w:szCs w:val="24"/>
          <w:lang w:eastAsia="es-CO"/>
        </w:rPr>
      </w:pPr>
      <w:r w:rsidRPr="4BD06D72">
        <w:rPr>
          <w:rFonts w:ascii="Arial" w:eastAsia="Times New Roman" w:hAnsi="Arial" w:cs="Arial"/>
          <w:sz w:val="24"/>
          <w:szCs w:val="24"/>
          <w:lang w:eastAsia="es-CO"/>
        </w:rPr>
        <w:t xml:space="preserve">De conformidad con lo estipulado en el 1.6.6.3.4 del Decreto mencionado anteriormente, El convenio deberá ser suscrito entre la entidad nacional competente y el contribuyente dentro de los treinta (30) días siguientes a la notificación del acto administrativo de aprobación de la suscripción del convenio al contribuyente. Cuando la entidad nacional competente lo estime procedente, este plazo se podrá prorrogar sin que exceda la mitad del inicialmente previsto. </w:t>
      </w:r>
    </w:p>
    <w:p w14:paraId="5BF24500" w14:textId="7B0A57ED" w:rsidR="3702DFB4" w:rsidRDefault="3702DFB4" w:rsidP="3702DFB4">
      <w:pPr>
        <w:spacing w:after="0"/>
        <w:jc w:val="both"/>
        <w:rPr>
          <w:rFonts w:ascii="Arial" w:eastAsia="Times New Roman" w:hAnsi="Arial" w:cs="Arial"/>
          <w:sz w:val="24"/>
          <w:szCs w:val="24"/>
          <w:lang w:eastAsia="es-CO"/>
        </w:rPr>
      </w:pPr>
    </w:p>
    <w:p w14:paraId="086365B4" w14:textId="4B89809C" w:rsidR="002F41A8" w:rsidRPr="00C63186" w:rsidRDefault="021BC9C2" w:rsidP="4BD06D72">
      <w:pPr>
        <w:suppressAutoHyphens w:val="0"/>
        <w:spacing w:after="0"/>
        <w:jc w:val="both"/>
        <w:textAlignment w:val="baseline"/>
      </w:pPr>
      <w:r w:rsidRPr="4BD06D72">
        <w:rPr>
          <w:rFonts w:ascii="Arial" w:eastAsia="Times New Roman" w:hAnsi="Arial" w:cs="Arial"/>
          <w:sz w:val="24"/>
          <w:szCs w:val="24"/>
          <w:lang w:eastAsia="es-CO"/>
        </w:rPr>
        <w:t xml:space="preserve">Por otra parte, la entidad nacional competente definirá dentro de la minuta del convenio a suscribir con el contribuyente, las cláusulas necesarias para garantizar la ejecución del proyecto de inversión, que deberá contener como mínimo la identificación de las partes, el objeto, plazo, la cuantía del proyecto, obligaciones, garantías, cesión, la supervisión o interventoría del proyecto según el caso, gerencia del proyecto, la supervisión del convenio, matriz de riesgos, causales de terminación anticipada y unilateral cuando se determine entre otras circunstancias que el proyecto de inversión no esté conforme con los objetivos del mecanismo, el inicio de la ejecución, la forma o mecanismo como se determinarán y entregarán los hitos en el caso que el proyecto lo permita, las reglas para la entrega de la obra, bien o servicio de qué trata el proyecto y su sostenibilidad por el receptor, la liquidación del convenio, así como las demás estipulaciones que la entidad nacional competente considere necesarias conforme con lo previsto en el artículo 800-1 del Estatuto Tributario. </w:t>
      </w:r>
    </w:p>
    <w:p w14:paraId="4F5EF67A" w14:textId="2268A9E8" w:rsidR="2543D328" w:rsidRDefault="2543D328" w:rsidP="2543D328">
      <w:pPr>
        <w:spacing w:after="0"/>
        <w:jc w:val="both"/>
        <w:rPr>
          <w:rFonts w:ascii="Arial" w:eastAsia="Times New Roman" w:hAnsi="Arial" w:cs="Arial"/>
          <w:sz w:val="24"/>
          <w:szCs w:val="24"/>
          <w:lang w:eastAsia="es-CO"/>
        </w:rPr>
      </w:pPr>
    </w:p>
    <w:p w14:paraId="50CC5975" w14:textId="135CEAA4" w:rsidR="002F41A8" w:rsidRPr="00C63186" w:rsidRDefault="021BC9C2" w:rsidP="159D3704">
      <w:pPr>
        <w:suppressAutoHyphens w:val="0"/>
        <w:spacing w:after="0"/>
        <w:jc w:val="both"/>
        <w:textAlignment w:val="baseline"/>
      </w:pPr>
      <w:r w:rsidRPr="4BD06D72">
        <w:rPr>
          <w:rFonts w:ascii="Arial" w:eastAsia="Times New Roman" w:hAnsi="Arial" w:cs="Arial"/>
          <w:sz w:val="24"/>
          <w:szCs w:val="24"/>
          <w:lang w:eastAsia="es-CO"/>
        </w:rPr>
        <w:t>El convenio deberá también determinar los efectos de los eximentes de responsabilidad de fuerza mayor y caso fortuito declarados por la entidad nacional competente y si hay lugar o no a la exoneración total o parcial del cumplimiento de las obligaciones a partir de las características de cada proyecto, así como los demás efectos de la declaratoria que la entidad nacional competente estime necesario.</w:t>
      </w:r>
    </w:p>
    <w:p w14:paraId="3B75D4C4" w14:textId="1E0D5638" w:rsidR="2242FC31" w:rsidRDefault="2242FC31" w:rsidP="2242FC31">
      <w:pPr>
        <w:spacing w:after="0"/>
        <w:jc w:val="both"/>
        <w:rPr>
          <w:rFonts w:ascii="Arial" w:eastAsia="Times New Roman" w:hAnsi="Arial" w:cs="Arial"/>
          <w:sz w:val="24"/>
          <w:szCs w:val="24"/>
          <w:lang w:eastAsia="es-CO"/>
        </w:rPr>
      </w:pPr>
    </w:p>
    <w:p w14:paraId="1B09FDD4" w14:textId="679BDB31" w:rsidR="227D4E6A" w:rsidRDefault="227D4E6A" w:rsidP="2242FC31">
      <w:pPr>
        <w:pStyle w:val="Ttulo5"/>
        <w:ind w:left="1008" w:hanging="1008"/>
      </w:pPr>
      <w:bookmarkStart w:id="233" w:name="_Toc224844407"/>
      <w:r>
        <w:t xml:space="preserve">IV-2.6 Contratación de </w:t>
      </w:r>
      <w:r w:rsidR="44CFD736">
        <w:t>Interventorías</w:t>
      </w:r>
      <w:bookmarkEnd w:id="233"/>
    </w:p>
    <w:p w14:paraId="773F6E33" w14:textId="62B2C5C7" w:rsidR="4F382641" w:rsidRDefault="4F382641" w:rsidP="3CD141CA">
      <w:pPr>
        <w:spacing w:after="0"/>
        <w:jc w:val="both"/>
        <w:rPr>
          <w:rFonts w:ascii="Arial" w:eastAsia="Times New Roman" w:hAnsi="Arial" w:cs="Arial"/>
          <w:sz w:val="24"/>
          <w:szCs w:val="24"/>
          <w:lang w:eastAsia="es-CO"/>
        </w:rPr>
      </w:pPr>
    </w:p>
    <w:p w14:paraId="7F545D96" w14:textId="41942B06" w:rsidR="0F321702" w:rsidRDefault="44CFD736" w:rsidP="446635D1">
      <w:pPr>
        <w:spacing w:after="0"/>
        <w:jc w:val="both"/>
        <w:rPr>
          <w:rFonts w:ascii="Arial" w:eastAsia="Times New Roman" w:hAnsi="Arial" w:cs="Arial"/>
          <w:sz w:val="24"/>
          <w:szCs w:val="24"/>
          <w:lang w:eastAsia="es-CO"/>
        </w:rPr>
      </w:pPr>
      <w:r w:rsidRPr="446635D1">
        <w:rPr>
          <w:rFonts w:ascii="Arial" w:eastAsia="Times New Roman" w:hAnsi="Arial" w:cs="Arial"/>
          <w:sz w:val="24"/>
          <w:szCs w:val="24"/>
          <w:lang w:eastAsia="es-CO"/>
        </w:rPr>
        <w:lastRenderedPageBreak/>
        <w:t xml:space="preserve">De acuerdo con lo establecido en el </w:t>
      </w:r>
      <w:r w:rsidR="00F512C5" w:rsidRPr="446635D1">
        <w:rPr>
          <w:rFonts w:ascii="Arial" w:eastAsia="Times New Roman" w:hAnsi="Arial" w:cs="Arial"/>
          <w:sz w:val="24"/>
          <w:szCs w:val="24"/>
          <w:lang w:eastAsia="es-CO"/>
        </w:rPr>
        <w:t>artículo</w:t>
      </w:r>
      <w:r w:rsidRPr="446635D1">
        <w:rPr>
          <w:rFonts w:ascii="Arial" w:eastAsia="Times New Roman" w:hAnsi="Arial" w:cs="Arial"/>
          <w:sz w:val="24"/>
          <w:szCs w:val="24"/>
          <w:lang w:eastAsia="es-CO"/>
        </w:rPr>
        <w:t xml:space="preserve"> 1.6.5.3.4.8. del Decreto 1625 de 2016 </w:t>
      </w:r>
      <w:r w:rsidR="00F512C5">
        <w:rPr>
          <w:rFonts w:ascii="Arial" w:eastAsia="Times New Roman" w:hAnsi="Arial" w:cs="Arial"/>
          <w:sz w:val="24"/>
          <w:szCs w:val="24"/>
          <w:lang w:eastAsia="es-CO"/>
        </w:rPr>
        <w:t>l</w:t>
      </w:r>
      <w:r w:rsidRPr="446635D1">
        <w:rPr>
          <w:rFonts w:ascii="Arial" w:eastAsia="Times New Roman" w:hAnsi="Arial" w:cs="Arial"/>
          <w:sz w:val="24"/>
          <w:szCs w:val="24"/>
          <w:lang w:eastAsia="es-CO"/>
        </w:rPr>
        <w:t xml:space="preserve">a entidad nacional competente </w:t>
      </w:r>
      <w:r w:rsidR="00F512C5">
        <w:rPr>
          <w:rFonts w:ascii="Arial" w:eastAsia="Times New Roman" w:hAnsi="Arial" w:cs="Arial"/>
          <w:sz w:val="24"/>
          <w:szCs w:val="24"/>
          <w:lang w:eastAsia="es-CO"/>
        </w:rPr>
        <w:t xml:space="preserve">(Ministerio de Minas y Energía) </w:t>
      </w:r>
      <w:r w:rsidRPr="446635D1">
        <w:rPr>
          <w:rFonts w:ascii="Arial" w:eastAsia="Times New Roman" w:hAnsi="Arial" w:cs="Arial"/>
          <w:sz w:val="24"/>
          <w:szCs w:val="24"/>
          <w:lang w:eastAsia="es-CO"/>
        </w:rPr>
        <w:t>realizará la supervisión del contrato de interventoría frente al proyecto a desarrolla</w:t>
      </w:r>
      <w:r w:rsidR="00F512C5">
        <w:rPr>
          <w:rFonts w:ascii="Arial" w:eastAsia="Times New Roman" w:hAnsi="Arial" w:cs="Arial"/>
          <w:sz w:val="24"/>
          <w:szCs w:val="24"/>
          <w:lang w:eastAsia="es-CO"/>
        </w:rPr>
        <w:t xml:space="preserve">r. </w:t>
      </w:r>
    </w:p>
    <w:p w14:paraId="1DEA362D" w14:textId="64B638BF" w:rsidR="0F321702" w:rsidRDefault="0F321702" w:rsidP="446635D1">
      <w:pPr>
        <w:spacing w:after="0"/>
        <w:jc w:val="both"/>
        <w:rPr>
          <w:rFonts w:ascii="Arial" w:eastAsia="Times New Roman" w:hAnsi="Arial" w:cs="Arial"/>
          <w:sz w:val="24"/>
          <w:szCs w:val="24"/>
          <w:lang w:eastAsia="es-CO"/>
        </w:rPr>
      </w:pPr>
    </w:p>
    <w:p w14:paraId="34C7BDDC" w14:textId="35954BB0" w:rsidR="0F321702" w:rsidRDefault="44CFD736" w:rsidP="446635D1">
      <w:pPr>
        <w:spacing w:after="0"/>
        <w:jc w:val="both"/>
      </w:pPr>
      <w:r w:rsidRPr="446635D1">
        <w:rPr>
          <w:rFonts w:ascii="Arial" w:eastAsia="Times New Roman" w:hAnsi="Arial" w:cs="Arial"/>
          <w:sz w:val="24"/>
          <w:szCs w:val="24"/>
          <w:lang w:eastAsia="es-CO"/>
        </w:rPr>
        <w:t xml:space="preserve">Para la opción fiducia se establece que: La entidad nacional competente indicará los requisitos mínimos exigidos para el proceso de selección del contrato de interventoría, dentro de los tres (3) primeros meses de cada año. </w:t>
      </w:r>
    </w:p>
    <w:p w14:paraId="4C9C2E8A" w14:textId="4F703D79" w:rsidR="119600D8" w:rsidRDefault="119600D8" w:rsidP="119600D8">
      <w:pPr>
        <w:spacing w:after="0"/>
        <w:jc w:val="both"/>
        <w:rPr>
          <w:rFonts w:ascii="Arial" w:eastAsia="Times New Roman" w:hAnsi="Arial" w:cs="Arial"/>
          <w:sz w:val="24"/>
          <w:szCs w:val="24"/>
          <w:lang w:eastAsia="es-CO"/>
        </w:rPr>
      </w:pPr>
    </w:p>
    <w:p w14:paraId="14391C2B" w14:textId="021570A5" w:rsidR="0F321702" w:rsidRDefault="44CFD736" w:rsidP="446635D1">
      <w:pPr>
        <w:spacing w:after="0"/>
        <w:jc w:val="both"/>
      </w:pPr>
      <w:r w:rsidRPr="446635D1">
        <w:rPr>
          <w:rFonts w:ascii="Arial" w:eastAsia="Times New Roman" w:hAnsi="Arial" w:cs="Arial"/>
          <w:sz w:val="24"/>
          <w:szCs w:val="24"/>
          <w:lang w:eastAsia="es-CO"/>
        </w:rPr>
        <w:t xml:space="preserve">La entidad nacional competente, dentro de los tres (3) días siguientes a la recepción de la propuesta de términos de referencia, deberá manifestarle al contribuyente y a la fiduciaria su conformidad con los mismos o solicitar ajustes. En este último caso, la fiduciaria deberá remitir a la entidad nacional competente los términos ajustados dentro de los tres (3) días siguientes. </w:t>
      </w:r>
    </w:p>
    <w:p w14:paraId="62A580C8" w14:textId="64C03120" w:rsidR="69A338AF" w:rsidRDefault="69A338AF" w:rsidP="69A338AF">
      <w:pPr>
        <w:spacing w:after="0"/>
        <w:jc w:val="both"/>
        <w:rPr>
          <w:rFonts w:ascii="Arial" w:eastAsia="Times New Roman" w:hAnsi="Arial" w:cs="Arial"/>
          <w:sz w:val="24"/>
          <w:szCs w:val="24"/>
          <w:lang w:eastAsia="es-CO"/>
        </w:rPr>
      </w:pPr>
    </w:p>
    <w:p w14:paraId="254FCBA9" w14:textId="3493CE68" w:rsidR="0F321702" w:rsidRDefault="44CFD736" w:rsidP="446635D1">
      <w:pPr>
        <w:spacing w:after="0"/>
        <w:jc w:val="both"/>
      </w:pPr>
      <w:r w:rsidRPr="446635D1">
        <w:rPr>
          <w:rFonts w:ascii="Arial" w:eastAsia="Times New Roman" w:hAnsi="Arial" w:cs="Arial"/>
          <w:sz w:val="24"/>
          <w:szCs w:val="24"/>
          <w:lang w:eastAsia="es-CO"/>
        </w:rPr>
        <w:t xml:space="preserve">La fiduciaria deberá dar apertura al proceso de selección de la interventoría dentro de los cinco (5) días siguientes a la recepción del visto bueno de la propuesta de términos por parte de la entidad nacional competente, el cual deberá producirse dentro de los tres (3) días siguientes a la recepción de los ajustes. </w:t>
      </w:r>
    </w:p>
    <w:p w14:paraId="023C142F" w14:textId="77777777" w:rsidR="00F512C5" w:rsidRDefault="00F512C5" w:rsidP="446635D1">
      <w:pPr>
        <w:spacing w:after="0"/>
        <w:jc w:val="both"/>
        <w:rPr>
          <w:rFonts w:ascii="Arial" w:eastAsia="Times New Roman" w:hAnsi="Arial" w:cs="Arial"/>
          <w:sz w:val="24"/>
          <w:szCs w:val="24"/>
          <w:lang w:eastAsia="es-CO"/>
        </w:rPr>
      </w:pPr>
    </w:p>
    <w:p w14:paraId="36855C1B" w14:textId="0A9B4894" w:rsidR="0F321702" w:rsidRDefault="44CFD736" w:rsidP="446635D1">
      <w:pPr>
        <w:spacing w:after="0"/>
        <w:jc w:val="both"/>
      </w:pPr>
      <w:r w:rsidRPr="446635D1">
        <w:rPr>
          <w:rFonts w:ascii="Arial" w:eastAsia="Times New Roman" w:hAnsi="Arial" w:cs="Arial"/>
          <w:sz w:val="24"/>
          <w:szCs w:val="24"/>
          <w:lang w:eastAsia="es-CO"/>
        </w:rPr>
        <w:t xml:space="preserve">El contrato de fiducia y el contrato de interventoría deberán establecer que la entidad nacional competente realizará la supervisión del contrato de interventoría y dará el visto bueno a los informes de ésta, previo al desembolso de los pagos pactados. </w:t>
      </w:r>
    </w:p>
    <w:p w14:paraId="799DF536" w14:textId="0B4F4A37" w:rsidR="61A3CD43" w:rsidRDefault="61A3CD43" w:rsidP="61A3CD43">
      <w:pPr>
        <w:spacing w:after="0"/>
        <w:jc w:val="both"/>
        <w:rPr>
          <w:rFonts w:ascii="Arial" w:eastAsia="Times New Roman" w:hAnsi="Arial" w:cs="Arial"/>
          <w:sz w:val="24"/>
          <w:szCs w:val="24"/>
          <w:lang w:eastAsia="es-CO"/>
        </w:rPr>
      </w:pPr>
    </w:p>
    <w:p w14:paraId="7A462583" w14:textId="4841C8C9" w:rsidR="0F321702" w:rsidRDefault="44CFD736" w:rsidP="446635D1">
      <w:pPr>
        <w:spacing w:after="0"/>
        <w:jc w:val="both"/>
      </w:pPr>
      <w:r w:rsidRPr="446635D1">
        <w:rPr>
          <w:rFonts w:ascii="Arial" w:eastAsia="Times New Roman" w:hAnsi="Arial" w:cs="Arial"/>
          <w:sz w:val="24"/>
          <w:szCs w:val="24"/>
          <w:lang w:eastAsia="es-CO"/>
        </w:rPr>
        <w:t xml:space="preserve">La entidad nacional competente deberá designar al supervisor del contrato de interventoría dentro de los diez (10) días siguientes a la firma de dicho contrato. </w:t>
      </w:r>
    </w:p>
    <w:p w14:paraId="3F3750E5" w14:textId="39D98C7E" w:rsidR="188CEDCF" w:rsidRDefault="188CEDCF" w:rsidP="188CEDCF">
      <w:pPr>
        <w:spacing w:after="0"/>
        <w:jc w:val="both"/>
        <w:rPr>
          <w:rFonts w:ascii="Arial" w:eastAsia="Times New Roman" w:hAnsi="Arial" w:cs="Arial"/>
          <w:sz w:val="24"/>
          <w:szCs w:val="24"/>
          <w:lang w:eastAsia="es-CO"/>
        </w:rPr>
      </w:pPr>
    </w:p>
    <w:p w14:paraId="0789BE3A" w14:textId="2CB69090" w:rsidR="0F321702" w:rsidRDefault="44CFD736" w:rsidP="0F321702">
      <w:pPr>
        <w:spacing w:after="0"/>
        <w:jc w:val="both"/>
      </w:pPr>
      <w:r w:rsidRPr="446635D1">
        <w:rPr>
          <w:rFonts w:ascii="Arial" w:eastAsia="Times New Roman" w:hAnsi="Arial" w:cs="Arial"/>
          <w:sz w:val="24"/>
          <w:szCs w:val="24"/>
          <w:lang w:eastAsia="es-CO"/>
        </w:rPr>
        <w:t>De igual manera,  para la opción de Convenio el Ministerio cuenta con la competencia para adelantar la contratación de la interventoría, conforme a lo establecido en el artículo 1.6.6.4.3 del mencionado decreto que lo establece así: “La entidad nacional competente procederá a seleccionar el interventor dando aplicación a lo dispuesto en la Ley 80 de 1993 o en la norma que la modifique, sustituya o adicione (…)” garantizando así el seguimiento y control de los proyectos en los términos definidos por la regulación vigente.</w:t>
      </w:r>
    </w:p>
    <w:p w14:paraId="16D5390F" w14:textId="1C5C9A13" w:rsidR="131DEABC" w:rsidRDefault="131DEABC" w:rsidP="131DEABC">
      <w:pPr>
        <w:spacing w:after="0"/>
        <w:jc w:val="both"/>
        <w:rPr>
          <w:rFonts w:ascii="Arial" w:eastAsia="Times New Roman" w:hAnsi="Arial" w:cs="Arial"/>
          <w:sz w:val="24"/>
          <w:szCs w:val="24"/>
          <w:lang w:eastAsia="es-CO"/>
        </w:rPr>
      </w:pPr>
    </w:p>
    <w:p w14:paraId="4E63B06B" w14:textId="532381A3" w:rsidR="18D4277A" w:rsidRDefault="23DC2554" w:rsidP="642AB6F2">
      <w:pPr>
        <w:pStyle w:val="Ttulo5"/>
        <w:ind w:left="1008" w:hanging="1008"/>
      </w:pPr>
      <w:bookmarkStart w:id="234" w:name="_Toc224844408"/>
      <w:r>
        <w:t>IV-2.7 Parámetros para el recibo de infraestructura elé</w:t>
      </w:r>
      <w:r w:rsidR="3588FBDB">
        <w:t>ctrica y gas</w:t>
      </w:r>
      <w:bookmarkEnd w:id="234"/>
    </w:p>
    <w:p w14:paraId="284D5893" w14:textId="48005694" w:rsidR="18D4277A" w:rsidRDefault="18D4277A" w:rsidP="18D4277A">
      <w:pPr>
        <w:spacing w:after="0"/>
        <w:jc w:val="both"/>
        <w:rPr>
          <w:rFonts w:ascii="Arial" w:eastAsia="Times New Roman" w:hAnsi="Arial" w:cs="Arial"/>
          <w:sz w:val="24"/>
          <w:szCs w:val="24"/>
          <w:lang w:eastAsia="es-CO"/>
        </w:rPr>
      </w:pPr>
    </w:p>
    <w:p w14:paraId="11927C8A" w14:textId="185571F1"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r w:rsidRPr="54B2E939">
        <w:rPr>
          <w:rFonts w:ascii="Arial" w:eastAsia="Times New Roman" w:hAnsi="Arial" w:cs="Arial"/>
          <w:sz w:val="24"/>
          <w:szCs w:val="24"/>
          <w:lang w:eastAsia="es-CO"/>
        </w:rPr>
        <w:t>Con fundamento en lo dispuesto en el parágrafo del artículo 1.6.5.3.5.3. del Decreto 1625 de 2016, corresponde al Ministerio de Minas y Energía adoptar los criterios, requisitos y procedimiento que se deben cumplir para recepcionar las obras de energía eléctrica y gas combustible por redes de tubería en el marco del mecanismo Obras por Impuestos, para lo cual se establecen los siguientes parámetros:</w:t>
      </w:r>
    </w:p>
    <w:p w14:paraId="3BC06884" w14:textId="77777777" w:rsidR="002F41A8" w:rsidRPr="00C63186" w:rsidRDefault="002F41A8" w:rsidP="00B03685">
      <w:pPr>
        <w:suppressAutoHyphens w:val="0"/>
        <w:spacing w:after="0"/>
        <w:jc w:val="both"/>
        <w:textAlignment w:val="baseline"/>
        <w:rPr>
          <w:rFonts w:ascii="Arial" w:eastAsia="Times New Roman" w:hAnsi="Arial" w:cs="Arial"/>
          <w:sz w:val="24"/>
          <w:szCs w:val="24"/>
          <w:lang w:eastAsia="es-CO"/>
        </w:rPr>
      </w:pPr>
    </w:p>
    <w:p w14:paraId="5986A7CB" w14:textId="7B2D0DB0" w:rsidR="002F41A8" w:rsidRPr="00C76178" w:rsidRDefault="00686AF9" w:rsidP="00F738DB">
      <w:pPr>
        <w:pStyle w:val="Ttulo6"/>
        <w:spacing w:before="0"/>
        <w:ind w:left="1152" w:hanging="1152"/>
        <w:rPr>
          <w:bCs/>
        </w:rPr>
      </w:pPr>
      <w:r w:rsidRPr="00C76178">
        <w:rPr>
          <w:bCs/>
        </w:rPr>
        <w:t>IV-2.</w:t>
      </w:r>
      <w:r w:rsidR="00062735">
        <w:rPr>
          <w:bCs/>
        </w:rPr>
        <w:t>7</w:t>
      </w:r>
      <w:r w:rsidRPr="00C76178">
        <w:rPr>
          <w:bCs/>
        </w:rPr>
        <w:t>.1</w:t>
      </w:r>
      <w:r w:rsidR="009B2F9D">
        <w:rPr>
          <w:bCs/>
        </w:rPr>
        <w:tab/>
      </w:r>
      <w:r w:rsidR="002F41A8" w:rsidRPr="00C76178">
        <w:rPr>
          <w:bCs/>
        </w:rPr>
        <w:t>Criterios, requisitos y estándares mínimos para la recepción de obras en proyectos de energía eléctrica.  </w:t>
      </w:r>
    </w:p>
    <w:p w14:paraId="77A76C28" w14:textId="77777777" w:rsidR="003334B4" w:rsidRPr="003334B4" w:rsidRDefault="003334B4" w:rsidP="00F738DB">
      <w:pPr>
        <w:spacing w:after="0"/>
      </w:pPr>
    </w:p>
    <w:p w14:paraId="1DDFF1DC"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54B2E939">
        <w:rPr>
          <w:rFonts w:ascii="Arial" w:eastAsia="Times New Roman" w:hAnsi="Arial" w:cs="Arial"/>
          <w:sz w:val="24"/>
          <w:szCs w:val="24"/>
          <w:lang w:eastAsia="es-CO"/>
        </w:rPr>
        <w:t>Los requisitos para la recepción de obras del subsector de energía eléctrica construidas en el marco del mecanismo de Obras por Impuestos en modalidades de fiducia o convenio serán: </w:t>
      </w:r>
    </w:p>
    <w:p w14:paraId="334E59F7" w14:textId="77777777" w:rsidR="002F41A8" w:rsidRPr="00C63186" w:rsidRDefault="002F41A8" w:rsidP="008E39FD">
      <w:pPr>
        <w:suppressAutoHyphens w:val="0"/>
        <w:spacing w:after="0"/>
        <w:ind w:left="705"/>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5FDE38C9" w14:textId="77777777" w:rsidR="002F41A8" w:rsidRPr="00C63186" w:rsidRDefault="002F41A8" w:rsidP="008E39FD">
      <w:pPr>
        <w:suppressAutoHyphens w:val="0"/>
        <w:spacing w:after="0"/>
        <w:jc w:val="both"/>
        <w:textAlignment w:val="baseline"/>
        <w:rPr>
          <w:rFonts w:ascii="Arial" w:eastAsia="Times New Roman" w:hAnsi="Arial" w:cs="Arial"/>
          <w:sz w:val="24"/>
          <w:szCs w:val="24"/>
          <w:lang w:eastAsia="es-CO"/>
        </w:rPr>
      </w:pPr>
      <w:r w:rsidRPr="00F738DB">
        <w:rPr>
          <w:rFonts w:ascii="Arial" w:eastAsia="Times New Roman" w:hAnsi="Arial" w:cs="Arial"/>
          <w:sz w:val="24"/>
          <w:szCs w:val="24"/>
          <w:lang w:eastAsia="es-CO"/>
        </w:rPr>
        <w:lastRenderedPageBreak/>
        <w:t>1)</w:t>
      </w:r>
      <w:r w:rsidRPr="00C63186">
        <w:rPr>
          <w:rFonts w:ascii="Arial" w:eastAsia="Times New Roman" w:hAnsi="Arial" w:cs="Arial"/>
          <w:sz w:val="24"/>
          <w:szCs w:val="24"/>
          <w:lang w:eastAsia="es-CO"/>
        </w:rPr>
        <w:t xml:space="preserve"> Informe final de interventoría que contenga lo siguiente: </w:t>
      </w:r>
    </w:p>
    <w:p w14:paraId="6B3571F9" w14:textId="77777777" w:rsidR="002F41A8" w:rsidRPr="00C63186" w:rsidRDefault="002F41A8" w:rsidP="008E39FD">
      <w:pPr>
        <w:suppressAutoHyphens w:val="0"/>
        <w:spacing w:after="0"/>
        <w:ind w:left="420"/>
        <w:jc w:val="both"/>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7C62606E" w14:textId="77777777" w:rsidR="002F41A8" w:rsidRPr="00C63186" w:rsidRDefault="002F41A8" w:rsidP="00B320D0">
      <w:pPr>
        <w:pStyle w:val="Prrafodelista"/>
        <w:numPr>
          <w:ilvl w:val="0"/>
          <w:numId w:val="18"/>
        </w:numPr>
        <w:suppressAutoHyphens w:val="0"/>
        <w:spacing w:after="0"/>
        <w:ind w:left="709"/>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Ejecución total o parcial de las obras desde el punto de vista técnico, administrativo, financiero, jurídico, ambiental y social, según aplique, de manera que se permita conocer de forma detallada la ejecución y puesta en funcionamiento de los activos incumbentes según el cronograma del proyecto. </w:t>
      </w:r>
    </w:p>
    <w:p w14:paraId="651A4948" w14:textId="77777777" w:rsidR="002F41A8" w:rsidRPr="00C63186" w:rsidRDefault="002F41A8" w:rsidP="00B320D0">
      <w:pPr>
        <w:pStyle w:val="Prrafodelista"/>
        <w:numPr>
          <w:ilvl w:val="0"/>
          <w:numId w:val="18"/>
        </w:numPr>
        <w:suppressAutoHyphens w:val="0"/>
        <w:spacing w:after="0"/>
        <w:ind w:left="709"/>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Listado de usuarios finales beneficiados (nombre, identificación, discriminación por tipo de población étnica, ubicación georreferenciada en formato Shapefile, vereda, municipio y departamento), cuando aplique. </w:t>
      </w:r>
    </w:p>
    <w:p w14:paraId="3C7A2998"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359A8F46" w14:textId="77777777" w:rsidR="002F41A8" w:rsidRPr="000518E6" w:rsidRDefault="002F41A8" w:rsidP="00F738DB">
      <w:pPr>
        <w:pStyle w:val="Prrafodelista"/>
        <w:numPr>
          <w:ilvl w:val="1"/>
          <w:numId w:val="182"/>
        </w:numPr>
        <w:suppressAutoHyphens w:val="0"/>
        <w:spacing w:after="0"/>
        <w:ind w:left="426"/>
        <w:jc w:val="both"/>
        <w:textAlignment w:val="baseline"/>
        <w:rPr>
          <w:rFonts w:ascii="Arial" w:eastAsia="Times New Roman" w:hAnsi="Arial" w:cs="Arial"/>
          <w:sz w:val="24"/>
          <w:szCs w:val="24"/>
          <w:lang w:eastAsia="es-CO"/>
        </w:rPr>
      </w:pPr>
      <w:r w:rsidRPr="000518E6">
        <w:rPr>
          <w:rFonts w:ascii="Arial" w:eastAsia="Times New Roman" w:hAnsi="Arial" w:cs="Arial"/>
          <w:sz w:val="24"/>
          <w:szCs w:val="24"/>
          <w:lang w:eastAsia="es-CO"/>
        </w:rPr>
        <w:t>Informe final de quien ejerza el rol de la gerencia del proyecto o en su defecto del contribuyente, que contenga lo siguiente: </w:t>
      </w:r>
    </w:p>
    <w:p w14:paraId="05774F38"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4D26C234"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Balance financiero de las obras (incluyendo rendimientos financieros en la modalidad de fiducia). </w:t>
      </w:r>
    </w:p>
    <w:p w14:paraId="62F51AD5"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Inventario detallado de los activos construidos, equipos suministrados, instalados y en operación, con todos sus costos directos, indirectos e interventoría asociados. Cuando sea posible y aplicable, el inventario deberá entregarse en formato de Unidades Constructivas de acuerdo con la Resolución CREG 015 de 2018 o CREG 101 026 de 2022 o aquellas que las modifiquen o sustituyan </w:t>
      </w:r>
    </w:p>
    <w:p w14:paraId="70134454"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Relación y copia de las pólizas y sus modificaciones suscritas frente a los contratos de obra e interventoría y sus modificaciones. </w:t>
      </w:r>
    </w:p>
    <w:p w14:paraId="2E313A63"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Relación y copia de contratos derivados – de obra y/o suministro y sus modificaciones (otrosíes y suspensiones). </w:t>
      </w:r>
    </w:p>
    <w:p w14:paraId="3199A2C9"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Copia de las actas de liquidación de los contratos de obra y/o suministro  </w:t>
      </w:r>
    </w:p>
    <w:p w14:paraId="6E06C30C"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Acta de recepción de la obra firmada por parte de la Interventoría, la gerencia del proyecto y el contratista derivado responsable de la obra, en la cual conste que la obra se encuentra terminada y energizada. </w:t>
      </w:r>
    </w:p>
    <w:p w14:paraId="14758EE2" w14:textId="77777777" w:rsidR="002F41A8" w:rsidRPr="00C63186" w:rsidRDefault="002F41A8" w:rsidP="00B320D0">
      <w:pPr>
        <w:pStyle w:val="Prrafodelista"/>
        <w:numPr>
          <w:ilvl w:val="0"/>
          <w:numId w:val="19"/>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Acta de recepción y entrega de las obras, suscrita entre:</w:t>
      </w:r>
    </w:p>
    <w:p w14:paraId="7CF740C0" w14:textId="77777777" w:rsidR="002F41A8" w:rsidRPr="00C63186" w:rsidRDefault="002F41A8" w:rsidP="008E39FD">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w:t>
      </w:r>
    </w:p>
    <w:p w14:paraId="347BFEFC" w14:textId="77777777" w:rsidR="002F41A8" w:rsidRPr="00C63186" w:rsidRDefault="002F41A8" w:rsidP="00B320D0">
      <w:pPr>
        <w:pStyle w:val="Prrafodelista"/>
        <w:numPr>
          <w:ilvl w:val="0"/>
          <w:numId w:val="14"/>
        </w:numPr>
        <w:suppressAutoHyphens w:val="0"/>
        <w:spacing w:after="0"/>
        <w:ind w:left="993"/>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Quien ejerza el rol de la gerencia del proyecto, representante legal de la entidad que emitió certificado de sostenibilidad de las obras y se comprometió a asumir los gastos de operación y funcionamiento; </w:t>
      </w:r>
    </w:p>
    <w:p w14:paraId="13F1DF7E" w14:textId="77777777" w:rsidR="002F41A8" w:rsidRDefault="002F41A8" w:rsidP="00B320D0">
      <w:pPr>
        <w:pStyle w:val="Prrafodelista"/>
        <w:numPr>
          <w:ilvl w:val="0"/>
          <w:numId w:val="14"/>
        </w:numPr>
        <w:suppressAutoHyphens w:val="0"/>
        <w:spacing w:after="0"/>
        <w:ind w:left="993"/>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El director de Energía Eléctrica o quien designe por escrito el ordenador del gasto del Ministerio de Minas y Energía.</w:t>
      </w:r>
    </w:p>
    <w:p w14:paraId="6011CC1A" w14:textId="77777777" w:rsidR="00F738DB" w:rsidRPr="00F738DB" w:rsidRDefault="00F738DB" w:rsidP="00F738DB">
      <w:pPr>
        <w:suppressAutoHyphens w:val="0"/>
        <w:spacing w:after="0"/>
        <w:ind w:left="633"/>
        <w:jc w:val="both"/>
        <w:textAlignment w:val="baseline"/>
        <w:rPr>
          <w:rFonts w:ascii="Arial" w:eastAsia="Times New Roman" w:hAnsi="Arial" w:cs="Arial"/>
          <w:sz w:val="24"/>
          <w:szCs w:val="24"/>
          <w:lang w:eastAsia="es-CO"/>
        </w:rPr>
      </w:pPr>
    </w:p>
    <w:p w14:paraId="432FAA4A" w14:textId="77777777" w:rsidR="002F41A8" w:rsidRPr="00C63186" w:rsidRDefault="002F41A8" w:rsidP="00F738DB">
      <w:pPr>
        <w:pStyle w:val="Prrafodelista"/>
        <w:numPr>
          <w:ilvl w:val="1"/>
          <w:numId w:val="182"/>
        </w:numPr>
        <w:suppressAutoHyphens w:val="0"/>
        <w:spacing w:after="0"/>
        <w:ind w:left="426"/>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Informe final de la entidad fiduciaria (cuando la modalidad sea la fiducia) y que contenga: </w:t>
      </w:r>
    </w:p>
    <w:p w14:paraId="16A4B9FE" w14:textId="77777777" w:rsidR="002F41A8" w:rsidRPr="00C63186" w:rsidRDefault="002F41A8" w:rsidP="008E39FD">
      <w:pPr>
        <w:suppressAutoHyphens w:val="0"/>
        <w:spacing w:after="0"/>
        <w:ind w:left="705"/>
        <w:jc w:val="both"/>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48800856"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Certificado de cierre de cuentas bancarias, rendición final y liquidación del encargo fiduciario. </w:t>
      </w:r>
    </w:p>
    <w:p w14:paraId="72CC9485"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Relación y copia de contratos derivados de interventoría y sus modificaciones (otrosíes y suspensiones). </w:t>
      </w:r>
    </w:p>
    <w:p w14:paraId="2D6AA4E2"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Copia de las actas de liquidación de los contratos de interventoría. </w:t>
      </w:r>
    </w:p>
    <w:p w14:paraId="6F444199"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Planos asbuilt respecto a la totalidad de la infraestructura planeada y ejecutada. </w:t>
      </w:r>
    </w:p>
    <w:p w14:paraId="28958012"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Declaración de cumplimiento y dictamen de inspección (certificación plena), de acuerdo con lo previsto en el Reglamento Técnico de Instalaciones Eléctricas y sus modificaciones o aclaraciones. </w:t>
      </w:r>
    </w:p>
    <w:p w14:paraId="0A5F0530"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lastRenderedPageBreak/>
        <w:t>Certificación de cumplimiento de cada una de las obligaciones contenidas en el convenio, emitida por el representante legal del contribuyente, para esa modalidad. </w:t>
      </w:r>
    </w:p>
    <w:p w14:paraId="7A56C352" w14:textId="77777777" w:rsidR="002F41A8" w:rsidRPr="00C63186" w:rsidRDefault="002F41A8" w:rsidP="00B320D0">
      <w:pPr>
        <w:pStyle w:val="Prrafodelista"/>
        <w:numPr>
          <w:ilvl w:val="0"/>
          <w:numId w:val="20"/>
        </w:num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Copia de las servidumbres y/o permisos de paso y copia de los pagos realizados para los permisos de paso otorgados, que se realizaron para la ejecución del proyecto según aplique, al igual que copia del certificado de tradición y libertad que acrediten la compra de predios y/o las servidumbres autorizadas, según aplique </w:t>
      </w:r>
    </w:p>
    <w:p w14:paraId="6D902C87"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4F092E1A"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00C63186">
        <w:rPr>
          <w:rFonts w:ascii="Arial" w:eastAsia="Times New Roman" w:hAnsi="Arial" w:cs="Arial"/>
          <w:b/>
          <w:bCs/>
          <w:sz w:val="24"/>
          <w:szCs w:val="24"/>
          <w:lang w:eastAsia="es-CO"/>
        </w:rPr>
        <w:t xml:space="preserve">Nota especial 1: </w:t>
      </w:r>
      <w:r w:rsidRPr="00C63186">
        <w:rPr>
          <w:rFonts w:ascii="Arial" w:eastAsia="Times New Roman" w:hAnsi="Arial" w:cs="Arial"/>
          <w:sz w:val="24"/>
          <w:szCs w:val="24"/>
          <w:lang w:eastAsia="es-CO"/>
        </w:rPr>
        <w:t>Los formatos que se requieran para la recepción de los documentos señalados en este numeral 10.2.4.1 serán los que indique el Ministerio de Minas y Energía. </w:t>
      </w:r>
    </w:p>
    <w:p w14:paraId="2E3A8D6A"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00C63186">
        <w:rPr>
          <w:rFonts w:ascii="Arial" w:eastAsia="Times New Roman" w:hAnsi="Arial" w:cs="Arial"/>
          <w:sz w:val="24"/>
          <w:szCs w:val="24"/>
          <w:lang w:eastAsia="es-CO"/>
        </w:rPr>
        <w:t> </w:t>
      </w:r>
    </w:p>
    <w:p w14:paraId="174FD98D"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r w:rsidRPr="00C63186">
        <w:rPr>
          <w:rFonts w:ascii="Arial" w:eastAsia="Times New Roman" w:hAnsi="Arial" w:cs="Arial"/>
          <w:b/>
          <w:bCs/>
          <w:sz w:val="24"/>
          <w:szCs w:val="24"/>
          <w:lang w:eastAsia="es-CO"/>
        </w:rPr>
        <w:t xml:space="preserve">Nota Especial 2: </w:t>
      </w:r>
      <w:r w:rsidRPr="00C63186">
        <w:rPr>
          <w:rFonts w:ascii="Arial" w:eastAsia="Times New Roman" w:hAnsi="Arial" w:cs="Arial"/>
          <w:sz w:val="24"/>
          <w:szCs w:val="24"/>
          <w:lang w:eastAsia="es-CO"/>
        </w:rPr>
        <w:t>Sólo podrá aplicarse el recibo de obra parcial cuando se cumplan cada uno de los requisitos expuestos en este numeral 10.2.4.1. respecto de un tramo, segmento o porcentaje de la obra, que sea entregado energizado o en estado operativo.  </w:t>
      </w:r>
    </w:p>
    <w:p w14:paraId="6D59B8FB" w14:textId="77777777" w:rsidR="002F41A8" w:rsidRPr="00C63186" w:rsidRDefault="002F41A8" w:rsidP="008E39FD">
      <w:pPr>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Para efectos del recibo a satisfacción de obra parcial, la gerencia del proyecto, o en su defecto el contribuyente y el interventor del proyecto, deberán certificar el porcentaje que representa la obra parcial respecto al alcance total, basado en el valor de las unidades constructivas entregadas respecto a las totales, cuando aplique, con tres cifras decimales. Cuando no sea posible expresar el inventario del proyecto en unidades constructivas, deberá estimarse el porcentaje de avance de la obra parcial de manera proporcional a la infraestructura ejecutada. </w:t>
      </w:r>
    </w:p>
    <w:p w14:paraId="261A6F52" w14:textId="77777777" w:rsidR="002F41A8" w:rsidRPr="00C63186" w:rsidRDefault="002F41A8" w:rsidP="008E39FD">
      <w:pPr>
        <w:suppressAutoHyphens w:val="0"/>
        <w:spacing w:after="0"/>
        <w:jc w:val="both"/>
        <w:textAlignment w:val="baseline"/>
        <w:rPr>
          <w:rFonts w:ascii="Segoe UI" w:eastAsia="Times New Roman" w:hAnsi="Segoe UI" w:cs="Segoe UI"/>
          <w:sz w:val="24"/>
          <w:szCs w:val="24"/>
          <w:lang w:eastAsia="es-CO"/>
        </w:rPr>
      </w:pPr>
    </w:p>
    <w:p w14:paraId="05268F71" w14:textId="4AF65F03" w:rsidR="0054187A" w:rsidRPr="006A6E40" w:rsidRDefault="00B149BA" w:rsidP="00A3029C">
      <w:pPr>
        <w:pStyle w:val="Ttulo6"/>
        <w:ind w:left="1152" w:hanging="1152"/>
        <w:jc w:val="both"/>
        <w:rPr>
          <w:bCs/>
        </w:rPr>
      </w:pPr>
      <w:r w:rsidRPr="006A6E40">
        <w:rPr>
          <w:bCs/>
        </w:rPr>
        <w:t>IV-2.</w:t>
      </w:r>
      <w:r w:rsidR="00062735">
        <w:rPr>
          <w:bCs/>
        </w:rPr>
        <w:t>7</w:t>
      </w:r>
      <w:r w:rsidRPr="006A6E40">
        <w:rPr>
          <w:bCs/>
        </w:rPr>
        <w:t xml:space="preserve">.2 </w:t>
      </w:r>
      <w:r w:rsidR="002F41A8" w:rsidRPr="006A6E40">
        <w:rPr>
          <w:bCs/>
        </w:rPr>
        <w:t xml:space="preserve">Criterios, requisitos y estándares mínimos para la recepción de obras en proyectos de </w:t>
      </w:r>
      <w:r w:rsidR="00A3029C">
        <w:rPr>
          <w:bCs/>
        </w:rPr>
        <w:t xml:space="preserve">energía eléctrica y </w:t>
      </w:r>
      <w:r w:rsidR="002F41A8" w:rsidRPr="006A6E40">
        <w:rPr>
          <w:bCs/>
        </w:rPr>
        <w:t>gas combustible domiciliario por redes.</w:t>
      </w:r>
    </w:p>
    <w:p w14:paraId="68E00D33" w14:textId="57D0ED25" w:rsidR="002F41A8" w:rsidRDefault="002F41A8" w:rsidP="0054187A">
      <w:pPr>
        <w:spacing w:after="0"/>
        <w:rPr>
          <w:rFonts w:ascii="Arial" w:eastAsia="Times New Roman" w:hAnsi="Arial" w:cs="Arial"/>
          <w:sz w:val="24"/>
          <w:szCs w:val="24"/>
          <w:lang w:eastAsia="es-CO"/>
        </w:rPr>
      </w:pPr>
      <w:r w:rsidRPr="00B149BA">
        <w:rPr>
          <w:rFonts w:ascii="Arial" w:hAnsi="Arial" w:cs="Arial"/>
          <w:b/>
          <w:sz w:val="24"/>
          <w:szCs w:val="24"/>
          <w:lang w:val="es-ES"/>
        </w:rPr>
        <w:t> </w:t>
      </w:r>
    </w:p>
    <w:p w14:paraId="766751E3" w14:textId="5992C4FF" w:rsidR="002F41A8" w:rsidRDefault="002F41A8" w:rsidP="008E39FD">
      <w:pPr>
        <w:jc w:val="both"/>
        <w:rPr>
          <w:rFonts w:ascii="Arial" w:eastAsia="Times New Roman" w:hAnsi="Arial" w:cs="Arial"/>
          <w:sz w:val="24"/>
          <w:szCs w:val="24"/>
          <w:lang w:eastAsia="es-CO"/>
        </w:rPr>
      </w:pPr>
      <w:r w:rsidRPr="00003250">
        <w:rPr>
          <w:rFonts w:ascii="Arial" w:eastAsia="Times New Roman" w:hAnsi="Arial" w:cs="Arial"/>
          <w:sz w:val="24"/>
          <w:szCs w:val="24"/>
          <w:lang w:eastAsia="es-CO"/>
        </w:rPr>
        <w:t xml:space="preserve">Los criterios, requisitos y estándares mínimos para la recepción de obras en proyectos de </w:t>
      </w:r>
      <w:r w:rsidR="00A3029C">
        <w:rPr>
          <w:rFonts w:ascii="Arial" w:eastAsia="Times New Roman" w:hAnsi="Arial" w:cs="Arial"/>
          <w:sz w:val="24"/>
          <w:szCs w:val="24"/>
          <w:lang w:eastAsia="es-CO"/>
        </w:rPr>
        <w:t xml:space="preserve">energía eléctrica y </w:t>
      </w:r>
      <w:r w:rsidRPr="00003250">
        <w:rPr>
          <w:rFonts w:ascii="Arial" w:eastAsia="Times New Roman" w:hAnsi="Arial" w:cs="Arial"/>
          <w:sz w:val="24"/>
          <w:szCs w:val="24"/>
          <w:lang w:eastAsia="es-CO"/>
        </w:rPr>
        <w:t>gas combustible domiciliario por redes, serán los contemplados en los artículos 4,5,6 de la Resolución 40360 de 2024 “</w:t>
      </w:r>
      <w:r w:rsidRPr="009F7447">
        <w:rPr>
          <w:rFonts w:ascii="Arial" w:eastAsia="Times New Roman" w:hAnsi="Arial" w:cs="Arial"/>
          <w:i/>
          <w:iCs/>
          <w:sz w:val="24"/>
          <w:szCs w:val="24"/>
          <w:lang w:eastAsia="es-CO"/>
        </w:rPr>
        <w:t>Por la cual se establecen los criterios, requisitos mínimos que deberán cumplir los proyectos de energía eléctrica y gas combustible construidos en el marco del mecanismo de Obras por Impuestos, para ser recibidos a satisfacción por el Ministerio de Minas y Energía y se dictan otras disposiciones</w:t>
      </w:r>
      <w:r>
        <w:rPr>
          <w:rFonts w:ascii="Arial" w:eastAsia="Times New Roman" w:hAnsi="Arial" w:cs="Arial"/>
          <w:i/>
          <w:iCs/>
          <w:sz w:val="24"/>
          <w:szCs w:val="24"/>
          <w:lang w:eastAsia="es-CO"/>
        </w:rPr>
        <w:t>”</w:t>
      </w:r>
      <w:r w:rsidRPr="00003250">
        <w:rPr>
          <w:rFonts w:ascii="Arial" w:eastAsia="Times New Roman" w:hAnsi="Arial" w:cs="Arial"/>
          <w:sz w:val="24"/>
          <w:szCs w:val="24"/>
          <w:lang w:eastAsia="es-CO"/>
        </w:rPr>
        <w:t>, o  aquella que la modifique o sustituya.</w:t>
      </w:r>
    </w:p>
    <w:p w14:paraId="7EDE8CC0" w14:textId="77777777" w:rsidR="00A3029C" w:rsidRPr="00003250" w:rsidRDefault="00A3029C" w:rsidP="008E39FD">
      <w:pPr>
        <w:jc w:val="both"/>
        <w:rPr>
          <w:rFonts w:ascii="Arial" w:eastAsia="Times New Roman" w:hAnsi="Arial" w:cs="Arial"/>
          <w:sz w:val="24"/>
          <w:szCs w:val="24"/>
          <w:lang w:eastAsia="es-CO"/>
        </w:rPr>
      </w:pPr>
    </w:p>
    <w:p w14:paraId="18AB7A19" w14:textId="1DD42F3C" w:rsidR="002F41A8" w:rsidRPr="00AB415D" w:rsidRDefault="00C379AB" w:rsidP="00AB415D">
      <w:pPr>
        <w:pStyle w:val="Ttulo3"/>
        <w:jc w:val="center"/>
      </w:pPr>
      <w:bookmarkStart w:id="235" w:name="_Toc224844414"/>
      <w:bookmarkEnd w:id="231"/>
      <w:r w:rsidRPr="00AB415D">
        <w:t>CAPÍTULO I</w:t>
      </w:r>
      <w:r w:rsidR="00364F42">
        <w:t>II</w:t>
      </w:r>
      <w:bookmarkEnd w:id="235"/>
    </w:p>
    <w:p w14:paraId="0577D665" w14:textId="77777777" w:rsidR="002F41A8" w:rsidRPr="0009494F" w:rsidRDefault="002F41A8" w:rsidP="0009494F">
      <w:pPr>
        <w:pStyle w:val="Ttulo4"/>
        <w:ind w:left="864" w:hanging="864"/>
        <w:jc w:val="center"/>
      </w:pPr>
      <w:bookmarkStart w:id="236" w:name="_Toc205496234"/>
      <w:bookmarkStart w:id="237" w:name="_Ref205538204"/>
      <w:bookmarkStart w:id="238" w:name="_Toc219397330"/>
      <w:bookmarkStart w:id="239" w:name="_Ref220065220"/>
      <w:bookmarkStart w:id="240" w:name="_Toc224844415"/>
      <w:r w:rsidRPr="0009494F">
        <w:t>COMUNIDADES ENERGÉTICAS</w:t>
      </w:r>
      <w:bookmarkEnd w:id="236"/>
      <w:bookmarkEnd w:id="237"/>
      <w:bookmarkEnd w:id="238"/>
      <w:bookmarkEnd w:id="239"/>
      <w:bookmarkEnd w:id="240"/>
    </w:p>
    <w:p w14:paraId="616894D7"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p>
    <w:p w14:paraId="49E35AA7" w14:textId="508720B3" w:rsidR="002F41A8" w:rsidRDefault="009A219F" w:rsidP="00DA7E88">
      <w:pPr>
        <w:pStyle w:val="Ttulo5"/>
        <w:ind w:left="1008" w:hanging="1008"/>
      </w:pPr>
      <w:bookmarkStart w:id="241" w:name="_Toc205496235"/>
      <w:bookmarkStart w:id="242" w:name="_Toc219397331"/>
      <w:bookmarkStart w:id="243" w:name="_Toc224844416"/>
      <w:r w:rsidRPr="00DA7E88">
        <w:t>IV-</w:t>
      </w:r>
      <w:r w:rsidR="00364F42">
        <w:t>3</w:t>
      </w:r>
      <w:r w:rsidRPr="00DA7E88">
        <w:t xml:space="preserve">.1 </w:t>
      </w:r>
      <w:r w:rsidR="002F41A8" w:rsidRPr="00DA7E88">
        <w:t>Antecedentes Comunidades Energéticas</w:t>
      </w:r>
      <w:bookmarkEnd w:id="241"/>
      <w:bookmarkEnd w:id="242"/>
      <w:bookmarkEnd w:id="243"/>
    </w:p>
    <w:p w14:paraId="2134CB1C" w14:textId="77777777" w:rsidR="00DA7E88" w:rsidRPr="00DA7E88" w:rsidRDefault="00DA7E88" w:rsidP="00DA7E88"/>
    <w:p w14:paraId="32198A44" w14:textId="77777777" w:rsidR="002F41A8" w:rsidRPr="00C63186" w:rsidRDefault="002F41A8" w:rsidP="00B320D0">
      <w:pPr>
        <w:pStyle w:val="Prrafodelista"/>
        <w:numPr>
          <w:ilvl w:val="0"/>
          <w:numId w:val="14"/>
        </w:numPr>
        <w:shd w:val="clear" w:color="auto" w:fill="FFFFFF"/>
        <w:suppressAutoHyphens w:val="0"/>
        <w:spacing w:after="0"/>
        <w:jc w:val="both"/>
        <w:textAlignment w:val="baseline"/>
        <w:rPr>
          <w:rFonts w:ascii="Arial" w:eastAsia="Times New Roman" w:hAnsi="Arial" w:cs="Arial"/>
          <w:b/>
          <w:bCs/>
          <w:sz w:val="24"/>
          <w:szCs w:val="24"/>
          <w:lang w:eastAsia="es-CO"/>
        </w:rPr>
      </w:pPr>
      <w:r w:rsidRPr="00C63186">
        <w:rPr>
          <w:rFonts w:ascii="Arial" w:eastAsia="Times New Roman" w:hAnsi="Arial" w:cs="Arial"/>
          <w:b/>
          <w:bCs/>
          <w:sz w:val="24"/>
          <w:szCs w:val="24"/>
          <w:lang w:eastAsia="es-CO"/>
        </w:rPr>
        <w:t>Ley 2294 de 2023</w:t>
      </w:r>
    </w:p>
    <w:p w14:paraId="18DA2521" w14:textId="77777777" w:rsidR="002F41A8" w:rsidRPr="00C63186" w:rsidRDefault="002F41A8" w:rsidP="008E39FD">
      <w:pPr>
        <w:suppressAutoHyphens w:val="0"/>
        <w:spacing w:before="100" w:beforeAutospacing="1" w:after="100" w:afterAutospacing="1"/>
        <w:ind w:left="567"/>
        <w:jc w:val="both"/>
        <w:rPr>
          <w:rFonts w:ascii="Arial" w:eastAsia="Times New Roman" w:hAnsi="Arial" w:cs="Arial"/>
          <w:i/>
          <w:iCs/>
          <w:lang w:eastAsia="es-CO"/>
        </w:rPr>
      </w:pPr>
      <w:bookmarkStart w:id="244" w:name="235"/>
      <w:r w:rsidRPr="00C63186">
        <w:rPr>
          <w:rFonts w:ascii="Arial" w:eastAsia="Times New Roman" w:hAnsi="Arial" w:cs="Arial"/>
          <w:b/>
          <w:bCs/>
          <w:i/>
          <w:iCs/>
          <w:lang w:eastAsia="es-CO"/>
        </w:rPr>
        <w:t>ARTÍCULO 235.</w:t>
      </w:r>
      <w:bookmarkEnd w:id="244"/>
      <w:r w:rsidRPr="00C63186">
        <w:rPr>
          <w:rFonts w:ascii="Arial" w:eastAsia="Times New Roman" w:hAnsi="Arial" w:cs="Arial"/>
          <w:i/>
          <w:iCs/>
          <w:lang w:eastAsia="es-CO"/>
        </w:rPr>
        <w:t> Modifíquese los numerales 10 y 23 y adiciónense los numerales 25 y 26 al artículo 5°de la Ley 1715 de 2014, así:</w:t>
      </w:r>
    </w:p>
    <w:p w14:paraId="03CF0EFA" w14:textId="77777777" w:rsidR="002F41A8" w:rsidRPr="00C63186" w:rsidRDefault="002F41A8" w:rsidP="008E39FD">
      <w:pPr>
        <w:suppressAutoHyphens w:val="0"/>
        <w:spacing w:before="100" w:beforeAutospacing="1" w:after="100" w:afterAutospacing="1"/>
        <w:ind w:left="567"/>
        <w:jc w:val="both"/>
        <w:rPr>
          <w:rFonts w:ascii="Arial" w:eastAsia="Times New Roman" w:hAnsi="Arial" w:cs="Arial"/>
          <w:i/>
          <w:iCs/>
          <w:lang w:eastAsia="es-CO"/>
        </w:rPr>
      </w:pPr>
      <w:bookmarkStart w:id="245" w:name="TÍTULO_I"/>
      <w:bookmarkEnd w:id="245"/>
      <w:r w:rsidRPr="00C63186">
        <w:rPr>
          <w:rFonts w:ascii="Arial" w:eastAsia="Times New Roman" w:hAnsi="Arial" w:cs="Arial"/>
          <w:b/>
          <w:bCs/>
          <w:i/>
          <w:iCs/>
          <w:lang w:eastAsia="es-CO"/>
        </w:rPr>
        <w:t>Artículo 5°. Definiciones.</w:t>
      </w:r>
    </w:p>
    <w:p w14:paraId="397E31D6"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Style w:val="baj"/>
          <w:rFonts w:ascii="Arial" w:hAnsi="Arial" w:cs="Arial"/>
          <w:b/>
          <w:bCs/>
          <w:i/>
          <w:iCs/>
          <w:sz w:val="22"/>
          <w:szCs w:val="22"/>
        </w:rPr>
        <w:lastRenderedPageBreak/>
        <w:t>25. Comunidades Energéticas. </w:t>
      </w:r>
      <w:r w:rsidRPr="00C63186">
        <w:rPr>
          <w:rFonts w:ascii="Arial" w:hAnsi="Arial" w:cs="Arial"/>
          <w:i/>
          <w:iCs/>
          <w:sz w:val="22"/>
          <w:szCs w:val="22"/>
        </w:rPr>
        <w:t>Los usuarios o potenciales usuarios de servicios energéticos podrán constituir Comunidades Energéticas para generar, comercializar y/o usar eficientemente la energía a través del uso de Fuentes No Convencionales de Energía Renovables (FNCER), combustibles renovables y recursos energéticos distribuidos.</w:t>
      </w:r>
    </w:p>
    <w:p w14:paraId="394AAE3E"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i/>
          <w:iCs/>
          <w:sz w:val="22"/>
          <w:szCs w:val="22"/>
        </w:rPr>
        <w:t>Las Comunidades Energéticas podrán ser conformadas por personas naturales y/o jurídicas. En el caso de las personas naturales y de las estructuras de Gobierno Propio de los Pueblos y Comunidades Indígenas y de las comunidades campesinas, negras, afrocolombianas, raizales y palenqueras que se constituyan como Comunidades Energéticas, podrán ser beneficiarias de recursos públicos para el financiamiento de inversión, operación y mantenimiento de infraestructura, con base en los criterios de focalización que defina el Ministerio de Minas y Energía. La infraestructura que se desarrolle con recursos públicos podrá cederse a título gratuito a las Comunidades Energéticas, en las condiciones que defina el Ministerio de Minas y Energía, en coordinación con las entidades competentes.</w:t>
      </w:r>
    </w:p>
    <w:p w14:paraId="010B4FA7"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i/>
          <w:iCs/>
          <w:sz w:val="22"/>
          <w:szCs w:val="22"/>
        </w:rPr>
        <w:t>Los parámetros de capacidad instalada, dispersión en áreas urbanas y en áreas rurales, y mecanismos de sostenibilidad serán definidos por el Ministerio de Minas y Energía y la Unidad de Planeación Minero Energética (UPME).</w:t>
      </w:r>
    </w:p>
    <w:p w14:paraId="29FB65F4"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i/>
          <w:iCs/>
          <w:sz w:val="22"/>
          <w:szCs w:val="22"/>
        </w:rPr>
        <w:t>La Comisión de Regulación de Energía y Gas (CREG) definirá en el marco de sus competencias las condiciones asociadas a los términos de la prestación del servicio de la Comunidad Energética.</w:t>
      </w:r>
    </w:p>
    <w:p w14:paraId="2C830288" w14:textId="77777777" w:rsidR="002F41A8" w:rsidRPr="00C63186" w:rsidRDefault="002F41A8" w:rsidP="008E39FD">
      <w:pPr>
        <w:pStyle w:val="NormalWeb"/>
        <w:spacing w:line="276" w:lineRule="auto"/>
        <w:ind w:left="567"/>
        <w:jc w:val="both"/>
        <w:rPr>
          <w:rFonts w:ascii="Arial" w:hAnsi="Arial" w:cs="Arial"/>
          <w:i/>
          <w:iCs/>
          <w:sz w:val="22"/>
          <w:szCs w:val="22"/>
        </w:rPr>
      </w:pPr>
      <w:r w:rsidRPr="00C63186">
        <w:rPr>
          <w:rFonts w:ascii="Arial" w:hAnsi="Arial" w:cs="Arial"/>
          <w:i/>
          <w:iCs/>
          <w:sz w:val="22"/>
          <w:szCs w:val="22"/>
        </w:rPr>
        <w:t>Las Comunidades Energéticas en lo relacionado con la prestación de servicios, serán objeto de inspección, control y vigilancia de la Superintendencia de Servicios Públicos.</w:t>
      </w:r>
    </w:p>
    <w:p w14:paraId="3904E5EC" w14:textId="77777777" w:rsidR="002F41A8" w:rsidRPr="00C63186" w:rsidRDefault="002F41A8" w:rsidP="00B320D0">
      <w:pPr>
        <w:pStyle w:val="Prrafodelista"/>
        <w:numPr>
          <w:ilvl w:val="0"/>
          <w:numId w:val="14"/>
        </w:numPr>
        <w:shd w:val="clear" w:color="auto" w:fill="FFFFFF"/>
        <w:suppressAutoHyphens w:val="0"/>
        <w:spacing w:after="0"/>
        <w:jc w:val="both"/>
        <w:textAlignment w:val="baseline"/>
        <w:rPr>
          <w:rFonts w:ascii="Arial" w:eastAsia="Times New Roman" w:hAnsi="Arial" w:cs="Arial"/>
          <w:b/>
          <w:bCs/>
          <w:sz w:val="24"/>
          <w:szCs w:val="24"/>
          <w:lang w:val="es-ES" w:eastAsia="es-CO"/>
        </w:rPr>
      </w:pPr>
      <w:r w:rsidRPr="00C63186">
        <w:rPr>
          <w:rFonts w:ascii="Arial" w:eastAsia="Times New Roman" w:hAnsi="Arial" w:cs="Arial"/>
          <w:b/>
          <w:bCs/>
          <w:sz w:val="24"/>
          <w:szCs w:val="24"/>
          <w:lang w:val="es-ES" w:eastAsia="es-CO"/>
        </w:rPr>
        <w:t>Decreto 2236 de 2023</w:t>
      </w:r>
    </w:p>
    <w:p w14:paraId="0BF56E02"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p>
    <w:p w14:paraId="618A07A9"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Reglamenta el artículo 235 de la Ley 2294 de 2023 adicionando el DUR 1073 de 2015, estableciendo definiciones relacionadas con la aplicación del concepto Comunidades Energéticas. Adicionalmente dispuso parámetros al citado concepto, indicando, entre otros:</w:t>
      </w:r>
    </w:p>
    <w:p w14:paraId="0754BC6F"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p>
    <w:p w14:paraId="58CDA03A" w14:textId="3332C458" w:rsidR="002F41A8" w:rsidRPr="00C63186" w:rsidRDefault="003D266C" w:rsidP="008E39FD">
      <w:pPr>
        <w:suppressAutoHyphens w:val="0"/>
        <w:autoSpaceDE w:val="0"/>
        <w:autoSpaceDN w:val="0"/>
        <w:adjustRightInd w:val="0"/>
        <w:spacing w:after="0"/>
        <w:ind w:left="567"/>
        <w:jc w:val="both"/>
        <w:rPr>
          <w:rFonts w:ascii="Arial" w:hAnsi="Arial" w:cs="Arial"/>
          <w:i/>
          <w:iCs/>
        </w:rPr>
      </w:pPr>
      <w:r w:rsidRPr="00C63186">
        <w:rPr>
          <w:rFonts w:ascii="Arial" w:hAnsi="Arial" w:cs="Arial"/>
          <w:b/>
          <w:bCs/>
          <w:i/>
          <w:iCs/>
        </w:rPr>
        <w:t>Artículo</w:t>
      </w:r>
      <w:r w:rsidR="002F41A8" w:rsidRPr="00C63186">
        <w:rPr>
          <w:rFonts w:ascii="Arial" w:hAnsi="Arial" w:cs="Arial"/>
          <w:b/>
          <w:bCs/>
          <w:i/>
          <w:iCs/>
        </w:rPr>
        <w:t xml:space="preserve"> 2.2.9.1.2. Naturaleza jurídica y objetivos de las Comunidades Energéticas.</w:t>
      </w:r>
      <w:r w:rsidR="002F41A8" w:rsidRPr="00C63186">
        <w:rPr>
          <w:rFonts w:ascii="Arial" w:hAnsi="Arial" w:cs="Arial"/>
          <w:i/>
          <w:iCs/>
        </w:rPr>
        <w:t xml:space="preserve"> Las Comunidades Energéticas son comunidades organizadas que surgen en virtud de un acuerdo entre personas naturales y/o jurídicas de derecho público o privado que cooperan entre sí a través de un contrato o convenio asociativo para desarrollar las siguientes actividades: generación, comercialización y uso eficiente de la energía a través del uso de Fuentes No Convencionales de Energía Renovables -FNCER-, combustibles renovables y recursos energéticos distribuidos…: </w:t>
      </w:r>
    </w:p>
    <w:p w14:paraId="6388A9DC" w14:textId="77777777" w:rsidR="002F41A8" w:rsidRPr="00C63186" w:rsidRDefault="002F41A8" w:rsidP="008E39FD">
      <w:pPr>
        <w:suppressAutoHyphens w:val="0"/>
        <w:autoSpaceDE w:val="0"/>
        <w:autoSpaceDN w:val="0"/>
        <w:adjustRightInd w:val="0"/>
        <w:spacing w:after="0"/>
        <w:ind w:left="567"/>
        <w:jc w:val="both"/>
        <w:rPr>
          <w:rFonts w:ascii="Arial" w:hAnsi="Arial" w:cs="Arial"/>
          <w:i/>
          <w:iCs/>
        </w:rPr>
      </w:pPr>
    </w:p>
    <w:p w14:paraId="0CE94021"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rPr>
        <w:t xml:space="preserve">a) </w:t>
      </w:r>
      <w:r w:rsidRPr="1A65CE1C">
        <w:rPr>
          <w:rFonts w:ascii="Arial" w:hAnsi="Arial" w:cs="Arial"/>
          <w:i/>
          <w:iCs/>
        </w:rPr>
        <w:t xml:space="preserve">Aumentar la cobertura del servicio de energía y garantizar el acceso de las poblaciones vulnerables a dicho servicio. </w:t>
      </w:r>
    </w:p>
    <w:p w14:paraId="6B4DF858"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b) Aumentar la eficiencia energética evitando las pérdidas de energía mediante la proximidad del lugar de generación de energía al lugar del consumo. </w:t>
      </w:r>
    </w:p>
    <w:p w14:paraId="293D3750"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c) Democratizar la energía a partir de la participación de los usuarios y potenciales usuarios como generadores y gestores de las Fuentes No Convencionales de Energía Renovables -FNCER-, combustibles renovables y recursos energéticos distribuidos. </w:t>
      </w:r>
    </w:p>
    <w:p w14:paraId="2C7FCEE8"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d) Descentralizar la generación, el almacenamiento y el consumo de energía hacia las comunidades, especialmente, hacia las comunidades que experimentan condiciones de vulnerabilidad. </w:t>
      </w:r>
    </w:p>
    <w:p w14:paraId="3E3161C3"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lastRenderedPageBreak/>
        <w:t xml:space="preserve">e) Descarbonizar la economía a partir de Fuentes No Convencionales de Energía Renovables -FNCER-, combustibles renovables y recursos energéticos distribuidos. </w:t>
      </w:r>
    </w:p>
    <w:p w14:paraId="07805A9F"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f) Desarrollar la economía local y territorial, en el marco del desarrollo sostenible, a partir de la generación de energía, el almacenamiento y el uso eficiente de la energía de las comunidades, especialmente, de las comunidades que experimentan condiciones de vulnerabilidad. </w:t>
      </w:r>
    </w:p>
    <w:p w14:paraId="62214500"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g) Aumentar la confiabilidad del sistema mediante la inclusión de Fuentes No Convencionales de Energía Renovables -FNCER-, combustibles renovables y recursos energéticos distribuidos, bajo gestión comunitaria. </w:t>
      </w:r>
    </w:p>
    <w:p w14:paraId="3160F687"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h) Ofrecer unas condiciones económicas asequibles al servicio de energía para las comunidades, especialmente, aquellas que experimentan condiciones de vulnerabilidad. </w:t>
      </w:r>
    </w:p>
    <w:p w14:paraId="6FDE779A" w14:textId="77777777" w:rsidR="002F41A8" w:rsidRPr="00C63186" w:rsidRDefault="002F41A8" w:rsidP="008E39FD">
      <w:pPr>
        <w:suppressAutoHyphens w:val="0"/>
        <w:autoSpaceDE w:val="0"/>
        <w:autoSpaceDN w:val="0"/>
        <w:adjustRightInd w:val="0"/>
        <w:spacing w:after="0"/>
        <w:ind w:left="567" w:hanging="17"/>
        <w:jc w:val="both"/>
        <w:rPr>
          <w:rFonts w:ascii="Arial" w:hAnsi="Arial" w:cs="Arial"/>
          <w:i/>
          <w:iCs/>
        </w:rPr>
      </w:pPr>
      <w:r w:rsidRPr="1A65CE1C">
        <w:rPr>
          <w:rFonts w:ascii="Arial" w:hAnsi="Arial" w:cs="Arial"/>
          <w:i/>
          <w:iCs/>
        </w:rPr>
        <w:t xml:space="preserve">i) Fomentar o promover modelos de desarrollo energéticos respetuosos con el medio ambiente. </w:t>
      </w:r>
    </w:p>
    <w:p w14:paraId="449F31A0" w14:textId="77777777" w:rsidR="002F41A8" w:rsidRPr="00C63186" w:rsidRDefault="002F41A8" w:rsidP="008E39FD">
      <w:pPr>
        <w:shd w:val="clear" w:color="auto" w:fill="FFFFFF" w:themeFill="background1"/>
        <w:suppressAutoHyphens w:val="0"/>
        <w:spacing w:after="0"/>
        <w:ind w:left="567" w:hanging="17"/>
        <w:jc w:val="both"/>
        <w:textAlignment w:val="baseline"/>
        <w:rPr>
          <w:rFonts w:ascii="Arial" w:eastAsia="Times New Roman" w:hAnsi="Arial" w:cs="Arial"/>
          <w:i/>
          <w:iCs/>
          <w:lang w:eastAsia="es-CO"/>
        </w:rPr>
      </w:pPr>
      <w:r w:rsidRPr="1A65CE1C">
        <w:rPr>
          <w:rFonts w:ascii="Arial" w:hAnsi="Arial" w:cs="Arial"/>
          <w:i/>
          <w:iCs/>
        </w:rPr>
        <w:t>j) Generar procesos de aprovechamiento eficientemente y socioambientalmente responsable de los potenciales energéticos renovables regionales.</w:t>
      </w:r>
    </w:p>
    <w:p w14:paraId="2A3FA982" w14:textId="77777777" w:rsidR="002F41A8" w:rsidRPr="00C63186" w:rsidRDefault="002F41A8" w:rsidP="008E39FD">
      <w:pPr>
        <w:suppressAutoHyphens w:val="0"/>
        <w:autoSpaceDE w:val="0"/>
        <w:autoSpaceDN w:val="0"/>
        <w:adjustRightInd w:val="0"/>
        <w:spacing w:after="0"/>
        <w:rPr>
          <w:rFonts w:ascii="Times New Roman" w:hAnsi="Times New Roman" w:cs="Times New Roman"/>
          <w:sz w:val="24"/>
          <w:szCs w:val="24"/>
        </w:rPr>
      </w:pPr>
    </w:p>
    <w:p w14:paraId="6756A6A8" w14:textId="77777777" w:rsidR="002F41A8" w:rsidRPr="00C63186" w:rsidRDefault="002F41A8" w:rsidP="008E39FD">
      <w:pPr>
        <w:shd w:val="clear" w:color="auto" w:fill="FFFFFF"/>
        <w:suppressAutoHyphens w:val="0"/>
        <w:spacing w:after="0"/>
        <w:ind w:left="567"/>
        <w:jc w:val="both"/>
        <w:textAlignment w:val="baseline"/>
        <w:rPr>
          <w:rFonts w:ascii="Arial" w:hAnsi="Arial" w:cs="Arial"/>
        </w:rPr>
      </w:pPr>
      <w:r w:rsidRPr="00C63186">
        <w:rPr>
          <w:rFonts w:ascii="Arial" w:hAnsi="Arial" w:cs="Arial"/>
          <w:b/>
          <w:bCs/>
          <w:i/>
          <w:iCs/>
        </w:rPr>
        <w:t>Artículo 2.2.9.1.3. Asociación de Comunidades Energéticas.</w:t>
      </w:r>
      <w:r w:rsidRPr="00C63186">
        <w:rPr>
          <w:rFonts w:ascii="Arial" w:hAnsi="Arial" w:cs="Arial"/>
          <w:i/>
          <w:iCs/>
        </w:rPr>
        <w:t xml:space="preserve"> Las comunidades energéticas podrán asociarse entre sí para crear asociaciones de comunidades energéticas, a través de un acuerdo firmado entre las partes, para cooperar en proyectos de generación, comercialización y/o uso eficiente de la energía a través del uso de Fuentes No Convencionales de Energía Renovables -FNCER-, combustibles renovables y recursos energéticos distribuidos</w:t>
      </w:r>
      <w:r w:rsidRPr="00C63186">
        <w:rPr>
          <w:rFonts w:ascii="Arial" w:hAnsi="Arial" w:cs="Arial"/>
        </w:rPr>
        <w:t>.</w:t>
      </w:r>
    </w:p>
    <w:p w14:paraId="084F7B7F" w14:textId="77777777" w:rsidR="002F41A8" w:rsidRPr="00C63186" w:rsidRDefault="002F41A8" w:rsidP="008E39FD">
      <w:pPr>
        <w:shd w:val="clear" w:color="auto" w:fill="FFFFFF" w:themeFill="background1"/>
        <w:suppressAutoHyphens w:val="0"/>
        <w:spacing w:after="0"/>
        <w:jc w:val="both"/>
        <w:textAlignment w:val="baseline"/>
        <w:rPr>
          <w:rFonts w:ascii="Arial" w:eastAsia="Times New Roman" w:hAnsi="Arial" w:cs="Arial"/>
          <w:sz w:val="24"/>
          <w:szCs w:val="24"/>
          <w:lang w:eastAsia="es-CO"/>
        </w:rPr>
      </w:pPr>
    </w:p>
    <w:p w14:paraId="6C41648A" w14:textId="77777777" w:rsidR="002F41A8" w:rsidRPr="00EB5757" w:rsidRDefault="002F41A8" w:rsidP="00B320D0">
      <w:pPr>
        <w:pStyle w:val="Prrafodelista"/>
        <w:numPr>
          <w:ilvl w:val="0"/>
          <w:numId w:val="14"/>
        </w:numPr>
        <w:shd w:val="clear" w:color="auto" w:fill="FFFFFF"/>
        <w:suppressAutoHyphens w:val="0"/>
        <w:spacing w:after="0"/>
        <w:jc w:val="both"/>
        <w:textAlignment w:val="baseline"/>
        <w:rPr>
          <w:rFonts w:ascii="Arial" w:eastAsia="Times New Roman" w:hAnsi="Arial" w:cs="Arial"/>
          <w:b/>
          <w:sz w:val="24"/>
          <w:szCs w:val="24"/>
          <w:lang w:val="es-ES" w:eastAsia="es-CO"/>
        </w:rPr>
      </w:pPr>
      <w:r w:rsidRPr="00EB5757">
        <w:rPr>
          <w:rFonts w:ascii="Arial" w:eastAsia="Times New Roman" w:hAnsi="Arial" w:cs="Arial"/>
          <w:b/>
          <w:sz w:val="24"/>
          <w:szCs w:val="24"/>
          <w:lang w:val="es-ES" w:eastAsia="es-CO"/>
        </w:rPr>
        <w:t>Resolución MME 40509 de 2024</w:t>
      </w:r>
    </w:p>
    <w:p w14:paraId="23BB052F" w14:textId="77777777" w:rsidR="002F41A8" w:rsidRPr="00C63186" w:rsidRDefault="002F41A8" w:rsidP="008E39FD">
      <w:pPr>
        <w:shd w:val="clear" w:color="auto" w:fill="FFFFFF" w:themeFill="background1"/>
        <w:suppressAutoHyphens w:val="0"/>
        <w:spacing w:after="0"/>
        <w:jc w:val="both"/>
        <w:textAlignment w:val="baseline"/>
        <w:rPr>
          <w:rFonts w:ascii="Arial" w:eastAsia="Arial" w:hAnsi="Arial" w:cs="Arial"/>
          <w:sz w:val="24"/>
          <w:szCs w:val="24"/>
        </w:rPr>
      </w:pPr>
      <w:r w:rsidRPr="36E5ACA5">
        <w:rPr>
          <w:rFonts w:ascii="Arial" w:eastAsia="Arial" w:hAnsi="Arial" w:cs="Arial"/>
          <w:sz w:val="24"/>
          <w:szCs w:val="24"/>
        </w:rPr>
        <w:t xml:space="preserve"> </w:t>
      </w:r>
    </w:p>
    <w:p w14:paraId="58C2AA13" w14:textId="77777777" w:rsidR="002F41A8" w:rsidRPr="00C63186" w:rsidRDefault="002F41A8" w:rsidP="008E39FD">
      <w:pPr>
        <w:shd w:val="clear" w:color="auto" w:fill="FFFFFF" w:themeFill="background1"/>
        <w:suppressAutoHyphens w:val="0"/>
        <w:spacing w:after="0"/>
        <w:jc w:val="both"/>
        <w:textAlignment w:val="baseline"/>
        <w:rPr>
          <w:rFonts w:ascii="Arial" w:eastAsia="Arial" w:hAnsi="Arial" w:cs="Arial"/>
          <w:color w:val="000000" w:themeColor="text1"/>
          <w:sz w:val="24"/>
          <w:szCs w:val="24"/>
        </w:rPr>
      </w:pPr>
      <w:r w:rsidRPr="36E5ACA5">
        <w:rPr>
          <w:rFonts w:ascii="Arial" w:eastAsia="Arial" w:hAnsi="Arial" w:cs="Arial"/>
          <w:color w:val="000000" w:themeColor="text1"/>
          <w:sz w:val="24"/>
          <w:szCs w:val="24"/>
        </w:rPr>
        <w:t>Reglamenta el Registro de Comunidades Energéticas (RCE) y se definen los Criterios de Focalización y Priorización para la orientación de recursos públicos con destino a Comunidades Energéticas.</w:t>
      </w:r>
    </w:p>
    <w:p w14:paraId="3F03781D" w14:textId="77777777" w:rsidR="002F41A8" w:rsidRPr="00C63186" w:rsidRDefault="002F41A8" w:rsidP="008E39FD">
      <w:pPr>
        <w:shd w:val="clear" w:color="auto" w:fill="FFFFFF" w:themeFill="background1"/>
        <w:suppressAutoHyphens w:val="0"/>
        <w:spacing w:after="0"/>
        <w:jc w:val="both"/>
        <w:textAlignment w:val="baseline"/>
        <w:rPr>
          <w:rFonts w:ascii="Arial" w:eastAsia="Arial" w:hAnsi="Arial" w:cs="Arial"/>
          <w:sz w:val="24"/>
          <w:szCs w:val="24"/>
        </w:rPr>
      </w:pPr>
      <w:r w:rsidRPr="36E5ACA5">
        <w:rPr>
          <w:rFonts w:ascii="Arial" w:eastAsia="Arial" w:hAnsi="Arial" w:cs="Arial"/>
          <w:sz w:val="24"/>
          <w:szCs w:val="24"/>
        </w:rPr>
        <w:t xml:space="preserve"> </w:t>
      </w:r>
    </w:p>
    <w:p w14:paraId="0323C8E1" w14:textId="77777777" w:rsidR="002F41A8" w:rsidRPr="00EB5757" w:rsidRDefault="002F41A8" w:rsidP="00B320D0">
      <w:pPr>
        <w:pStyle w:val="Prrafodelista"/>
        <w:numPr>
          <w:ilvl w:val="0"/>
          <w:numId w:val="14"/>
        </w:numPr>
        <w:shd w:val="clear" w:color="auto" w:fill="FFFFFF"/>
        <w:suppressAutoHyphens w:val="0"/>
        <w:spacing w:after="0"/>
        <w:jc w:val="both"/>
        <w:textAlignment w:val="baseline"/>
        <w:rPr>
          <w:rFonts w:ascii="Arial" w:eastAsia="Times New Roman" w:hAnsi="Arial" w:cs="Arial"/>
          <w:b/>
          <w:sz w:val="24"/>
          <w:szCs w:val="24"/>
          <w:lang w:val="es-ES" w:eastAsia="es-CO"/>
        </w:rPr>
      </w:pPr>
      <w:r w:rsidRPr="00EB5757">
        <w:rPr>
          <w:rFonts w:ascii="Arial" w:eastAsia="Times New Roman" w:hAnsi="Arial" w:cs="Arial"/>
          <w:b/>
          <w:sz w:val="24"/>
          <w:szCs w:val="24"/>
          <w:lang w:val="es-ES" w:eastAsia="es-CO"/>
        </w:rPr>
        <w:t>Resolución CREG 101 072 de 2025</w:t>
      </w:r>
    </w:p>
    <w:p w14:paraId="0EDE1923" w14:textId="77777777" w:rsidR="002F41A8" w:rsidRPr="00C63186" w:rsidRDefault="002F41A8" w:rsidP="008E39FD">
      <w:pPr>
        <w:shd w:val="clear" w:color="auto" w:fill="FFFFFF" w:themeFill="background1"/>
        <w:suppressAutoHyphens w:val="0"/>
        <w:spacing w:after="0"/>
        <w:jc w:val="both"/>
        <w:textAlignment w:val="baseline"/>
        <w:rPr>
          <w:rFonts w:ascii="Arial" w:eastAsia="Arial" w:hAnsi="Arial" w:cs="Arial"/>
          <w:sz w:val="24"/>
          <w:szCs w:val="24"/>
        </w:rPr>
      </w:pPr>
      <w:r w:rsidRPr="36E5ACA5">
        <w:rPr>
          <w:rFonts w:ascii="Arial" w:eastAsia="Arial" w:hAnsi="Arial" w:cs="Arial"/>
          <w:sz w:val="24"/>
          <w:szCs w:val="24"/>
        </w:rPr>
        <w:t xml:space="preserve"> </w:t>
      </w:r>
    </w:p>
    <w:p w14:paraId="79770C6F" w14:textId="77777777" w:rsidR="002F41A8" w:rsidRPr="00C63186" w:rsidRDefault="002F41A8" w:rsidP="008E39FD">
      <w:pPr>
        <w:shd w:val="clear" w:color="auto" w:fill="FFFFFF" w:themeFill="background1"/>
        <w:suppressAutoHyphens w:val="0"/>
        <w:spacing w:after="0"/>
        <w:jc w:val="both"/>
        <w:textAlignment w:val="baseline"/>
        <w:rPr>
          <w:rFonts w:ascii="Arial" w:eastAsia="Arial" w:hAnsi="Arial" w:cs="Arial"/>
          <w:color w:val="000000" w:themeColor="text1"/>
          <w:sz w:val="24"/>
          <w:szCs w:val="24"/>
        </w:rPr>
      </w:pPr>
      <w:r w:rsidRPr="36E5ACA5">
        <w:rPr>
          <w:rFonts w:ascii="Arial" w:eastAsia="Arial" w:hAnsi="Arial" w:cs="Arial"/>
          <w:color w:val="000000" w:themeColor="text1"/>
          <w:sz w:val="24"/>
          <w:szCs w:val="24"/>
        </w:rPr>
        <w:t>Armoniza la regulación para la integración de las comunidades energéticas al Sistema Energético Nacional.</w:t>
      </w:r>
    </w:p>
    <w:p w14:paraId="6725026C" w14:textId="77777777" w:rsidR="002F41A8" w:rsidRPr="00C63186" w:rsidRDefault="002F41A8" w:rsidP="008E39FD">
      <w:pPr>
        <w:shd w:val="clear" w:color="auto" w:fill="FFFFFF" w:themeFill="background1"/>
        <w:suppressAutoHyphens w:val="0"/>
        <w:spacing w:after="0"/>
        <w:jc w:val="both"/>
        <w:textAlignment w:val="baseline"/>
        <w:rPr>
          <w:rFonts w:ascii="Arial" w:eastAsia="Times New Roman" w:hAnsi="Arial" w:cs="Arial"/>
          <w:sz w:val="24"/>
          <w:szCs w:val="24"/>
          <w:lang w:eastAsia="es-CO"/>
        </w:rPr>
      </w:pPr>
      <w:r w:rsidRPr="36E5ACA5">
        <w:rPr>
          <w:rFonts w:ascii="Arial" w:eastAsia="Times New Roman" w:hAnsi="Arial" w:cs="Arial"/>
          <w:sz w:val="24"/>
          <w:szCs w:val="24"/>
          <w:lang w:eastAsia="es-CO"/>
        </w:rPr>
        <w:t xml:space="preserve">  </w:t>
      </w:r>
    </w:p>
    <w:p w14:paraId="11DACC11" w14:textId="7A9FB74E" w:rsidR="002F41A8" w:rsidRPr="00EB5757" w:rsidRDefault="002F41A8" w:rsidP="00B320D0">
      <w:pPr>
        <w:pStyle w:val="Prrafodelista"/>
        <w:numPr>
          <w:ilvl w:val="0"/>
          <w:numId w:val="14"/>
        </w:numPr>
        <w:shd w:val="clear" w:color="auto" w:fill="FFFFFF"/>
        <w:suppressAutoHyphens w:val="0"/>
        <w:spacing w:after="0"/>
        <w:jc w:val="both"/>
        <w:textAlignment w:val="baseline"/>
        <w:rPr>
          <w:rFonts w:ascii="Arial" w:eastAsia="Times New Roman" w:hAnsi="Arial" w:cs="Arial"/>
          <w:b/>
          <w:sz w:val="24"/>
          <w:szCs w:val="24"/>
          <w:lang w:val="es-ES" w:eastAsia="es-CO"/>
        </w:rPr>
      </w:pPr>
      <w:r w:rsidRPr="00EB5757">
        <w:rPr>
          <w:rFonts w:ascii="Arial" w:eastAsia="Times New Roman" w:hAnsi="Arial" w:cs="Arial"/>
          <w:b/>
          <w:sz w:val="24"/>
          <w:szCs w:val="24"/>
          <w:lang w:val="es-ES" w:eastAsia="es-CO"/>
        </w:rPr>
        <w:t>Resolución UPME 501 de 2024</w:t>
      </w:r>
    </w:p>
    <w:p w14:paraId="11D3720F" w14:textId="77777777" w:rsidR="002F41A8" w:rsidRDefault="002F41A8" w:rsidP="008E39FD">
      <w:pPr>
        <w:shd w:val="clear" w:color="auto" w:fill="FFFFFF" w:themeFill="background1"/>
        <w:spacing w:after="0"/>
        <w:ind w:firstLine="708"/>
        <w:jc w:val="both"/>
        <w:rPr>
          <w:rFonts w:ascii="Arial" w:eastAsia="Times New Roman" w:hAnsi="Arial" w:cs="Arial"/>
          <w:b/>
          <w:bCs/>
          <w:sz w:val="24"/>
          <w:szCs w:val="24"/>
          <w:highlight w:val="yellow"/>
          <w:lang w:eastAsia="es-CO"/>
        </w:rPr>
      </w:pPr>
    </w:p>
    <w:p w14:paraId="77CB60AB" w14:textId="77777777" w:rsidR="002F41A8" w:rsidRDefault="002F41A8" w:rsidP="008E39FD">
      <w:pPr>
        <w:shd w:val="clear" w:color="auto" w:fill="FFFFFF" w:themeFill="background1"/>
        <w:spacing w:after="0"/>
        <w:jc w:val="both"/>
        <w:rPr>
          <w:rFonts w:ascii="Arial" w:eastAsia="Arial" w:hAnsi="Arial" w:cs="Arial"/>
          <w:color w:val="000000" w:themeColor="text1"/>
          <w:sz w:val="24"/>
          <w:szCs w:val="24"/>
        </w:rPr>
      </w:pPr>
      <w:r w:rsidRPr="36E5ACA5">
        <w:rPr>
          <w:rFonts w:ascii="Arial" w:eastAsia="Arial" w:hAnsi="Arial" w:cs="Arial"/>
          <w:color w:val="000000" w:themeColor="text1"/>
          <w:sz w:val="24"/>
          <w:szCs w:val="24"/>
        </w:rPr>
        <w:t>Por la cual se establecen los límites máximos de potencia y dispersión aplicables al Autogenerador Colectivo y al Generador Distribuido Colectivo, en desarrollo de lo dispuesto en el Decreto número 2236 de 2023</w:t>
      </w:r>
    </w:p>
    <w:p w14:paraId="50487B4D" w14:textId="77777777" w:rsidR="002F41A8" w:rsidRPr="003D266C" w:rsidRDefault="002F41A8" w:rsidP="008E39FD">
      <w:pPr>
        <w:shd w:val="clear" w:color="auto" w:fill="FFFFFF" w:themeFill="background1"/>
        <w:spacing w:after="0"/>
        <w:ind w:firstLine="708"/>
        <w:jc w:val="both"/>
        <w:rPr>
          <w:rFonts w:ascii="Arial" w:eastAsia="Times New Roman" w:hAnsi="Arial" w:cs="Arial"/>
          <w:b/>
          <w:bCs/>
          <w:sz w:val="24"/>
          <w:szCs w:val="24"/>
          <w:lang w:eastAsia="es-CO"/>
        </w:rPr>
      </w:pPr>
    </w:p>
    <w:p w14:paraId="65FDDE5E" w14:textId="27DDBFE0" w:rsidR="002F41A8" w:rsidRDefault="002F75C7" w:rsidP="00F738DB">
      <w:pPr>
        <w:pStyle w:val="Ttulo5"/>
        <w:spacing w:before="0"/>
        <w:ind w:left="1008" w:hanging="1008"/>
      </w:pPr>
      <w:bookmarkStart w:id="246" w:name="_Toc205496236"/>
      <w:bookmarkStart w:id="247" w:name="_Toc219397332"/>
      <w:bookmarkStart w:id="248" w:name="_Toc224844417"/>
      <w:r w:rsidRPr="00F806C5">
        <w:t>IV-</w:t>
      </w:r>
      <w:r w:rsidR="00BF1F24">
        <w:t>3</w:t>
      </w:r>
      <w:r w:rsidRPr="00F806C5">
        <w:t xml:space="preserve">.2 </w:t>
      </w:r>
      <w:r w:rsidR="002F41A8" w:rsidRPr="00F806C5">
        <w:t>Criterios para la focalización de recursos de FONENERGÍA a Comunidades Energéticas</w:t>
      </w:r>
      <w:bookmarkEnd w:id="246"/>
      <w:bookmarkEnd w:id="247"/>
      <w:bookmarkEnd w:id="248"/>
    </w:p>
    <w:p w14:paraId="3489DF95" w14:textId="77777777" w:rsidR="00F806C5" w:rsidRPr="00F806C5" w:rsidRDefault="00F806C5" w:rsidP="00F738DB">
      <w:pPr>
        <w:spacing w:after="0"/>
      </w:pPr>
    </w:p>
    <w:p w14:paraId="574897A3"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r w:rsidRPr="00C63186">
        <w:rPr>
          <w:rFonts w:ascii="Arial" w:eastAsia="Times New Roman" w:hAnsi="Arial" w:cs="Arial"/>
          <w:sz w:val="24"/>
          <w:szCs w:val="24"/>
          <w:lang w:eastAsia="es-CO"/>
        </w:rPr>
        <w:t xml:space="preserve">Para la aplicación de lo dispuesto en el presente Capítulo se atenderán las definiciones y disposiciones establecidas en el Decreto 2236 de 2023 o aquel que lo modifique o sustituya, así como en el presente Manual. </w:t>
      </w:r>
    </w:p>
    <w:p w14:paraId="16EE19BD"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p>
    <w:p w14:paraId="475E331D" w14:textId="4755FA88" w:rsidR="002F41A8" w:rsidRPr="00C63186" w:rsidRDefault="002F41A8" w:rsidP="008E39FD">
      <w:pPr>
        <w:shd w:val="clear" w:color="auto" w:fill="FFFFFF" w:themeFill="background1"/>
        <w:suppressAutoHyphens w:val="0"/>
        <w:spacing w:after="0"/>
        <w:jc w:val="both"/>
        <w:textAlignment w:val="baseline"/>
        <w:rPr>
          <w:rFonts w:ascii="Arial" w:eastAsia="Times New Roman" w:hAnsi="Arial" w:cs="Arial"/>
          <w:sz w:val="24"/>
          <w:szCs w:val="24"/>
          <w:lang w:eastAsia="es-CO"/>
        </w:rPr>
      </w:pPr>
      <w:r w:rsidRPr="1A65CE1C">
        <w:rPr>
          <w:rFonts w:ascii="Arial" w:eastAsia="Times New Roman" w:hAnsi="Arial" w:cs="Arial"/>
          <w:sz w:val="24"/>
          <w:szCs w:val="24"/>
          <w:lang w:eastAsia="es-CO"/>
        </w:rPr>
        <w:t xml:space="preserve">Así mismo se cumplirán previamente a la asignación de recursos, todos los parámetros establecidos en la Resolución MME 40509 de 2024, o aquella que la modifique o subrogue.  </w:t>
      </w:r>
    </w:p>
    <w:p w14:paraId="03DBB602" w14:textId="77777777" w:rsidR="002F41A8" w:rsidRPr="00C63186" w:rsidRDefault="002F41A8" w:rsidP="008E39FD">
      <w:pPr>
        <w:shd w:val="clear" w:color="auto" w:fill="FFFFFF"/>
        <w:suppressAutoHyphens w:val="0"/>
        <w:spacing w:after="0"/>
        <w:jc w:val="both"/>
        <w:textAlignment w:val="baseline"/>
        <w:rPr>
          <w:rFonts w:ascii="Arial" w:eastAsia="Times New Roman" w:hAnsi="Arial" w:cs="Arial"/>
          <w:sz w:val="24"/>
          <w:szCs w:val="24"/>
          <w:lang w:eastAsia="es-CO"/>
        </w:rPr>
      </w:pPr>
    </w:p>
    <w:p w14:paraId="61745C2B" w14:textId="5FCFE9BC" w:rsidR="002F41A8" w:rsidRDefault="002A78FF" w:rsidP="00F738DB">
      <w:pPr>
        <w:pStyle w:val="Ttulo5"/>
        <w:spacing w:before="0"/>
        <w:ind w:left="1008" w:hanging="1008"/>
      </w:pPr>
      <w:bookmarkStart w:id="249" w:name="_Toc205496237"/>
      <w:bookmarkStart w:id="250" w:name="_Toc219397333"/>
      <w:bookmarkStart w:id="251" w:name="_Toc224844418"/>
      <w:r w:rsidRPr="00F806C5">
        <w:t>IV-</w:t>
      </w:r>
      <w:r w:rsidR="00BF1F24">
        <w:t>3</w:t>
      </w:r>
      <w:r w:rsidR="00821A7C" w:rsidRPr="00F806C5">
        <w:t xml:space="preserve">.3 </w:t>
      </w:r>
      <w:r w:rsidR="002F41A8" w:rsidRPr="00F806C5">
        <w:t>Requisitos para la presentación de proyectos</w:t>
      </w:r>
      <w:bookmarkEnd w:id="249"/>
      <w:bookmarkEnd w:id="250"/>
      <w:bookmarkEnd w:id="251"/>
    </w:p>
    <w:p w14:paraId="28E5781B" w14:textId="77777777" w:rsidR="00F806C5" w:rsidRDefault="00F806C5" w:rsidP="00F738DB">
      <w:pPr>
        <w:spacing w:after="0"/>
      </w:pPr>
    </w:p>
    <w:p w14:paraId="090F31A5" w14:textId="5AE51D1B" w:rsidR="00407B42" w:rsidRDefault="005D5A6A" w:rsidP="005D5A6A">
      <w:pPr>
        <w:shd w:val="clear" w:color="auto" w:fill="FFFFFF" w:themeFill="background1"/>
        <w:suppressAutoHyphens w:val="0"/>
        <w:spacing w:after="0"/>
        <w:jc w:val="both"/>
        <w:textAlignment w:val="baseline"/>
        <w:rPr>
          <w:rFonts w:ascii="Arial" w:eastAsia="Times New Roman" w:hAnsi="Arial" w:cs="Arial"/>
          <w:sz w:val="24"/>
          <w:szCs w:val="24"/>
          <w:lang w:eastAsia="es-CO"/>
        </w:rPr>
      </w:pPr>
      <w:r w:rsidRPr="0023382F">
        <w:rPr>
          <w:rFonts w:ascii="Arial" w:eastAsia="Times New Roman" w:hAnsi="Arial" w:cs="Arial"/>
          <w:sz w:val="24"/>
          <w:szCs w:val="24"/>
          <w:lang w:eastAsia="es-CO"/>
        </w:rPr>
        <w:t xml:space="preserve">Para los </w:t>
      </w:r>
      <w:r>
        <w:rPr>
          <w:rFonts w:ascii="Arial" w:eastAsia="Times New Roman" w:hAnsi="Arial" w:cs="Arial"/>
          <w:sz w:val="24"/>
          <w:szCs w:val="24"/>
          <w:lang w:eastAsia="es-CO"/>
        </w:rPr>
        <w:t xml:space="preserve">planes, programas o </w:t>
      </w:r>
      <w:r w:rsidRPr="0023382F">
        <w:rPr>
          <w:rFonts w:ascii="Arial" w:eastAsia="Times New Roman" w:hAnsi="Arial" w:cs="Arial"/>
          <w:sz w:val="24"/>
          <w:szCs w:val="24"/>
          <w:lang w:eastAsia="es-CO"/>
        </w:rPr>
        <w:t xml:space="preserve">proyectos enmarcados en iniciativas como Comunidades Energéticas, la presentación </w:t>
      </w:r>
      <w:r w:rsidR="00B125CB">
        <w:rPr>
          <w:rFonts w:ascii="Arial" w:eastAsia="Times New Roman" w:hAnsi="Arial" w:cs="Arial"/>
          <w:sz w:val="24"/>
          <w:szCs w:val="24"/>
          <w:lang w:eastAsia="es-CO"/>
        </w:rPr>
        <w:t xml:space="preserve">de estos </w:t>
      </w:r>
      <w:r w:rsidRPr="0023382F">
        <w:rPr>
          <w:rFonts w:ascii="Arial" w:eastAsia="Times New Roman" w:hAnsi="Arial" w:cs="Arial"/>
          <w:sz w:val="24"/>
          <w:szCs w:val="24"/>
          <w:lang w:eastAsia="es-CO"/>
        </w:rPr>
        <w:t xml:space="preserve">deberá ajustarse a lo establecido en el numeral </w:t>
      </w:r>
      <w:r w:rsidR="00CC08EB" w:rsidRPr="00CC08EB">
        <w:rPr>
          <w:rFonts w:ascii="Arial" w:eastAsia="Times New Roman" w:hAnsi="Arial" w:cs="Arial"/>
          <w:sz w:val="24"/>
          <w:szCs w:val="24"/>
          <w:lang w:eastAsia="es-CO"/>
        </w:rPr>
        <w:t xml:space="preserve">III-2.5 </w:t>
      </w:r>
      <w:r w:rsidR="00CC08EB" w:rsidRPr="00F738DB">
        <w:rPr>
          <w:rFonts w:ascii="Arial" w:eastAsia="Times New Roman" w:hAnsi="Arial" w:cs="Arial"/>
          <w:sz w:val="24"/>
          <w:szCs w:val="24"/>
          <w:lang w:eastAsia="es-CO"/>
        </w:rPr>
        <w:t>Proyectos de Comunidades Energéticas y Colombia Solar</w:t>
      </w:r>
      <w:r w:rsidR="00CC08EB">
        <w:rPr>
          <w:rFonts w:ascii="Arial" w:eastAsia="Times New Roman" w:hAnsi="Arial" w:cs="Arial"/>
          <w:sz w:val="24"/>
          <w:szCs w:val="24"/>
          <w:lang w:eastAsia="es-CO"/>
        </w:rPr>
        <w:t xml:space="preserve"> </w:t>
      </w:r>
      <w:r w:rsidRPr="0023382F">
        <w:rPr>
          <w:rFonts w:ascii="Arial" w:eastAsia="Times New Roman" w:hAnsi="Arial" w:cs="Arial"/>
          <w:sz w:val="24"/>
          <w:szCs w:val="24"/>
          <w:lang w:eastAsia="es-CO"/>
        </w:rPr>
        <w:t>del presente manual, en atención a que estos se rigen por su normativa y regulación específica, la cual define sus requisitos, condiciones y lineamientos particulares. En este sentido, dichos requisitos podrán ser objeto de actualización conforme a las necesidades técnicas, regulatorias y de política pública que se determinen.</w:t>
      </w:r>
    </w:p>
    <w:p w14:paraId="6E4017E2" w14:textId="77777777" w:rsidR="0023382F" w:rsidRDefault="0023382F" w:rsidP="008E39FD">
      <w:pPr>
        <w:jc w:val="both"/>
        <w:rPr>
          <w:rFonts w:ascii="Arial" w:hAnsi="Arial" w:cs="Arial"/>
          <w:sz w:val="24"/>
          <w:szCs w:val="24"/>
        </w:rPr>
      </w:pPr>
    </w:p>
    <w:p w14:paraId="095BF318" w14:textId="4646A990" w:rsidR="00070C42" w:rsidRPr="00C152BC" w:rsidRDefault="00070C42" w:rsidP="00C152BC">
      <w:pPr>
        <w:pStyle w:val="Ttulo3"/>
        <w:jc w:val="center"/>
      </w:pPr>
      <w:bookmarkStart w:id="252" w:name="_Toc224844419"/>
      <w:r w:rsidRPr="00C152BC">
        <w:t xml:space="preserve">CAPÍTULO </w:t>
      </w:r>
      <w:r w:rsidR="00BF1F24">
        <w:t>I</w:t>
      </w:r>
      <w:r w:rsidRPr="00C152BC">
        <w:t>V</w:t>
      </w:r>
      <w:bookmarkEnd w:id="252"/>
    </w:p>
    <w:p w14:paraId="2B45EA15" w14:textId="2C713FEA" w:rsidR="00FA6DE4" w:rsidRDefault="00070C42" w:rsidP="00F738DB">
      <w:pPr>
        <w:pStyle w:val="Ttulo4"/>
        <w:spacing w:before="0"/>
        <w:ind w:left="864" w:hanging="864"/>
        <w:jc w:val="center"/>
      </w:pPr>
      <w:bookmarkStart w:id="253" w:name="_Toc224844420"/>
      <w:r w:rsidRPr="00566A47">
        <w:t>PROGRAMA COLOMBIA SOLAR</w:t>
      </w:r>
      <w:bookmarkEnd w:id="253"/>
    </w:p>
    <w:p w14:paraId="24172F3E" w14:textId="77777777" w:rsidR="00FA6DE4" w:rsidRPr="00FA6DE4" w:rsidRDefault="00FA6DE4" w:rsidP="00F738DB">
      <w:pPr>
        <w:spacing w:after="0"/>
      </w:pPr>
    </w:p>
    <w:p w14:paraId="194614F0" w14:textId="03B7DEDE" w:rsidR="00070C42" w:rsidRDefault="00E261BD" w:rsidP="00F738DB">
      <w:pPr>
        <w:pStyle w:val="Ttulo5"/>
        <w:spacing w:before="0"/>
        <w:ind w:left="1008" w:hanging="1008"/>
      </w:pPr>
      <w:bookmarkStart w:id="254" w:name="_Toc224844421"/>
      <w:r w:rsidRPr="00FA6DE4">
        <w:t>IV</w:t>
      </w:r>
      <w:r w:rsidR="00681B98" w:rsidRPr="00FA6DE4">
        <w:t>-</w:t>
      </w:r>
      <w:r w:rsidR="00BF1F24">
        <w:t>4</w:t>
      </w:r>
      <w:r w:rsidR="00681B98" w:rsidRPr="00FA6DE4">
        <w:t>.1 Antecedentes del Programa Colombia Solar</w:t>
      </w:r>
      <w:bookmarkEnd w:id="254"/>
    </w:p>
    <w:p w14:paraId="3C3A4C70" w14:textId="77777777" w:rsidR="00FA6DE4" w:rsidRDefault="00FA6DE4" w:rsidP="00F738DB">
      <w:pPr>
        <w:spacing w:after="0"/>
      </w:pPr>
    </w:p>
    <w:p w14:paraId="2E39B115" w14:textId="1E55DAC4" w:rsidR="009B0E4F" w:rsidRPr="005235C6" w:rsidRDefault="009B0E4F" w:rsidP="009B0E4F">
      <w:pPr>
        <w:pStyle w:val="Prrafodelista"/>
        <w:numPr>
          <w:ilvl w:val="0"/>
          <w:numId w:val="180"/>
        </w:numPr>
        <w:spacing w:after="0"/>
        <w:jc w:val="both"/>
        <w:rPr>
          <w:rFonts w:ascii="Arial" w:eastAsia="Arial" w:hAnsi="Arial" w:cs="Arial"/>
          <w:b/>
          <w:bCs/>
          <w:sz w:val="24"/>
          <w:szCs w:val="24"/>
          <w:lang w:val="es"/>
        </w:rPr>
      </w:pPr>
      <w:r w:rsidRPr="005235C6">
        <w:rPr>
          <w:rFonts w:ascii="Arial" w:eastAsia="Arial" w:hAnsi="Arial" w:cs="Arial"/>
          <w:b/>
          <w:bCs/>
          <w:sz w:val="24"/>
          <w:szCs w:val="24"/>
          <w:lang w:val="es"/>
        </w:rPr>
        <w:t>Ley 1715 de 2014</w:t>
      </w:r>
    </w:p>
    <w:p w14:paraId="764B44F9" w14:textId="77777777" w:rsidR="009B0E4F" w:rsidRDefault="009B0E4F" w:rsidP="009B0E4F">
      <w:pPr>
        <w:spacing w:after="0"/>
        <w:ind w:left="720"/>
        <w:jc w:val="both"/>
      </w:pPr>
      <w:r w:rsidRPr="3CE97515">
        <w:rPr>
          <w:rFonts w:ascii="Arial" w:eastAsia="Arial" w:hAnsi="Arial" w:cs="Arial"/>
          <w:lang w:val="es"/>
        </w:rPr>
        <w:t xml:space="preserve"> </w:t>
      </w:r>
    </w:p>
    <w:p w14:paraId="40A1F633" w14:textId="77777777" w:rsidR="009B0E4F" w:rsidRDefault="009B0E4F" w:rsidP="009B0E4F">
      <w:pPr>
        <w:spacing w:after="0"/>
        <w:ind w:left="720"/>
        <w:jc w:val="both"/>
        <w:rPr>
          <w:rFonts w:ascii="Arial" w:eastAsia="Arial" w:hAnsi="Arial" w:cs="Arial"/>
          <w:b/>
          <w:bCs/>
          <w:i/>
          <w:iCs/>
        </w:rPr>
      </w:pPr>
      <w:r w:rsidRPr="3CE97515">
        <w:rPr>
          <w:rFonts w:ascii="Arial" w:eastAsia="Arial" w:hAnsi="Arial" w:cs="Arial"/>
          <w:b/>
          <w:bCs/>
          <w:i/>
          <w:iCs/>
        </w:rPr>
        <w:t xml:space="preserve">"(...) artículo 19. Desarrollo de la energía solar. </w:t>
      </w:r>
    </w:p>
    <w:p w14:paraId="206ED22E" w14:textId="77777777" w:rsidR="009B0E4F" w:rsidRDefault="009B0E4F" w:rsidP="009B0E4F">
      <w:pPr>
        <w:spacing w:after="0"/>
        <w:ind w:left="720"/>
        <w:jc w:val="both"/>
      </w:pPr>
    </w:p>
    <w:p w14:paraId="5681E568" w14:textId="229A440F" w:rsidR="009B0E4F" w:rsidRPr="0061373D" w:rsidRDefault="007079C3" w:rsidP="00F738DB">
      <w:pPr>
        <w:spacing w:after="0"/>
        <w:ind w:left="709"/>
        <w:jc w:val="both"/>
        <w:rPr>
          <w:rFonts w:ascii="Arial" w:eastAsia="Arial" w:hAnsi="Arial" w:cs="Arial"/>
          <w:i/>
          <w:iCs/>
        </w:rPr>
      </w:pPr>
      <w:r w:rsidRPr="007079C3">
        <w:rPr>
          <w:rFonts w:ascii="Arial" w:eastAsia="Arial" w:hAnsi="Arial" w:cs="Arial"/>
          <w:i/>
          <w:iCs/>
          <w:highlight w:val="yellow"/>
        </w:rPr>
        <w:t>Numeral 4</w:t>
      </w:r>
      <w:r>
        <w:rPr>
          <w:rFonts w:ascii="Arial" w:eastAsia="Arial" w:hAnsi="Arial" w:cs="Arial"/>
          <w:i/>
          <w:iCs/>
        </w:rPr>
        <w:t xml:space="preserve"> </w:t>
      </w:r>
      <w:r w:rsidR="009B0E4F" w:rsidRPr="007228D8">
        <w:rPr>
          <w:rFonts w:ascii="Arial" w:eastAsia="Arial" w:hAnsi="Arial" w:cs="Arial"/>
          <w:i/>
          <w:iCs/>
        </w:rPr>
        <w:t>El Gobierno Nacional considerará la viabilidad de desarrollar la energía solar como fuente de autogeneración para los estratos 1, 2 y 3 como alternativa al subsidio existente para el consumo de electricidad de estos usuarios.</w:t>
      </w:r>
      <w:r w:rsidR="009B0E4F">
        <w:rPr>
          <w:rFonts w:ascii="Arial" w:eastAsia="Arial" w:hAnsi="Arial" w:cs="Arial"/>
          <w:i/>
          <w:iCs/>
        </w:rPr>
        <w:t xml:space="preserve"> (…)”.</w:t>
      </w:r>
    </w:p>
    <w:p w14:paraId="13B1FCBE" w14:textId="77777777" w:rsidR="009B0E4F" w:rsidRDefault="009B0E4F" w:rsidP="00F738DB">
      <w:pPr>
        <w:spacing w:after="0"/>
      </w:pPr>
    </w:p>
    <w:p w14:paraId="187D22FC" w14:textId="08B6823A" w:rsidR="00D14722" w:rsidRPr="005235C6" w:rsidRDefault="00D14722" w:rsidP="00F738DB">
      <w:pPr>
        <w:pStyle w:val="Prrafodelista"/>
        <w:numPr>
          <w:ilvl w:val="0"/>
          <w:numId w:val="180"/>
        </w:numPr>
        <w:spacing w:after="0"/>
        <w:jc w:val="both"/>
        <w:rPr>
          <w:rFonts w:ascii="Arial" w:eastAsia="Arial" w:hAnsi="Arial" w:cs="Arial"/>
          <w:b/>
          <w:bCs/>
          <w:sz w:val="24"/>
          <w:szCs w:val="24"/>
          <w:lang w:val="es"/>
        </w:rPr>
      </w:pPr>
      <w:r w:rsidRPr="005235C6">
        <w:rPr>
          <w:rFonts w:ascii="Arial" w:eastAsia="Arial" w:hAnsi="Arial" w:cs="Arial"/>
          <w:b/>
          <w:bCs/>
          <w:sz w:val="24"/>
          <w:szCs w:val="24"/>
          <w:lang w:val="es"/>
        </w:rPr>
        <w:t xml:space="preserve">Ley 2294 de 2023 </w:t>
      </w:r>
    </w:p>
    <w:p w14:paraId="13B3E688" w14:textId="77777777" w:rsidR="00D14722" w:rsidRDefault="00D14722" w:rsidP="00F738DB">
      <w:pPr>
        <w:spacing w:after="0"/>
        <w:ind w:left="708"/>
        <w:jc w:val="both"/>
        <w:rPr>
          <w:rFonts w:ascii="Arial" w:eastAsia="Arial" w:hAnsi="Arial" w:cs="Arial"/>
          <w:b/>
          <w:bCs/>
          <w:i/>
          <w:iCs/>
        </w:rPr>
      </w:pPr>
    </w:p>
    <w:p w14:paraId="779F9FBB" w14:textId="35B34B6B" w:rsidR="00D14722" w:rsidRPr="005235C6" w:rsidRDefault="002A66D1" w:rsidP="00D14722">
      <w:pPr>
        <w:ind w:left="708"/>
        <w:jc w:val="both"/>
      </w:pPr>
      <w:r>
        <w:rPr>
          <w:rFonts w:ascii="Arial" w:eastAsia="Arial" w:hAnsi="Arial" w:cs="Arial"/>
          <w:b/>
          <w:bCs/>
          <w:i/>
          <w:iCs/>
        </w:rPr>
        <w:t>A</w:t>
      </w:r>
      <w:r w:rsidR="00D14722" w:rsidRPr="005235C6">
        <w:rPr>
          <w:rFonts w:ascii="Arial" w:eastAsia="Arial" w:hAnsi="Arial" w:cs="Arial"/>
          <w:b/>
          <w:bCs/>
          <w:i/>
          <w:iCs/>
        </w:rPr>
        <w:t xml:space="preserve">rtículo 5. PLAN NACIONAL DE INVERSIONES PÚBLICAS 2023- 2026. </w:t>
      </w:r>
    </w:p>
    <w:p w14:paraId="41BFCF35" w14:textId="77777777" w:rsidR="00D14722" w:rsidRPr="005235C6" w:rsidRDefault="00D14722" w:rsidP="00D14722">
      <w:pPr>
        <w:ind w:left="708"/>
        <w:jc w:val="both"/>
        <w:rPr>
          <w:rFonts w:ascii="Arial" w:eastAsia="Arial" w:hAnsi="Arial" w:cs="Arial"/>
          <w:i/>
          <w:iCs/>
        </w:rPr>
      </w:pPr>
      <w:r w:rsidRPr="005235C6">
        <w:rPr>
          <w:rFonts w:ascii="Arial" w:eastAsia="Arial" w:hAnsi="Arial" w:cs="Arial"/>
          <w:b/>
          <w:bCs/>
          <w:i/>
          <w:iCs/>
        </w:rPr>
        <w:t>PARÁGRAFO CUARTO.</w:t>
      </w:r>
      <w:r w:rsidRPr="005235C6">
        <w:rPr>
          <w:rFonts w:ascii="Arial" w:eastAsia="Arial" w:hAnsi="Arial" w:cs="Arial"/>
          <w:i/>
          <w:iCs/>
        </w:rPr>
        <w:t xml:space="preserve"> Los proyectos que se desarrollen en el marco del Plan Nacional de Desarrollo 2022-2026, contribuirán a la implementación de programas estratégicos, que se financiarán bajo el principio de concurrencia de fuentes y requerirán de la articulación intersectorial y de los diferentes niveles de gobierno. Para ello, las entidades del orden nacional y territorial aunarán esfuerzos para formular y ejecutar proyectos que permitan la implementación de intervenciones públicas integrales de mediano y largo plazo. (…)”</w:t>
      </w:r>
    </w:p>
    <w:p w14:paraId="767CEAE9" w14:textId="48DCB65F" w:rsidR="00D14722" w:rsidRPr="005235C6" w:rsidRDefault="000C1CE2" w:rsidP="00D14722">
      <w:pPr>
        <w:pStyle w:val="Prrafodelista"/>
        <w:shd w:val="clear" w:color="auto" w:fill="FFFFFF"/>
        <w:suppressAutoHyphens w:val="0"/>
        <w:spacing w:after="0"/>
        <w:jc w:val="both"/>
        <w:textAlignment w:val="baseline"/>
        <w:rPr>
          <w:rFonts w:ascii="Arial" w:eastAsia="Times New Roman" w:hAnsi="Arial" w:cs="Arial"/>
          <w:lang w:val="es-MX" w:eastAsia="es-CO"/>
        </w:rPr>
      </w:pPr>
      <w:r>
        <w:rPr>
          <w:rFonts w:ascii="Arial" w:hAnsi="Arial" w:cs="Arial"/>
          <w:b/>
          <w:bCs/>
        </w:rPr>
        <w:t>A</w:t>
      </w:r>
      <w:r w:rsidR="00D14722" w:rsidRPr="005235C6">
        <w:rPr>
          <w:rFonts w:ascii="Arial" w:hAnsi="Arial" w:cs="Arial"/>
          <w:b/>
          <w:bCs/>
        </w:rPr>
        <w:t xml:space="preserve">rtículo 108. </w:t>
      </w:r>
      <w:r w:rsidR="00D14722" w:rsidRPr="005235C6">
        <w:rPr>
          <w:rFonts w:ascii="Arial" w:eastAsia="Times New Roman" w:hAnsi="Arial" w:cs="Arial"/>
          <w:lang w:val="es-MX" w:eastAsia="es-CO"/>
        </w:rPr>
        <w:t xml:space="preserve"> </w:t>
      </w:r>
    </w:p>
    <w:p w14:paraId="314CD180" w14:textId="77777777" w:rsidR="00D14722" w:rsidRPr="005235C6" w:rsidRDefault="00D14722" w:rsidP="00D14722">
      <w:pPr>
        <w:shd w:val="clear" w:color="auto" w:fill="FFFFFF"/>
        <w:spacing w:after="0" w:line="240" w:lineRule="auto"/>
        <w:jc w:val="both"/>
        <w:rPr>
          <w:rFonts w:ascii="Arial" w:eastAsia="Times New Roman" w:hAnsi="Arial" w:cs="Arial"/>
          <w:lang w:val="es-MX" w:eastAsia="es-CO"/>
        </w:rPr>
      </w:pPr>
    </w:p>
    <w:p w14:paraId="6B0DE1DB" w14:textId="77777777" w:rsidR="00D14722" w:rsidRPr="005235C6" w:rsidRDefault="00D14722" w:rsidP="00F738DB">
      <w:pPr>
        <w:shd w:val="clear" w:color="auto" w:fill="FFFFFF"/>
        <w:spacing w:after="0" w:line="240" w:lineRule="auto"/>
        <w:ind w:left="567"/>
        <w:jc w:val="both"/>
        <w:rPr>
          <w:rFonts w:ascii="Arial" w:eastAsia="Times New Roman" w:hAnsi="Arial" w:cs="Arial"/>
          <w:i/>
          <w:lang w:val="es-MX" w:eastAsia="es-CO"/>
        </w:rPr>
      </w:pPr>
      <w:r w:rsidRPr="005235C6">
        <w:rPr>
          <w:rFonts w:ascii="Arial" w:eastAsia="Times New Roman" w:hAnsi="Arial" w:cs="Arial"/>
          <w:i/>
          <w:iCs/>
          <w:lang w:val="es-MX" w:eastAsia="es-CO"/>
        </w:rPr>
        <w:t xml:space="preserve"> “(…) El Ministerio de Minas y Energía establecerá los criterios para la reasignación de subsidios de energía eléctrica definidos en las Leyes 142 y 143 de 1994, para garantizar que el nivel de consumo indispensable de energía eléctrica de los usuarios en condiciones socioeconómicas vulnerables de los estratos 1 y 2 pueda ser cubierto. (…)”.</w:t>
      </w:r>
    </w:p>
    <w:p w14:paraId="551EC51F" w14:textId="77777777" w:rsidR="00D14722" w:rsidRDefault="00D14722" w:rsidP="00F738DB">
      <w:pPr>
        <w:spacing w:after="0"/>
        <w:rPr>
          <w:lang w:val="es-MX"/>
        </w:rPr>
      </w:pPr>
    </w:p>
    <w:p w14:paraId="28845D03" w14:textId="77777777" w:rsidR="00B3454D" w:rsidRPr="00B3454D" w:rsidRDefault="00D1685A" w:rsidP="00D1685A">
      <w:pPr>
        <w:pStyle w:val="Prrafodelista"/>
        <w:numPr>
          <w:ilvl w:val="0"/>
          <w:numId w:val="180"/>
        </w:numPr>
        <w:spacing w:after="0"/>
        <w:jc w:val="both"/>
        <w:rPr>
          <w:rFonts w:ascii="Arial" w:eastAsia="Calibri" w:hAnsi="Arial" w:cs="Arial"/>
          <w:b/>
          <w:bCs/>
          <w:i/>
          <w:iCs/>
          <w:sz w:val="24"/>
          <w:szCs w:val="24"/>
        </w:rPr>
      </w:pPr>
      <w:commentRangeStart w:id="255"/>
      <w:r w:rsidRPr="005235C6">
        <w:rPr>
          <w:rFonts w:ascii="Arial" w:eastAsia="Arial" w:hAnsi="Arial" w:cs="Arial"/>
          <w:b/>
          <w:bCs/>
          <w:sz w:val="24"/>
          <w:szCs w:val="24"/>
          <w:lang w:val="es"/>
        </w:rPr>
        <w:t xml:space="preserve">Decreto 1020 de 2024. </w:t>
      </w:r>
    </w:p>
    <w:p w14:paraId="5330E526" w14:textId="77777777" w:rsidR="00B3454D" w:rsidRPr="00B3454D" w:rsidRDefault="00B3454D" w:rsidP="00B3454D">
      <w:pPr>
        <w:spacing w:after="0"/>
        <w:ind w:left="360"/>
        <w:jc w:val="both"/>
        <w:rPr>
          <w:rFonts w:ascii="Arial" w:eastAsia="Calibri" w:hAnsi="Arial" w:cs="Arial"/>
          <w:b/>
          <w:bCs/>
          <w:i/>
          <w:iCs/>
          <w:sz w:val="24"/>
          <w:szCs w:val="24"/>
        </w:rPr>
      </w:pPr>
    </w:p>
    <w:p w14:paraId="3CB03006" w14:textId="0AA34ACC" w:rsidR="00D1685A" w:rsidRPr="00B3454D" w:rsidRDefault="00D4196F" w:rsidP="00F738DB">
      <w:pPr>
        <w:spacing w:after="0"/>
        <w:ind w:left="360"/>
        <w:jc w:val="both"/>
        <w:rPr>
          <w:rFonts w:ascii="Arial" w:eastAsia="Calibri" w:hAnsi="Arial" w:cs="Arial"/>
          <w:b/>
          <w:bCs/>
          <w:i/>
          <w:iCs/>
          <w:sz w:val="24"/>
          <w:szCs w:val="24"/>
        </w:rPr>
      </w:pPr>
      <w:r>
        <w:rPr>
          <w:rFonts w:ascii="Arial" w:eastAsia="Calibri" w:hAnsi="Arial" w:cs="Arial"/>
          <w:sz w:val="24"/>
          <w:szCs w:val="24"/>
        </w:rPr>
        <w:t xml:space="preserve">Crea la </w:t>
      </w:r>
      <w:r w:rsidR="00D1685A" w:rsidRPr="00D4196F">
        <w:rPr>
          <w:rFonts w:ascii="Arial" w:eastAsia="Arial" w:hAnsi="Arial" w:cs="Arial"/>
          <w:sz w:val="24"/>
          <w:szCs w:val="24"/>
        </w:rPr>
        <w:t>Comisión Intersectorial de Proyectos Estratégicos</w:t>
      </w:r>
      <w:r w:rsidR="00D1685A" w:rsidRPr="00B3454D">
        <w:rPr>
          <w:rFonts w:ascii="Arial" w:eastAsia="Calibri" w:hAnsi="Arial" w:cs="Arial"/>
          <w:b/>
          <w:bCs/>
          <w:i/>
          <w:iCs/>
          <w:sz w:val="24"/>
          <w:szCs w:val="24"/>
        </w:rPr>
        <w:t>”</w:t>
      </w:r>
      <w:r w:rsidR="00D1685A" w:rsidRPr="005235C6">
        <w:rPr>
          <w:rStyle w:val="Refdenotaalpie"/>
          <w:rFonts w:ascii="Arial" w:eastAsia="Calibri" w:hAnsi="Arial" w:cs="Arial"/>
          <w:b/>
          <w:bCs/>
          <w:i/>
          <w:iCs/>
          <w:sz w:val="24"/>
          <w:szCs w:val="24"/>
        </w:rPr>
        <w:footnoteReference w:id="37"/>
      </w:r>
    </w:p>
    <w:commentRangeEnd w:id="255"/>
    <w:p w14:paraId="39792BCC" w14:textId="77777777" w:rsidR="00AE4A44" w:rsidRDefault="00D1685A" w:rsidP="00F738DB">
      <w:pPr>
        <w:spacing w:after="0"/>
        <w:ind w:left="708"/>
        <w:jc w:val="both"/>
        <w:rPr>
          <w:rFonts w:ascii="Arial" w:eastAsia="Arial" w:hAnsi="Arial" w:cs="Arial"/>
          <w:b/>
          <w:bCs/>
          <w:i/>
          <w:iCs/>
        </w:rPr>
      </w:pPr>
      <w:r>
        <w:rPr>
          <w:rStyle w:val="Refdecomentario"/>
          <w:rFonts w:ascii="Arial" w:eastAsia="Arial" w:hAnsi="Arial" w:cs="Arial"/>
          <w:b/>
          <w:bCs/>
          <w:i/>
          <w:iCs/>
          <w:sz w:val="22"/>
          <w:szCs w:val="22"/>
        </w:rPr>
        <w:commentReference w:id="255"/>
      </w:r>
    </w:p>
    <w:p w14:paraId="0477344D" w14:textId="2CCFC304" w:rsidR="00D1685A" w:rsidRDefault="00D1685A" w:rsidP="00D1685A">
      <w:pPr>
        <w:ind w:left="708"/>
        <w:jc w:val="both"/>
      </w:pPr>
      <w:r w:rsidRPr="3CE97515">
        <w:rPr>
          <w:rFonts w:ascii="Arial" w:eastAsia="Arial" w:hAnsi="Arial" w:cs="Arial"/>
          <w:b/>
          <w:bCs/>
          <w:i/>
          <w:iCs/>
        </w:rPr>
        <w:lastRenderedPageBreak/>
        <w:t>artículo</w:t>
      </w:r>
      <w:r w:rsidRPr="3CE97515">
        <w:rPr>
          <w:rFonts w:ascii="Arial" w:eastAsia="Arial" w:hAnsi="Arial" w:cs="Arial"/>
          <w:i/>
          <w:iCs/>
        </w:rPr>
        <w:t xml:space="preserve"> </w:t>
      </w:r>
      <w:r w:rsidRPr="3CE97515">
        <w:rPr>
          <w:rFonts w:ascii="Arial" w:eastAsia="Arial" w:hAnsi="Arial" w:cs="Arial"/>
          <w:b/>
          <w:bCs/>
          <w:i/>
          <w:iCs/>
        </w:rPr>
        <w:t>1 Creación y objeto.</w:t>
      </w:r>
      <w:r w:rsidRPr="3CE97515">
        <w:rPr>
          <w:rFonts w:ascii="Arial" w:eastAsia="Arial" w:hAnsi="Arial" w:cs="Arial"/>
          <w:i/>
          <w:iCs/>
        </w:rPr>
        <w:t xml:space="preserve"> Créase la Comisión Intersectorial de Proyectos Estratégicos -CIPE - cuyo objeto es la coordinación y orientación superior de las funciones a cargo de las entidades públicas que participan en la estructuración, financiación, contratación y ejecución de proyectos estratégicos de interés nacional.</w:t>
      </w:r>
    </w:p>
    <w:p w14:paraId="6C1E22A5" w14:textId="77777777" w:rsidR="00D1685A" w:rsidRDefault="00D1685A" w:rsidP="00D1685A">
      <w:pPr>
        <w:ind w:left="708"/>
        <w:jc w:val="both"/>
      </w:pPr>
      <w:r w:rsidRPr="3CE97515">
        <w:rPr>
          <w:rFonts w:ascii="Arial" w:eastAsia="Arial" w:hAnsi="Arial" w:cs="Arial"/>
          <w:i/>
          <w:iCs/>
        </w:rPr>
        <w:t>La comisión tendrá a cargo el apoyo a la gestión y el seguimiento de los proyectos de interés nacional y estratégicos - PINES, así como la identificación de las barreras o trámites que dificulten su realización, con el fin de proponer fórmulas o alternativas de solución.</w:t>
      </w:r>
      <w:r>
        <w:t xml:space="preserve"> </w:t>
      </w:r>
      <w:r w:rsidRPr="3CE97515">
        <w:rPr>
          <w:rFonts w:ascii="Arial" w:eastAsia="Arial" w:hAnsi="Arial" w:cs="Arial"/>
          <w:i/>
          <w:iCs/>
        </w:rPr>
        <w:t>(…)”</w:t>
      </w:r>
    </w:p>
    <w:p w14:paraId="1F2EF42F" w14:textId="77777777" w:rsidR="00FB3A8E" w:rsidRPr="005235C6" w:rsidRDefault="00FB3A8E" w:rsidP="00FB3A8E">
      <w:pPr>
        <w:pStyle w:val="Prrafodelista"/>
        <w:numPr>
          <w:ilvl w:val="0"/>
          <w:numId w:val="14"/>
        </w:numPr>
        <w:shd w:val="clear" w:color="auto" w:fill="FFFFFF"/>
        <w:suppressAutoHyphens w:val="0"/>
        <w:spacing w:after="0"/>
        <w:jc w:val="both"/>
        <w:textAlignment w:val="baseline"/>
        <w:rPr>
          <w:rFonts w:ascii="Arial" w:hAnsi="Arial" w:cs="Arial"/>
          <w:b/>
          <w:bCs/>
          <w:sz w:val="24"/>
          <w:szCs w:val="24"/>
        </w:rPr>
      </w:pPr>
      <w:r w:rsidRPr="005235C6">
        <w:rPr>
          <w:rFonts w:ascii="Arial" w:hAnsi="Arial" w:cs="Arial"/>
          <w:b/>
          <w:bCs/>
          <w:sz w:val="24"/>
          <w:szCs w:val="24"/>
        </w:rPr>
        <w:t>Decreto 972 de 2025</w:t>
      </w:r>
    </w:p>
    <w:p w14:paraId="675A6DF0" w14:textId="77777777" w:rsidR="00FB3A8E" w:rsidRPr="005235C6" w:rsidRDefault="00FB3A8E" w:rsidP="00FB3A8E">
      <w:pPr>
        <w:shd w:val="clear" w:color="auto" w:fill="FFFFFF"/>
        <w:suppressAutoHyphens w:val="0"/>
        <w:spacing w:after="0"/>
        <w:jc w:val="both"/>
        <w:textAlignment w:val="baseline"/>
        <w:rPr>
          <w:rFonts w:ascii="Arial" w:hAnsi="Arial" w:cs="Arial"/>
          <w:b/>
          <w:bCs/>
          <w:sz w:val="24"/>
          <w:szCs w:val="24"/>
        </w:rPr>
      </w:pPr>
    </w:p>
    <w:p w14:paraId="1338793D" w14:textId="4A12B406" w:rsidR="00FB3A8E" w:rsidRPr="005235C6" w:rsidRDefault="00FB3A8E" w:rsidP="00FB3A8E">
      <w:pPr>
        <w:shd w:val="clear" w:color="auto" w:fill="FFFFFF"/>
        <w:suppressAutoHyphens w:val="0"/>
        <w:spacing w:after="0"/>
        <w:jc w:val="both"/>
        <w:textAlignment w:val="baseline"/>
        <w:rPr>
          <w:rFonts w:ascii="Arial" w:hAnsi="Arial" w:cs="Arial"/>
          <w:sz w:val="24"/>
          <w:szCs w:val="24"/>
        </w:rPr>
      </w:pPr>
      <w:r w:rsidRPr="005235C6">
        <w:rPr>
          <w:rFonts w:ascii="Arial" w:eastAsia="Arial" w:hAnsi="Arial" w:cs="Arial"/>
          <w:sz w:val="24"/>
          <w:szCs w:val="24"/>
          <w:lang w:val="es"/>
        </w:rPr>
        <w:t>En desarrollo del mandato del numeral 4 del artículo 19 de la Ley 1715 de 2014</w:t>
      </w:r>
      <w:r w:rsidRPr="005235C6">
        <w:rPr>
          <w:rFonts w:ascii="Arial" w:eastAsia="Arial" w:hAnsi="Arial" w:cs="Arial"/>
          <w:i/>
          <w:iCs/>
          <w:sz w:val="24"/>
          <w:szCs w:val="24"/>
          <w:lang w:val="es"/>
        </w:rPr>
        <w:t>,</w:t>
      </w:r>
      <w:r w:rsidRPr="005235C6">
        <w:rPr>
          <w:rFonts w:ascii="Arial" w:eastAsia="Arial" w:hAnsi="Arial" w:cs="Arial"/>
          <w:sz w:val="24"/>
          <w:szCs w:val="24"/>
          <w:lang w:val="es"/>
        </w:rPr>
        <w:t xml:space="preserve"> se expide el Decreto 0972 de 2025. E</w:t>
      </w:r>
      <w:r w:rsidRPr="005235C6">
        <w:rPr>
          <w:rFonts w:ascii="Arial" w:hAnsi="Arial" w:cs="Arial"/>
          <w:sz w:val="24"/>
          <w:szCs w:val="24"/>
        </w:rPr>
        <w:t>ste conglomerado normativo introdujo la Sección 4C al Capítulo 2, Título III, Parte 2, Libro 2, del Decreto Único Reglamentario del Sector Minas y Energía 1073 de 2015, reglament</w:t>
      </w:r>
      <w:r w:rsidR="006B6845">
        <w:rPr>
          <w:rFonts w:ascii="Arial" w:hAnsi="Arial" w:cs="Arial"/>
          <w:sz w:val="24"/>
          <w:szCs w:val="24"/>
        </w:rPr>
        <w:t>ando</w:t>
      </w:r>
      <w:r w:rsidRPr="005235C6">
        <w:rPr>
          <w:rFonts w:ascii="Arial" w:hAnsi="Arial" w:cs="Arial"/>
          <w:sz w:val="24"/>
          <w:szCs w:val="24"/>
        </w:rPr>
        <w:t xml:space="preserve"> la energía solar como fuente de autogeneración para los estratos 1, 2 y 3 del Sistema Interconectado Nacional, como alternativa al subsidio existente para el consumo de electricidad.</w:t>
      </w:r>
    </w:p>
    <w:p w14:paraId="788FE5F5" w14:textId="77777777" w:rsidR="00FB3A8E" w:rsidRPr="005235C6" w:rsidRDefault="00FB3A8E" w:rsidP="00FB3A8E">
      <w:pPr>
        <w:shd w:val="clear" w:color="auto" w:fill="FFFFFF"/>
        <w:suppressAutoHyphens w:val="0"/>
        <w:spacing w:after="0"/>
        <w:jc w:val="both"/>
        <w:textAlignment w:val="baseline"/>
        <w:rPr>
          <w:rFonts w:ascii="Arial" w:hAnsi="Arial" w:cs="Arial"/>
          <w:sz w:val="24"/>
          <w:szCs w:val="24"/>
        </w:rPr>
      </w:pPr>
    </w:p>
    <w:p w14:paraId="3118BB1F" w14:textId="5D7B6C7A" w:rsidR="00491916" w:rsidRPr="001C149F" w:rsidRDefault="0006624C" w:rsidP="00491916">
      <w:pPr>
        <w:shd w:val="clear" w:color="auto" w:fill="FFFFFF"/>
        <w:suppressAutoHyphens w:val="0"/>
        <w:spacing w:after="0"/>
        <w:jc w:val="both"/>
        <w:textAlignment w:val="baseline"/>
        <w:rPr>
          <w:rFonts w:ascii="Arial" w:eastAsia="Times New Roman" w:hAnsi="Arial" w:cs="Arial"/>
          <w:i/>
          <w:iCs/>
          <w:color w:val="000000" w:themeColor="text1"/>
          <w:lang w:val="es-MX" w:eastAsia="es-CO"/>
        </w:rPr>
      </w:pPr>
      <w:r w:rsidRPr="005235C6">
        <w:rPr>
          <w:rFonts w:ascii="Arial" w:eastAsia="Arial" w:hAnsi="Arial" w:cs="Arial"/>
          <w:sz w:val="24"/>
          <w:szCs w:val="24"/>
          <w:lang w:val="es"/>
        </w:rPr>
        <w:t>Asimismo, crea</w:t>
      </w:r>
      <w:r>
        <w:rPr>
          <w:rFonts w:ascii="Arial" w:hAnsi="Arial" w:cs="Arial"/>
          <w:sz w:val="24"/>
          <w:szCs w:val="24"/>
        </w:rPr>
        <w:t xml:space="preserve"> </w:t>
      </w:r>
      <w:r w:rsidR="00491916">
        <w:rPr>
          <w:rFonts w:ascii="Arial" w:hAnsi="Arial" w:cs="Arial"/>
          <w:sz w:val="24"/>
          <w:szCs w:val="24"/>
        </w:rPr>
        <w:t xml:space="preserve">el Programa Colombia </w:t>
      </w:r>
      <w:r w:rsidR="00491916" w:rsidRPr="001C149F">
        <w:rPr>
          <w:rFonts w:ascii="Arial" w:hAnsi="Arial" w:cs="Arial"/>
          <w:sz w:val="24"/>
          <w:szCs w:val="24"/>
        </w:rPr>
        <w:t xml:space="preserve">Solar </w:t>
      </w:r>
      <w:r w:rsidR="00491916" w:rsidRPr="001C149F">
        <w:rPr>
          <w:rFonts w:ascii="Arial" w:hAnsi="Arial" w:cs="Arial"/>
          <w:i/>
          <w:iCs/>
          <w:color w:val="000000" w:themeColor="text1"/>
        </w:rPr>
        <w:t xml:space="preserve">“como </w:t>
      </w:r>
      <w:r w:rsidR="00491916" w:rsidRPr="001C149F">
        <w:rPr>
          <w:rFonts w:ascii="Arial" w:eastAsia="Times New Roman" w:hAnsi="Arial" w:cs="Arial"/>
          <w:i/>
          <w:iCs/>
          <w:color w:val="000000" w:themeColor="text1"/>
          <w:lang w:val="es-MX" w:eastAsia="es-CO"/>
        </w:rPr>
        <w:t>una política energética liderada por el Ministerio de Minas y Energía y sus entidades adscritas, orientada a promover la autogeneración con energía solar, en cualquiera de sus modalidades, para los usuarios de los estratos 1, 2 y 3 del Sistema Interconectado Nacional (SIN) y de las Zonas No Interconectadas (ZNI), como alternativa al subsidio existente para el consumo de electricidad de estos usuarios, en el marco de la Transición Energética Justa.</w:t>
      </w:r>
      <w:r w:rsidR="00491916">
        <w:rPr>
          <w:rFonts w:ascii="Arial" w:eastAsia="Times New Roman" w:hAnsi="Arial" w:cs="Arial"/>
          <w:i/>
          <w:iCs/>
          <w:color w:val="000000" w:themeColor="text1"/>
          <w:lang w:val="es-MX" w:eastAsia="es-CO"/>
        </w:rPr>
        <w:t>”</w:t>
      </w:r>
    </w:p>
    <w:p w14:paraId="1CCF6AA8" w14:textId="77777777" w:rsidR="00491916" w:rsidRDefault="00491916" w:rsidP="00491916">
      <w:pPr>
        <w:shd w:val="clear" w:color="auto" w:fill="FFFFFF"/>
        <w:suppressAutoHyphens w:val="0"/>
        <w:spacing w:after="0"/>
        <w:jc w:val="both"/>
        <w:textAlignment w:val="baseline"/>
        <w:rPr>
          <w:rFonts w:ascii="Arial" w:eastAsia="Times New Roman" w:hAnsi="Arial" w:cs="Arial"/>
          <w:i/>
          <w:iCs/>
          <w:color w:val="333333"/>
          <w:lang w:val="es-MX" w:eastAsia="es-CO"/>
        </w:rPr>
      </w:pPr>
    </w:p>
    <w:p w14:paraId="5C3B7311" w14:textId="77777777" w:rsidR="00491916" w:rsidRDefault="00491916" w:rsidP="00491916">
      <w:pPr>
        <w:shd w:val="clear" w:color="auto" w:fill="FFFFFF" w:themeFill="background1"/>
        <w:suppressAutoHyphens w:val="0"/>
        <w:spacing w:after="0"/>
        <w:jc w:val="both"/>
        <w:textAlignment w:val="baseline"/>
        <w:rPr>
          <w:rFonts w:ascii="Arial" w:hAnsi="Arial" w:cs="Arial"/>
          <w:sz w:val="24"/>
          <w:szCs w:val="24"/>
        </w:rPr>
      </w:pPr>
      <w:r>
        <w:rPr>
          <w:rFonts w:ascii="Arial" w:hAnsi="Arial" w:cs="Arial"/>
          <w:sz w:val="24"/>
          <w:szCs w:val="24"/>
        </w:rPr>
        <w:t>Dicha disposición asigna al Ministerio de Minas y Energía la labor de expedir la reglamentación del Programa, definiendo los instrumentos financieros y contractuales para su implementación, así como lo referente a la propiedad, operación y mantenimiento de la infraestructura resultante de la inversión de sus recursos.</w:t>
      </w:r>
    </w:p>
    <w:p w14:paraId="1E655EE7" w14:textId="77777777" w:rsidR="00FB3A8E" w:rsidRPr="005235C6" w:rsidRDefault="00FB3A8E" w:rsidP="00FB3A8E">
      <w:pPr>
        <w:spacing w:after="0"/>
        <w:jc w:val="both"/>
        <w:rPr>
          <w:sz w:val="24"/>
          <w:szCs w:val="24"/>
        </w:rPr>
      </w:pPr>
    </w:p>
    <w:p w14:paraId="31F67752" w14:textId="77777777" w:rsidR="00FB3A8E" w:rsidRPr="005235C6" w:rsidRDefault="00FB3A8E" w:rsidP="00FB3A8E">
      <w:pPr>
        <w:spacing w:after="0"/>
        <w:ind w:left="780"/>
        <w:jc w:val="both"/>
        <w:rPr>
          <w:rFonts w:ascii="Arial" w:eastAsia="Arial" w:hAnsi="Arial" w:cs="Arial"/>
          <w:i/>
          <w:iCs/>
        </w:rPr>
      </w:pPr>
      <w:r w:rsidRPr="00ED38B1">
        <w:rPr>
          <w:rFonts w:ascii="Arial" w:eastAsia="Arial" w:hAnsi="Arial" w:cs="Arial"/>
          <w:i/>
          <w:iCs/>
        </w:rPr>
        <w:t>“(…)</w:t>
      </w:r>
      <w:r>
        <w:rPr>
          <w:rFonts w:ascii="Arial" w:eastAsia="Arial" w:hAnsi="Arial" w:cs="Arial"/>
          <w:b/>
          <w:bCs/>
          <w:i/>
          <w:iCs/>
        </w:rPr>
        <w:t xml:space="preserve"> </w:t>
      </w:r>
      <w:r w:rsidRPr="005235C6">
        <w:rPr>
          <w:rFonts w:ascii="Arial" w:eastAsia="Arial" w:hAnsi="Arial" w:cs="Arial"/>
          <w:b/>
          <w:bCs/>
          <w:i/>
          <w:iCs/>
        </w:rPr>
        <w:t xml:space="preserve">Artículo </w:t>
      </w:r>
      <w:hyperlink r:id="rId25" w:anchor="2.2.3.2.4.12">
        <w:r w:rsidRPr="005235C6">
          <w:rPr>
            <w:rStyle w:val="Hipervnculo"/>
            <w:rFonts w:ascii="Arial" w:eastAsia="Arial" w:hAnsi="Arial" w:cs="Arial"/>
            <w:b/>
            <w:bCs/>
            <w:i/>
            <w:iCs/>
            <w:color w:val="auto"/>
            <w:u w:val="none"/>
          </w:rPr>
          <w:t>2.2.3.2.4.12</w:t>
        </w:r>
      </w:hyperlink>
      <w:r w:rsidRPr="005235C6">
        <w:rPr>
          <w:rFonts w:ascii="Arial" w:eastAsia="Arial" w:hAnsi="Arial" w:cs="Arial"/>
          <w:b/>
          <w:bCs/>
          <w:i/>
          <w:iCs/>
        </w:rPr>
        <w:t xml:space="preserve">. Habilitación de la energía solar como fuente de autogeneración y alternativa al subsidio existente: </w:t>
      </w:r>
      <w:r w:rsidRPr="005235C6">
        <w:rPr>
          <w:rFonts w:ascii="Arial" w:eastAsia="Arial" w:hAnsi="Arial" w:cs="Arial"/>
          <w:i/>
          <w:iCs/>
        </w:rPr>
        <w:t>Se habilita el desarrollo de la energía solar como fuente de autogeneración para los usuarios de los estratos 1, 2 y 3 del Sistema Interconectado Nacional (SIN) y de las Zonas No Interconectadas (ZNI) como una alternativa al subsidio existente para el consumo de electricidad.</w:t>
      </w:r>
    </w:p>
    <w:p w14:paraId="574C4F7E" w14:textId="77777777" w:rsidR="00FB3A8E" w:rsidRPr="005235C6" w:rsidRDefault="00FB3A8E" w:rsidP="00FB3A8E">
      <w:pPr>
        <w:spacing w:after="0"/>
        <w:ind w:left="780"/>
        <w:jc w:val="both"/>
        <w:rPr>
          <w:rFonts w:ascii="Arial" w:hAnsi="Arial" w:cs="Arial"/>
        </w:rPr>
      </w:pPr>
    </w:p>
    <w:p w14:paraId="25927249" w14:textId="77777777" w:rsidR="00FB3A8E" w:rsidRPr="005235C6" w:rsidRDefault="00FB3A8E" w:rsidP="00FB3A8E">
      <w:pPr>
        <w:spacing w:after="0"/>
        <w:ind w:left="780"/>
        <w:jc w:val="both"/>
        <w:rPr>
          <w:rFonts w:ascii="Arial" w:eastAsia="Arial" w:hAnsi="Arial" w:cs="Arial"/>
          <w:i/>
          <w:iCs/>
        </w:rPr>
      </w:pPr>
      <w:r w:rsidRPr="005235C6">
        <w:rPr>
          <w:rFonts w:ascii="Arial" w:eastAsia="Arial" w:hAnsi="Arial" w:cs="Arial"/>
          <w:b/>
          <w:bCs/>
          <w:i/>
          <w:iCs/>
        </w:rPr>
        <w:t xml:space="preserve">Artículo </w:t>
      </w:r>
      <w:hyperlink r:id="rId26" w:anchor="2.2.3.2.4.13">
        <w:r w:rsidRPr="005235C6">
          <w:rPr>
            <w:rStyle w:val="Hipervnculo"/>
            <w:rFonts w:ascii="Arial" w:eastAsia="Arial" w:hAnsi="Arial" w:cs="Arial"/>
            <w:b/>
            <w:bCs/>
            <w:i/>
            <w:iCs/>
            <w:color w:val="auto"/>
            <w:u w:val="none"/>
          </w:rPr>
          <w:t>2.2.3.2.4.13</w:t>
        </w:r>
      </w:hyperlink>
      <w:r w:rsidRPr="005235C6">
        <w:rPr>
          <w:rFonts w:ascii="Arial" w:eastAsia="Arial" w:hAnsi="Arial" w:cs="Arial"/>
          <w:b/>
          <w:bCs/>
          <w:i/>
          <w:iCs/>
        </w:rPr>
        <w:t xml:space="preserve">. Creación del Programa Colombia Solar: </w:t>
      </w:r>
      <w:r w:rsidRPr="005235C6">
        <w:rPr>
          <w:rFonts w:ascii="Arial" w:eastAsia="Arial" w:hAnsi="Arial" w:cs="Arial"/>
          <w:i/>
          <w:iCs/>
        </w:rPr>
        <w:t>Se crea el Programa Colombia Solar como una política energética liderada por el Ministerio de Minas y Energía y sus entidades adscritas, orientada a promover la autogeneración con energía solar, en cualquiera de sus modalidades, para los usuarios de los estratos 1, 2 y 3 del Sistema Interconectado Nacional (SIN) y de las Zonas No Interconectadas (ZNI), como alternativa al subsidio existente para el consumo de electricidad de estos usuarios, en el marco de la Transición Energética Justa.</w:t>
      </w:r>
    </w:p>
    <w:p w14:paraId="7E37285E" w14:textId="77777777" w:rsidR="00FB3A8E" w:rsidRPr="005235C6" w:rsidRDefault="00FB3A8E" w:rsidP="00FB3A8E">
      <w:pPr>
        <w:spacing w:after="0"/>
        <w:ind w:left="780"/>
        <w:jc w:val="both"/>
        <w:rPr>
          <w:rFonts w:ascii="Arial" w:hAnsi="Arial" w:cs="Arial"/>
        </w:rPr>
      </w:pPr>
    </w:p>
    <w:p w14:paraId="251493CA" w14:textId="77777777" w:rsidR="00FB3A8E" w:rsidRPr="005235C6" w:rsidRDefault="00FB3A8E" w:rsidP="00F738DB">
      <w:pPr>
        <w:spacing w:after="0"/>
        <w:ind w:left="780"/>
        <w:jc w:val="both"/>
        <w:rPr>
          <w:rFonts w:ascii="Arial" w:hAnsi="Arial" w:cs="Arial"/>
        </w:rPr>
      </w:pPr>
      <w:r w:rsidRPr="005235C6">
        <w:rPr>
          <w:rFonts w:ascii="Arial" w:eastAsia="Arial" w:hAnsi="Arial" w:cs="Arial"/>
          <w:b/>
          <w:bCs/>
          <w:i/>
          <w:iCs/>
        </w:rPr>
        <w:t>PARÁGRAFO</w:t>
      </w:r>
      <w:r w:rsidRPr="005235C6">
        <w:rPr>
          <w:rFonts w:ascii="Arial" w:eastAsia="Arial" w:hAnsi="Arial" w:cs="Arial"/>
          <w:b/>
          <w:bCs/>
          <w:i/>
          <w:iCs/>
          <w:color w:val="1E53A3"/>
        </w:rPr>
        <w:t xml:space="preserve">: </w:t>
      </w:r>
      <w:r w:rsidRPr="005235C6">
        <w:rPr>
          <w:rFonts w:ascii="Arial" w:eastAsia="Arial" w:hAnsi="Arial" w:cs="Arial"/>
          <w:i/>
          <w:iCs/>
        </w:rPr>
        <w:t>Para la ejecución de la política energética a través del programa Colombia Solar, podrán participar los diversos agentes que intervienen en la cadena de prestación del servicio público domiciliario de energía eléctrica y desarrolladores de proyectos de generación de energía eléctrica a partir de energía solar.</w:t>
      </w:r>
      <w:r w:rsidRPr="005235C6">
        <w:rPr>
          <w:rFonts w:ascii="Arial" w:hAnsi="Arial" w:cs="Arial"/>
        </w:rPr>
        <w:t xml:space="preserve"> </w:t>
      </w:r>
      <w:r w:rsidRPr="005235C6">
        <w:rPr>
          <w:rFonts w:ascii="Arial" w:eastAsia="Arial" w:hAnsi="Arial" w:cs="Arial"/>
          <w:i/>
          <w:iCs/>
          <w:lang w:val="es"/>
        </w:rPr>
        <w:t>(…)”</w:t>
      </w:r>
    </w:p>
    <w:p w14:paraId="2A98A2F4" w14:textId="77777777" w:rsidR="00D1685A" w:rsidRDefault="00D1685A" w:rsidP="00F738DB">
      <w:pPr>
        <w:spacing w:after="0"/>
        <w:rPr>
          <w:lang w:val="es-MX"/>
        </w:rPr>
      </w:pPr>
    </w:p>
    <w:p w14:paraId="4DA19A28" w14:textId="04E755A8" w:rsidR="00672D1F" w:rsidRPr="00693523" w:rsidRDefault="00672D1F" w:rsidP="00693523">
      <w:pPr>
        <w:pStyle w:val="Prrafodelista"/>
        <w:numPr>
          <w:ilvl w:val="0"/>
          <w:numId w:val="180"/>
        </w:numPr>
        <w:spacing w:after="0"/>
        <w:jc w:val="both"/>
        <w:rPr>
          <w:rFonts w:ascii="Arial" w:eastAsia="Arial" w:hAnsi="Arial" w:cs="Arial"/>
          <w:b/>
          <w:bCs/>
          <w:sz w:val="24"/>
          <w:szCs w:val="24"/>
          <w:lang w:val="es"/>
        </w:rPr>
      </w:pPr>
      <w:r w:rsidRPr="00693523">
        <w:rPr>
          <w:rFonts w:ascii="Arial" w:eastAsia="Arial" w:hAnsi="Arial" w:cs="Arial"/>
          <w:b/>
          <w:bCs/>
          <w:sz w:val="24"/>
          <w:szCs w:val="24"/>
          <w:lang w:val="es"/>
        </w:rPr>
        <w:t>CONPES 4158 del 10 de septiembre de 2025</w:t>
      </w:r>
    </w:p>
    <w:p w14:paraId="4BA3DE27" w14:textId="77777777" w:rsidR="00672D1F" w:rsidRDefault="00672D1F" w:rsidP="00672D1F">
      <w:pPr>
        <w:spacing w:after="0"/>
        <w:jc w:val="both"/>
        <w:rPr>
          <w:rFonts w:ascii="Arial" w:eastAsia="Arial" w:hAnsi="Arial" w:cs="Arial"/>
          <w:sz w:val="24"/>
          <w:szCs w:val="24"/>
        </w:rPr>
      </w:pPr>
    </w:p>
    <w:p w14:paraId="688E4E0A" w14:textId="77777777" w:rsidR="00672D1F" w:rsidRPr="00ED38B1" w:rsidRDefault="00672D1F" w:rsidP="00672D1F">
      <w:pPr>
        <w:spacing w:after="0"/>
        <w:jc w:val="both"/>
        <w:rPr>
          <w:rFonts w:ascii="Arial" w:eastAsia="Times New Roman" w:hAnsi="Arial" w:cs="Arial"/>
          <w:sz w:val="24"/>
          <w:szCs w:val="24"/>
          <w:lang w:eastAsia="es-CO"/>
        </w:rPr>
      </w:pPr>
      <w:r w:rsidRPr="00ED38B1">
        <w:rPr>
          <w:rFonts w:ascii="Arial" w:eastAsia="Arial" w:hAnsi="Arial" w:cs="Arial"/>
          <w:sz w:val="24"/>
          <w:szCs w:val="24"/>
        </w:rPr>
        <w:lastRenderedPageBreak/>
        <w:t xml:space="preserve">En el marco de la implementación del CONPES se cuenta con </w:t>
      </w:r>
      <w:r>
        <w:rPr>
          <w:rFonts w:ascii="Arial" w:eastAsia="Times New Roman" w:hAnsi="Arial" w:cs="Arial"/>
          <w:color w:val="000000"/>
          <w:sz w:val="24"/>
          <w:szCs w:val="24"/>
          <w:lang w:eastAsia="es-CO"/>
        </w:rPr>
        <w:t>e</w:t>
      </w:r>
      <w:r w:rsidRPr="00ED38B1">
        <w:rPr>
          <w:rFonts w:ascii="Arial" w:eastAsia="Times New Roman" w:hAnsi="Arial" w:cs="Arial"/>
          <w:color w:val="000000"/>
          <w:sz w:val="24"/>
          <w:szCs w:val="24"/>
          <w:lang w:eastAsia="es-CO"/>
        </w:rPr>
        <w:t xml:space="preserve">l Aval Fiscal </w:t>
      </w:r>
      <w:r w:rsidRPr="00344984">
        <w:rPr>
          <w:rFonts w:ascii="Arial" w:eastAsia="Times New Roman" w:hAnsi="Arial" w:cs="Arial"/>
          <w:color w:val="000000"/>
          <w:sz w:val="24"/>
          <w:szCs w:val="24"/>
          <w:highlight w:val="yellow"/>
          <w:lang w:eastAsia="es-CO"/>
        </w:rPr>
        <w:t>con radicado 2-2025-055116</w:t>
      </w:r>
      <w:r w:rsidRPr="00ED38B1">
        <w:rPr>
          <w:rFonts w:ascii="Arial" w:eastAsia="Times New Roman" w:hAnsi="Arial" w:cs="Arial"/>
          <w:color w:val="000000"/>
          <w:sz w:val="24"/>
          <w:szCs w:val="24"/>
          <w:lang w:eastAsia="es-CO"/>
        </w:rPr>
        <w:t xml:space="preserve"> del Ministerio de </w:t>
      </w:r>
      <w:r w:rsidRPr="002E54C5">
        <w:rPr>
          <w:rFonts w:ascii="Arial" w:eastAsia="Times New Roman" w:hAnsi="Arial" w:cs="Arial"/>
          <w:color w:val="000000"/>
          <w:sz w:val="24"/>
          <w:szCs w:val="24"/>
          <w:highlight w:val="yellow"/>
          <w:lang w:eastAsia="es-CO"/>
        </w:rPr>
        <w:t>Minas y Energía</w:t>
      </w:r>
      <w:r w:rsidRPr="00ED38B1">
        <w:rPr>
          <w:rFonts w:ascii="Arial" w:eastAsia="Times New Roman" w:hAnsi="Arial" w:cs="Arial"/>
          <w:color w:val="000000"/>
          <w:sz w:val="24"/>
          <w:szCs w:val="24"/>
          <w:lang w:eastAsia="es-CO"/>
        </w:rPr>
        <w:t xml:space="preserve"> </w:t>
      </w:r>
      <w:r>
        <w:rPr>
          <w:rFonts w:ascii="Arial" w:eastAsia="Times New Roman" w:hAnsi="Arial" w:cs="Arial"/>
          <w:color w:val="000000"/>
          <w:sz w:val="24"/>
          <w:szCs w:val="24"/>
          <w:lang w:eastAsia="es-CO"/>
        </w:rPr>
        <w:t xml:space="preserve">que </w:t>
      </w:r>
      <w:r w:rsidRPr="00ED38B1">
        <w:rPr>
          <w:rFonts w:ascii="Arial" w:eastAsia="Times New Roman" w:hAnsi="Arial" w:cs="Arial"/>
          <w:color w:val="000000"/>
          <w:sz w:val="24"/>
          <w:szCs w:val="24"/>
          <w:lang w:eastAsia="es-CO"/>
        </w:rPr>
        <w:t>confirma la viabilidad presupuestal para proyectos solares, asegurando su compatibilidad con el Marco Fiscal de Mediano Plazo (MFMP). Esta aprobación es fundamental para la ejecución de recursos y la sostenibilidad de las iniciativas energéticas del país.</w:t>
      </w:r>
    </w:p>
    <w:p w14:paraId="3654C79A" w14:textId="77777777" w:rsidR="00672D1F" w:rsidRPr="005235C6" w:rsidRDefault="00672D1F" w:rsidP="00672D1F">
      <w:pPr>
        <w:tabs>
          <w:tab w:val="left" w:pos="4474"/>
        </w:tabs>
        <w:spacing w:after="0"/>
        <w:jc w:val="both"/>
      </w:pPr>
    </w:p>
    <w:p w14:paraId="6D7A1CFC" w14:textId="77777777" w:rsidR="00672D1F" w:rsidRDefault="00672D1F" w:rsidP="00672D1F">
      <w:pPr>
        <w:tabs>
          <w:tab w:val="left" w:pos="4474"/>
        </w:tabs>
        <w:spacing w:after="0"/>
        <w:ind w:left="360"/>
        <w:jc w:val="both"/>
        <w:rPr>
          <w:rFonts w:ascii="Arial" w:eastAsia="Arial" w:hAnsi="Arial" w:cs="Arial"/>
          <w:i/>
          <w:iCs/>
        </w:rPr>
      </w:pPr>
      <w:r w:rsidRPr="005235C6">
        <w:rPr>
          <w:rFonts w:ascii="Arial" w:eastAsia="Arial" w:hAnsi="Arial" w:cs="Arial"/>
          <w:i/>
          <w:iCs/>
        </w:rPr>
        <w:t>“(…)</w:t>
      </w:r>
    </w:p>
    <w:p w14:paraId="64C58282" w14:textId="77777777" w:rsidR="00517F3A" w:rsidRPr="005235C6" w:rsidRDefault="00517F3A" w:rsidP="00672D1F">
      <w:pPr>
        <w:tabs>
          <w:tab w:val="left" w:pos="4474"/>
        </w:tabs>
        <w:spacing w:after="0"/>
        <w:ind w:left="360"/>
        <w:jc w:val="both"/>
      </w:pPr>
    </w:p>
    <w:p w14:paraId="00B6D8AD" w14:textId="77777777" w:rsidR="00672D1F" w:rsidRPr="005235C6" w:rsidRDefault="00672D1F" w:rsidP="00672D1F">
      <w:pPr>
        <w:tabs>
          <w:tab w:val="left" w:pos="4474"/>
        </w:tabs>
        <w:spacing w:after="0"/>
        <w:ind w:left="360"/>
        <w:jc w:val="both"/>
      </w:pPr>
      <w:r w:rsidRPr="005235C6">
        <w:rPr>
          <w:rFonts w:ascii="Arial" w:eastAsia="Arial" w:hAnsi="Arial" w:cs="Arial"/>
          <w:i/>
          <w:iCs/>
        </w:rPr>
        <w:t xml:space="preserve"> Promover el acceso equitativo y sostenible a la energía solar para los hogares de estratos 1,</w:t>
      </w:r>
      <w:r w:rsidRPr="005235C6">
        <w:br/>
      </w:r>
      <w:r w:rsidRPr="005235C6">
        <w:rPr>
          <w:rFonts w:ascii="Arial" w:eastAsia="Arial" w:hAnsi="Arial" w:cs="Arial"/>
          <w:i/>
          <w:iCs/>
        </w:rPr>
        <w:t xml:space="preserve"> 2 y 3 del Sistema Interconectado Nacional, con el fin de garantizar hasta el consumo básico de subsistencia de energía en los hogares beneficiarios, contribuir a la diversificación de la matriz energética y reducir la presión fiscal sobre el Fondo de Solidaridad para Subsidios y Redistribución de Ingresos (FSSRI) asegurando la sostenibilidad financiera y operativa del servicio a 2030.</w:t>
      </w:r>
      <w:r>
        <w:t xml:space="preserve"> </w:t>
      </w:r>
      <w:r w:rsidRPr="005235C6">
        <w:rPr>
          <w:rFonts w:ascii="Arial" w:eastAsia="Arial" w:hAnsi="Arial" w:cs="Arial"/>
          <w:i/>
          <w:iCs/>
        </w:rPr>
        <w:t>(…)”</w:t>
      </w:r>
    </w:p>
    <w:p w14:paraId="01A31255" w14:textId="77777777" w:rsidR="00672D1F" w:rsidRDefault="00672D1F" w:rsidP="00672D1F">
      <w:pPr>
        <w:tabs>
          <w:tab w:val="left" w:pos="4474"/>
        </w:tabs>
        <w:spacing w:after="0"/>
        <w:ind w:left="360"/>
        <w:jc w:val="both"/>
      </w:pPr>
      <w:r w:rsidRPr="3CE97515">
        <w:rPr>
          <w:rFonts w:ascii="Arial" w:eastAsia="Arial" w:hAnsi="Arial" w:cs="Arial"/>
          <w:i/>
          <w:iCs/>
        </w:rPr>
        <w:t xml:space="preserve"> </w:t>
      </w:r>
    </w:p>
    <w:p w14:paraId="6803042B" w14:textId="6E9476B6" w:rsidR="00672D1F" w:rsidRPr="00517F3A" w:rsidRDefault="00672D1F" w:rsidP="00F738DB">
      <w:pPr>
        <w:pStyle w:val="Prrafodelista"/>
        <w:numPr>
          <w:ilvl w:val="0"/>
          <w:numId w:val="180"/>
        </w:numPr>
        <w:spacing w:after="0"/>
        <w:jc w:val="both"/>
        <w:rPr>
          <w:rFonts w:ascii="Arial" w:eastAsia="Arial" w:hAnsi="Arial" w:cs="Arial"/>
          <w:b/>
          <w:bCs/>
          <w:sz w:val="24"/>
          <w:szCs w:val="24"/>
          <w:lang w:val="es"/>
        </w:rPr>
      </w:pPr>
      <w:r w:rsidRPr="00517F3A">
        <w:rPr>
          <w:rFonts w:ascii="Arial" w:eastAsia="Arial" w:hAnsi="Arial" w:cs="Arial"/>
          <w:b/>
          <w:bCs/>
          <w:sz w:val="24"/>
          <w:szCs w:val="24"/>
          <w:lang w:val="es"/>
        </w:rPr>
        <w:t>Resolución MME 40159 del 16 de marzo de 2026</w:t>
      </w:r>
    </w:p>
    <w:p w14:paraId="56C3E149" w14:textId="77777777" w:rsidR="00672D1F" w:rsidRDefault="00672D1F" w:rsidP="00F738DB">
      <w:pPr>
        <w:spacing w:after="0"/>
        <w:ind w:left="360"/>
        <w:jc w:val="both"/>
        <w:rPr>
          <w:rFonts w:ascii="Arial" w:eastAsia="Arial" w:hAnsi="Arial" w:cs="Arial"/>
          <w:i/>
          <w:iCs/>
        </w:rPr>
      </w:pPr>
    </w:p>
    <w:p w14:paraId="33A6A22F" w14:textId="77777777" w:rsidR="00672D1F" w:rsidRPr="005235C6" w:rsidRDefault="00672D1F" w:rsidP="00672D1F">
      <w:pPr>
        <w:ind w:left="360"/>
        <w:jc w:val="both"/>
      </w:pPr>
      <w:r w:rsidRPr="005235C6">
        <w:rPr>
          <w:rFonts w:ascii="Arial" w:eastAsia="Arial" w:hAnsi="Arial" w:cs="Arial"/>
          <w:i/>
          <w:iCs/>
        </w:rPr>
        <w:t>“(…)</w:t>
      </w:r>
      <w:r>
        <w:rPr>
          <w:rFonts w:ascii="Arial" w:eastAsia="Arial" w:hAnsi="Arial" w:cs="Arial"/>
          <w:i/>
          <w:iCs/>
        </w:rPr>
        <w:t xml:space="preserve"> </w:t>
      </w:r>
      <w:r w:rsidRPr="005235C6">
        <w:rPr>
          <w:rFonts w:ascii="Arial" w:eastAsia="Arial" w:hAnsi="Arial" w:cs="Arial"/>
          <w:i/>
          <w:iCs/>
        </w:rPr>
        <w:t>tiene por objeto reglamentar los instrumentos contractuales para la implementación del Programa Colombia Solar; lo referente a la propiedad, operación y mantenimiento de la infraestructura que se desarrolle en el marco del Programa y los criterios y mecanismos para la focalización y priorización de usuarios de estratos 1, 2 y 3 del Sistema Interconectado Nacional. De igual forma contiene las disposiciones necesarias para la coordinación y gestión con los agentes involucrados, de conformidad con las fuentes de financiación previstas en la normativa aplicable, en los términos contenidos en los artículos 2.2.3.2.4.17, 2.2.3.2.4.19 y 2.2.3.2.4.21 del Decreto 1073 de 2015.</w:t>
      </w:r>
      <w:r>
        <w:t xml:space="preserve"> </w:t>
      </w:r>
      <w:r w:rsidRPr="005235C6">
        <w:rPr>
          <w:rFonts w:ascii="Arial" w:eastAsia="Arial" w:hAnsi="Arial" w:cs="Arial"/>
          <w:i/>
          <w:iCs/>
        </w:rPr>
        <w:t>(…)”</w:t>
      </w:r>
    </w:p>
    <w:p w14:paraId="1AA8B7CC" w14:textId="77777777" w:rsidR="00672D1F" w:rsidRPr="00703EF9" w:rsidRDefault="00672D1F" w:rsidP="00672D1F">
      <w:pPr>
        <w:pStyle w:val="Prrafodelista"/>
        <w:numPr>
          <w:ilvl w:val="0"/>
          <w:numId w:val="181"/>
        </w:numPr>
        <w:spacing w:after="0"/>
        <w:jc w:val="both"/>
        <w:rPr>
          <w:rFonts w:ascii="Arial" w:eastAsia="Arial" w:hAnsi="Arial" w:cs="Arial"/>
          <w:b/>
          <w:bCs/>
          <w:lang w:val="es"/>
        </w:rPr>
      </w:pPr>
      <w:r w:rsidRPr="00703EF9">
        <w:rPr>
          <w:rFonts w:ascii="Arial" w:eastAsia="Arial" w:hAnsi="Arial" w:cs="Arial"/>
          <w:b/>
          <w:bCs/>
          <w:lang w:val="es"/>
        </w:rPr>
        <w:t>El Programa Colombia Solar</w:t>
      </w:r>
    </w:p>
    <w:p w14:paraId="559FD4F7" w14:textId="77777777" w:rsidR="00672D1F" w:rsidRPr="00703EF9" w:rsidRDefault="00672D1F" w:rsidP="00672D1F">
      <w:pPr>
        <w:pStyle w:val="Prrafodelista"/>
        <w:spacing w:after="0"/>
        <w:jc w:val="both"/>
        <w:rPr>
          <w:rFonts w:ascii="Arial" w:eastAsia="Arial" w:hAnsi="Arial" w:cs="Arial"/>
          <w:b/>
          <w:bCs/>
          <w:lang w:val="es"/>
        </w:rPr>
      </w:pPr>
    </w:p>
    <w:p w14:paraId="6FB9E8FC" w14:textId="77777777" w:rsidR="00672D1F" w:rsidRPr="00703EF9" w:rsidRDefault="00672D1F" w:rsidP="00672D1F">
      <w:pPr>
        <w:spacing w:after="0"/>
        <w:jc w:val="both"/>
      </w:pPr>
      <w:r w:rsidRPr="00703EF9">
        <w:rPr>
          <w:rFonts w:ascii="Arial" w:eastAsia="Arial" w:hAnsi="Arial" w:cs="Arial"/>
          <w:lang w:val="es"/>
        </w:rPr>
        <w:t>El Programa Colombia Solar se crea como una política energética con el apoyo de sus entidades adscritas, constituyéndose en una alternativa al esquema vigente de subsidios, al consumo de energía eléctrica y, como un instrumento clave dentro del marco de la Transición Energética Justa.</w:t>
      </w:r>
    </w:p>
    <w:p w14:paraId="4A2C02E8" w14:textId="77777777" w:rsidR="00672D1F" w:rsidRPr="00703EF9" w:rsidRDefault="00672D1F" w:rsidP="00672D1F">
      <w:pPr>
        <w:spacing w:after="0"/>
        <w:jc w:val="both"/>
      </w:pPr>
      <w:r w:rsidRPr="00703EF9">
        <w:rPr>
          <w:rFonts w:ascii="Arial" w:eastAsia="Arial" w:hAnsi="Arial" w:cs="Arial"/>
          <w:lang w:val="es"/>
        </w:rPr>
        <w:t xml:space="preserve"> </w:t>
      </w:r>
    </w:p>
    <w:p w14:paraId="157865C3" w14:textId="77777777" w:rsidR="00672D1F" w:rsidRPr="00703EF9" w:rsidRDefault="00672D1F" w:rsidP="00672D1F">
      <w:pPr>
        <w:spacing w:after="0"/>
        <w:jc w:val="both"/>
      </w:pPr>
      <w:r w:rsidRPr="00703EF9">
        <w:rPr>
          <w:rFonts w:ascii="Arial" w:eastAsia="Arial" w:hAnsi="Arial" w:cs="Arial"/>
          <w:lang w:val="es-ES"/>
        </w:rPr>
        <w:t xml:space="preserve">De esta forma, el programa Colombia Solar se estructura sobre dos pilares fundamentales: (i) la implementación de soluciones de autogeneración con energía solar fotovoltaica, en cualquiera de sus modalidades; y (ii) el fortalecimiento de capacidades institucionales, operativas y sociales que garanticen la sostenibilidad de estas soluciones a través del tiempo. Esta estrategia tiene como propósito generar alivios directos en la factura de energía eléctrica de los hogares beneficiarios, y al mismo tiempo contribuir a la reducción del déficit fiscal del FSSRI. </w:t>
      </w:r>
    </w:p>
    <w:p w14:paraId="46E49765" w14:textId="77777777" w:rsidR="00672D1F" w:rsidRPr="00703EF9" w:rsidRDefault="00672D1F" w:rsidP="00672D1F">
      <w:pPr>
        <w:spacing w:after="0"/>
        <w:jc w:val="both"/>
      </w:pPr>
      <w:r w:rsidRPr="00703EF9">
        <w:rPr>
          <w:rFonts w:ascii="Arial" w:eastAsia="Arial" w:hAnsi="Arial" w:cs="Arial"/>
          <w:lang w:val="es"/>
        </w:rPr>
        <w:t>Todo lo anterior, se alinea con los objetivos de inclusión social, sostenibilidad ambiental y eficiencia en la prestación de los servicios públicos de la normatividad vigente, fortaleciendo así, el papel del Estado como garante de los derechos fundamentales y del bienestar colectivo.</w:t>
      </w:r>
    </w:p>
    <w:p w14:paraId="4A90E850" w14:textId="77777777" w:rsidR="00672D1F" w:rsidRPr="00703EF9" w:rsidRDefault="00672D1F" w:rsidP="00672D1F">
      <w:pPr>
        <w:spacing w:after="0"/>
        <w:jc w:val="both"/>
      </w:pPr>
      <w:r w:rsidRPr="00703EF9">
        <w:rPr>
          <w:rFonts w:ascii="Arial" w:eastAsia="Arial" w:hAnsi="Arial" w:cs="Arial"/>
          <w:lang w:val="es"/>
        </w:rPr>
        <w:t xml:space="preserve"> </w:t>
      </w:r>
    </w:p>
    <w:p w14:paraId="342D311C" w14:textId="71E91709" w:rsidR="00672D1F" w:rsidRDefault="00672D1F" w:rsidP="00F738DB">
      <w:pPr>
        <w:spacing w:after="0"/>
        <w:jc w:val="both"/>
      </w:pPr>
      <w:r w:rsidRPr="00703EF9">
        <w:rPr>
          <w:rFonts w:ascii="Arial" w:eastAsia="Arial" w:hAnsi="Arial" w:cs="Arial"/>
          <w:lang w:val="es"/>
        </w:rPr>
        <w:t>En el marco del ciclo de inversión pública, el proyecto de inversión Implementación de soluciones de generación fotovoltaica para la reducción del costo del servicio eléctrico en los estratos 1,2 y 3 del Sistema Interconectado Nacional – Programa Colombia Solar</w:t>
      </w:r>
      <w:r w:rsidR="001F64E2">
        <w:rPr>
          <w:rFonts w:ascii="Arial" w:eastAsia="Arial" w:hAnsi="Arial" w:cs="Arial"/>
          <w:lang w:val="es"/>
        </w:rPr>
        <w:t>,</w:t>
      </w:r>
      <w:r w:rsidRPr="00703EF9">
        <w:rPr>
          <w:rFonts w:ascii="Arial" w:eastAsia="Arial" w:hAnsi="Arial" w:cs="Arial"/>
          <w:lang w:val="es"/>
        </w:rPr>
        <w:t xml:space="preserve"> fue sometido al proceso de revisión técnica y presupuestal por parte del DNP, obteniendo concepto de viabilidad el 30 de mayo de 2025, con código BPIN 202500000025335, y un horizonte de ejecución proyectado entre 2026 y 2030. Posteriormente, fue reconocido como Proyecto de Interés Nacional y Estratégico (PINES) por la Comisión Intersectorial de Proyectos Estratégicos (CIPE) mediante acta de sesión del 12 de junio de 2025, conforme a lo dispuesto por el Decreto 1020 de 2024 y a lo previsto en el parágrafo 4 del artículo 5 de la Ley 2294 de 2023 – Plan Nacional de Desarrollo.</w:t>
      </w:r>
    </w:p>
    <w:p w14:paraId="44C1D62A" w14:textId="77777777" w:rsidR="00672D1F" w:rsidRDefault="00672D1F" w:rsidP="00F738DB">
      <w:pPr>
        <w:spacing w:after="0"/>
        <w:jc w:val="both"/>
      </w:pPr>
    </w:p>
    <w:p w14:paraId="5B41DEAD" w14:textId="77777777" w:rsidR="00672D1F" w:rsidRPr="00703EF9" w:rsidRDefault="00672D1F" w:rsidP="00672D1F">
      <w:pPr>
        <w:spacing w:after="0"/>
        <w:jc w:val="both"/>
        <w:rPr>
          <w:highlight w:val="yellow"/>
        </w:rPr>
      </w:pPr>
      <w:r w:rsidRPr="00703EF9">
        <w:rPr>
          <w:rFonts w:ascii="Arial" w:eastAsia="Arial" w:hAnsi="Arial" w:cs="Arial"/>
          <w:highlight w:val="yellow"/>
          <w:lang w:val="es"/>
        </w:rPr>
        <w:t xml:space="preserve">El proyecto de inversión cuenta con el siguiente objetivo: </w:t>
      </w:r>
    </w:p>
    <w:p w14:paraId="09086F63" w14:textId="77777777" w:rsidR="00672D1F" w:rsidRPr="00703EF9" w:rsidRDefault="00672D1F" w:rsidP="00672D1F">
      <w:pPr>
        <w:tabs>
          <w:tab w:val="left" w:pos="8853"/>
        </w:tabs>
        <w:spacing w:before="120" w:after="120"/>
        <w:ind w:right="51"/>
        <w:jc w:val="both"/>
        <w:rPr>
          <w:highlight w:val="yellow"/>
        </w:rPr>
      </w:pPr>
      <w:r w:rsidRPr="00703EF9">
        <w:rPr>
          <w:rFonts w:ascii="Arial" w:eastAsia="Arial" w:hAnsi="Arial" w:cs="Arial"/>
          <w:highlight w:val="yellow"/>
          <w:lang w:val="es"/>
        </w:rPr>
        <w:t xml:space="preserve">Objetivo general: </w:t>
      </w:r>
    </w:p>
    <w:p w14:paraId="23A5E8F5" w14:textId="77777777" w:rsidR="00672D1F" w:rsidRPr="00703EF9" w:rsidRDefault="00672D1F" w:rsidP="00672D1F">
      <w:pPr>
        <w:tabs>
          <w:tab w:val="left" w:pos="8853"/>
        </w:tabs>
        <w:spacing w:before="120" w:after="120"/>
        <w:ind w:left="709" w:right="51"/>
        <w:jc w:val="both"/>
        <w:rPr>
          <w:highlight w:val="yellow"/>
        </w:rPr>
      </w:pPr>
      <w:r w:rsidRPr="00703EF9">
        <w:rPr>
          <w:rFonts w:ascii="Arial" w:eastAsia="Arial" w:hAnsi="Arial" w:cs="Arial"/>
          <w:i/>
          <w:iCs/>
          <w:highlight w:val="yellow"/>
          <w:lang w:val="es"/>
        </w:rPr>
        <w:t>… Reducir los costos de financiación a la cadena de valor de la energía eléctrica de los estratos 1, 2 y 3 del Sistema Interconectado Nacional. (…)”</w:t>
      </w:r>
      <w:r w:rsidRPr="00703EF9">
        <w:rPr>
          <w:rFonts w:ascii="Arial" w:eastAsia="Arial" w:hAnsi="Arial" w:cs="Arial"/>
          <w:highlight w:val="yellow"/>
          <w:lang w:val="es"/>
        </w:rPr>
        <w:t xml:space="preserve"> </w:t>
      </w:r>
    </w:p>
    <w:p w14:paraId="2EE6B720" w14:textId="77777777" w:rsidR="00672D1F" w:rsidRPr="00703EF9" w:rsidRDefault="00672D1F" w:rsidP="00672D1F">
      <w:pPr>
        <w:tabs>
          <w:tab w:val="left" w:pos="8853"/>
        </w:tabs>
        <w:spacing w:before="120" w:after="120"/>
        <w:ind w:right="51"/>
        <w:jc w:val="both"/>
        <w:rPr>
          <w:highlight w:val="yellow"/>
        </w:rPr>
      </w:pPr>
      <w:r w:rsidRPr="00703EF9">
        <w:rPr>
          <w:rFonts w:ascii="Arial" w:eastAsia="Arial" w:hAnsi="Arial" w:cs="Arial"/>
          <w:highlight w:val="yellow"/>
          <w:lang w:val="es"/>
        </w:rPr>
        <w:t xml:space="preserve">Objetivos Específicos: </w:t>
      </w:r>
    </w:p>
    <w:p w14:paraId="640C2256" w14:textId="77777777" w:rsidR="00672D1F" w:rsidRPr="00703EF9" w:rsidRDefault="00672D1F" w:rsidP="00672D1F">
      <w:pPr>
        <w:pStyle w:val="Prrafodelista"/>
        <w:numPr>
          <w:ilvl w:val="0"/>
          <w:numId w:val="179"/>
        </w:numPr>
        <w:spacing w:after="0"/>
        <w:jc w:val="both"/>
        <w:rPr>
          <w:rFonts w:ascii="Arial" w:eastAsia="Arial" w:hAnsi="Arial" w:cs="Arial"/>
          <w:highlight w:val="yellow"/>
          <w:lang w:val="es"/>
        </w:rPr>
      </w:pPr>
      <w:r w:rsidRPr="00703EF9">
        <w:rPr>
          <w:rFonts w:ascii="Arial" w:eastAsia="Arial" w:hAnsi="Arial" w:cs="Arial"/>
          <w:i/>
          <w:iCs/>
          <w:highlight w:val="yellow"/>
          <w:lang w:val="es"/>
        </w:rPr>
        <w:t>Fortalecer los análisis territoriales sobre la capacidad de generación de energía solar para atender la demanda de los usuarios de estratos 1, 2 y 3 del Sistema Interconectado Nacional</w:t>
      </w:r>
      <w:r w:rsidRPr="00703EF9">
        <w:rPr>
          <w:rFonts w:ascii="Arial" w:eastAsia="Arial" w:hAnsi="Arial" w:cs="Arial"/>
          <w:highlight w:val="yellow"/>
          <w:lang w:val="es"/>
        </w:rPr>
        <w:t xml:space="preserve"> </w:t>
      </w:r>
    </w:p>
    <w:p w14:paraId="408E23AB" w14:textId="77777777" w:rsidR="00672D1F" w:rsidRPr="00703EF9" w:rsidRDefault="00672D1F" w:rsidP="00672D1F">
      <w:pPr>
        <w:pStyle w:val="Prrafodelista"/>
        <w:numPr>
          <w:ilvl w:val="0"/>
          <w:numId w:val="178"/>
        </w:numPr>
        <w:spacing w:after="0"/>
        <w:jc w:val="both"/>
        <w:rPr>
          <w:rFonts w:ascii="Arial" w:eastAsia="Arial" w:hAnsi="Arial" w:cs="Arial"/>
          <w:highlight w:val="yellow"/>
          <w:lang w:val="es"/>
        </w:rPr>
      </w:pPr>
      <w:r w:rsidRPr="00703EF9">
        <w:rPr>
          <w:rFonts w:ascii="Arial" w:eastAsia="Arial" w:hAnsi="Arial" w:cs="Arial"/>
          <w:i/>
          <w:iCs/>
          <w:highlight w:val="yellow"/>
          <w:lang w:val="es"/>
        </w:rPr>
        <w:t>Impulsar la diversificación de la matriz energética incorporando fuentes no convencionales de energía renovables y sostenibles.</w:t>
      </w:r>
      <w:r w:rsidRPr="00703EF9">
        <w:rPr>
          <w:rFonts w:ascii="Arial" w:eastAsia="Arial" w:hAnsi="Arial" w:cs="Arial"/>
          <w:highlight w:val="yellow"/>
          <w:lang w:val="es"/>
        </w:rPr>
        <w:t xml:space="preserve"> </w:t>
      </w:r>
    </w:p>
    <w:p w14:paraId="6B4D428C" w14:textId="77777777" w:rsidR="00672D1F" w:rsidRPr="00672D1F" w:rsidRDefault="00672D1F" w:rsidP="00573397">
      <w:pPr>
        <w:shd w:val="clear" w:color="auto" w:fill="FFFFFF" w:themeFill="background1"/>
        <w:suppressAutoHyphens w:val="0"/>
        <w:spacing w:after="0"/>
        <w:jc w:val="both"/>
        <w:textAlignment w:val="baseline"/>
        <w:rPr>
          <w:rFonts w:ascii="Arial" w:hAnsi="Arial" w:cs="Arial"/>
          <w:sz w:val="24"/>
          <w:szCs w:val="24"/>
          <w:lang w:val="es"/>
        </w:rPr>
      </w:pPr>
    </w:p>
    <w:p w14:paraId="5E98281C" w14:textId="1A2B5F8D" w:rsidR="00573397" w:rsidRDefault="00573397" w:rsidP="00573397">
      <w:pPr>
        <w:pStyle w:val="Ttulo5"/>
        <w:ind w:left="1008" w:hanging="1008"/>
      </w:pPr>
      <w:bookmarkStart w:id="256" w:name="_Toc1397951703"/>
      <w:r>
        <w:t>IV-</w:t>
      </w:r>
      <w:r w:rsidR="00BF1F24">
        <w:t>4</w:t>
      </w:r>
      <w:r>
        <w:t>.2 Requisitos para la presentación de proyectos</w:t>
      </w:r>
      <w:bookmarkEnd w:id="256"/>
      <w:r>
        <w:t xml:space="preserve"> </w:t>
      </w:r>
    </w:p>
    <w:p w14:paraId="0E47A480" w14:textId="77777777" w:rsidR="00573397" w:rsidRDefault="00573397" w:rsidP="00573397">
      <w:pPr>
        <w:shd w:val="clear" w:color="auto" w:fill="FFFFFF" w:themeFill="background1"/>
        <w:suppressAutoHyphens w:val="0"/>
        <w:spacing w:after="0"/>
        <w:jc w:val="both"/>
        <w:textAlignment w:val="baseline"/>
        <w:rPr>
          <w:rFonts w:ascii="Arial" w:hAnsi="Arial" w:cs="Arial"/>
          <w:sz w:val="24"/>
          <w:szCs w:val="24"/>
        </w:rPr>
      </w:pPr>
    </w:p>
    <w:p w14:paraId="6D7E6C4F" w14:textId="40A89F0B" w:rsidR="00573397" w:rsidRDefault="00573397" w:rsidP="00573397">
      <w:pPr>
        <w:shd w:val="clear" w:color="auto" w:fill="FFFFFF" w:themeFill="background1"/>
        <w:suppressAutoHyphens w:val="0"/>
        <w:spacing w:after="0"/>
        <w:jc w:val="both"/>
        <w:textAlignment w:val="baseline"/>
        <w:rPr>
          <w:rFonts w:ascii="Arial" w:eastAsia="Times New Roman" w:hAnsi="Arial" w:cs="Arial"/>
          <w:sz w:val="24"/>
          <w:szCs w:val="24"/>
          <w:lang w:eastAsia="es-CO"/>
        </w:rPr>
      </w:pPr>
      <w:r w:rsidRPr="00205066">
        <w:rPr>
          <w:rFonts w:ascii="Arial" w:eastAsia="Times New Roman" w:hAnsi="Arial" w:cs="Arial"/>
          <w:sz w:val="24"/>
          <w:szCs w:val="24"/>
          <w:lang w:eastAsia="es-CO"/>
        </w:rPr>
        <w:t xml:space="preserve">Para los </w:t>
      </w:r>
      <w:r>
        <w:rPr>
          <w:rFonts w:ascii="Arial" w:eastAsia="Times New Roman" w:hAnsi="Arial" w:cs="Arial"/>
          <w:sz w:val="24"/>
          <w:szCs w:val="24"/>
          <w:lang w:eastAsia="es-CO"/>
        </w:rPr>
        <w:t xml:space="preserve">planes, programas o </w:t>
      </w:r>
      <w:r w:rsidRPr="00205066">
        <w:rPr>
          <w:rFonts w:ascii="Arial" w:eastAsia="Times New Roman" w:hAnsi="Arial" w:cs="Arial"/>
          <w:sz w:val="24"/>
          <w:szCs w:val="24"/>
          <w:lang w:eastAsia="es-CO"/>
        </w:rPr>
        <w:t xml:space="preserve">proyectos enmarcados en iniciativas como </w:t>
      </w:r>
      <w:r>
        <w:rPr>
          <w:rFonts w:ascii="Arial" w:eastAsia="Times New Roman" w:hAnsi="Arial" w:cs="Arial"/>
          <w:sz w:val="24"/>
          <w:szCs w:val="24"/>
          <w:lang w:eastAsia="es-CO"/>
        </w:rPr>
        <w:t>Colombia Solar</w:t>
      </w:r>
      <w:r w:rsidRPr="00205066">
        <w:rPr>
          <w:rFonts w:ascii="Arial" w:eastAsia="Times New Roman" w:hAnsi="Arial" w:cs="Arial"/>
          <w:sz w:val="24"/>
          <w:szCs w:val="24"/>
          <w:lang w:eastAsia="es-CO"/>
        </w:rPr>
        <w:t xml:space="preserve">, la presentación </w:t>
      </w:r>
      <w:r>
        <w:rPr>
          <w:rFonts w:ascii="Arial" w:eastAsia="Times New Roman" w:hAnsi="Arial" w:cs="Arial"/>
          <w:sz w:val="24"/>
          <w:szCs w:val="24"/>
          <w:lang w:eastAsia="es-CO"/>
        </w:rPr>
        <w:t xml:space="preserve">de estos </w:t>
      </w:r>
      <w:r w:rsidRPr="00205066">
        <w:rPr>
          <w:rFonts w:ascii="Arial" w:eastAsia="Times New Roman" w:hAnsi="Arial" w:cs="Arial"/>
          <w:sz w:val="24"/>
          <w:szCs w:val="24"/>
          <w:lang w:eastAsia="es-CO"/>
        </w:rPr>
        <w:t xml:space="preserve">deberá ajustarse a lo establecido en el numeral </w:t>
      </w:r>
      <w:r w:rsidRPr="00CC08EB">
        <w:rPr>
          <w:rFonts w:ascii="Arial" w:eastAsia="Times New Roman" w:hAnsi="Arial" w:cs="Arial"/>
          <w:sz w:val="24"/>
          <w:szCs w:val="24"/>
          <w:lang w:eastAsia="es-CO"/>
        </w:rPr>
        <w:t>III-</w:t>
      </w:r>
      <w:r w:rsidRPr="0087514B">
        <w:rPr>
          <w:rFonts w:ascii="Arial" w:eastAsia="Times New Roman" w:hAnsi="Arial" w:cs="Arial"/>
          <w:sz w:val="24"/>
          <w:szCs w:val="24"/>
          <w:highlight w:val="yellow"/>
          <w:lang w:eastAsia="es-CO"/>
        </w:rPr>
        <w:t xml:space="preserve">2.5 </w:t>
      </w:r>
      <w:r w:rsidRPr="0087514B">
        <w:rPr>
          <w:rFonts w:ascii="Arial" w:eastAsia="Times New Roman" w:hAnsi="Arial" w:cs="Arial"/>
          <w:b/>
          <w:bCs/>
          <w:sz w:val="24"/>
          <w:szCs w:val="24"/>
          <w:highlight w:val="yellow"/>
          <w:lang w:eastAsia="es-CO"/>
        </w:rPr>
        <w:t>Proyectos de Comunidades Energéticas</w:t>
      </w:r>
      <w:r w:rsidRPr="00205066">
        <w:rPr>
          <w:rFonts w:ascii="Arial" w:eastAsia="Times New Roman" w:hAnsi="Arial" w:cs="Arial"/>
          <w:b/>
          <w:bCs/>
          <w:sz w:val="24"/>
          <w:szCs w:val="24"/>
          <w:lang w:eastAsia="es-CO"/>
        </w:rPr>
        <w:t xml:space="preserve"> y Colombia Solar</w:t>
      </w:r>
      <w:r>
        <w:rPr>
          <w:rFonts w:ascii="Arial" w:eastAsia="Times New Roman" w:hAnsi="Arial" w:cs="Arial"/>
          <w:sz w:val="24"/>
          <w:szCs w:val="24"/>
          <w:lang w:eastAsia="es-CO"/>
        </w:rPr>
        <w:t xml:space="preserve"> </w:t>
      </w:r>
      <w:r w:rsidRPr="00205066">
        <w:rPr>
          <w:rFonts w:ascii="Arial" w:eastAsia="Times New Roman" w:hAnsi="Arial" w:cs="Arial"/>
          <w:sz w:val="24"/>
          <w:szCs w:val="24"/>
          <w:lang w:eastAsia="es-CO"/>
        </w:rPr>
        <w:t xml:space="preserve">del presente </w:t>
      </w:r>
      <w:r w:rsidR="0087514B">
        <w:rPr>
          <w:rFonts w:ascii="Arial" w:eastAsia="Times New Roman" w:hAnsi="Arial" w:cs="Arial"/>
          <w:sz w:val="24"/>
          <w:szCs w:val="24"/>
          <w:lang w:eastAsia="es-CO"/>
        </w:rPr>
        <w:t>M</w:t>
      </w:r>
      <w:r w:rsidRPr="00205066">
        <w:rPr>
          <w:rFonts w:ascii="Arial" w:eastAsia="Times New Roman" w:hAnsi="Arial" w:cs="Arial"/>
          <w:sz w:val="24"/>
          <w:szCs w:val="24"/>
          <w:lang w:eastAsia="es-CO"/>
        </w:rPr>
        <w:t>anual, en atención a que estos se rigen por su normativa y regulación específica, la cual define sus requisitos, condiciones y lineamientos particulares. En este sentido, dichos requisitos podrán ser objeto de actualización conforme a las necesidades técnicas, regulatorias y de política pública que se determinen.</w:t>
      </w:r>
    </w:p>
    <w:p w14:paraId="260DFA2D" w14:textId="77777777" w:rsidR="00573397" w:rsidRPr="006E0A33" w:rsidRDefault="00573397" w:rsidP="00573397">
      <w:pPr>
        <w:shd w:val="clear" w:color="auto" w:fill="FFFFFF" w:themeFill="background1"/>
        <w:suppressAutoHyphens w:val="0"/>
        <w:spacing w:after="0"/>
        <w:jc w:val="both"/>
        <w:textAlignment w:val="baseline"/>
        <w:rPr>
          <w:rFonts w:ascii="Arial" w:hAnsi="Arial" w:cs="Arial"/>
          <w:sz w:val="24"/>
          <w:szCs w:val="24"/>
        </w:rPr>
      </w:pPr>
    </w:p>
    <w:p w14:paraId="43A03B00" w14:textId="1D00AB31" w:rsidR="002849EC" w:rsidRDefault="00745D87" w:rsidP="00F738DB">
      <w:pPr>
        <w:pStyle w:val="Ttulo3"/>
        <w:spacing w:before="0"/>
        <w:jc w:val="both"/>
        <w:rPr>
          <w:rFonts w:eastAsia="Arial" w:cs="Arial"/>
        </w:rPr>
      </w:pPr>
      <w:r>
        <w:rPr>
          <w:rFonts w:eastAsia="Arial" w:cs="Arial"/>
        </w:rPr>
        <w:t>IV-</w:t>
      </w:r>
      <w:r w:rsidR="00BF1F24">
        <w:rPr>
          <w:rFonts w:eastAsia="Arial" w:cs="Arial"/>
        </w:rPr>
        <w:t>4</w:t>
      </w:r>
      <w:r>
        <w:rPr>
          <w:rFonts w:eastAsia="Arial" w:cs="Arial"/>
        </w:rPr>
        <w:t>.</w:t>
      </w:r>
      <w:r w:rsidR="00BF1F24">
        <w:rPr>
          <w:rFonts w:eastAsia="Arial" w:cs="Arial"/>
        </w:rPr>
        <w:t>3</w:t>
      </w:r>
      <w:r>
        <w:rPr>
          <w:rFonts w:eastAsia="Arial" w:cs="Arial"/>
        </w:rPr>
        <w:t xml:space="preserve"> </w:t>
      </w:r>
      <w:r w:rsidRPr="00745D87">
        <w:rPr>
          <w:rFonts w:eastAsia="Arial" w:cs="Arial"/>
        </w:rPr>
        <w:t>Manejo Financiero</w:t>
      </w:r>
    </w:p>
    <w:p w14:paraId="6833ED74" w14:textId="77777777" w:rsidR="00F074C0" w:rsidRDefault="00F074C0" w:rsidP="00F738DB">
      <w:pPr>
        <w:spacing w:after="0"/>
      </w:pPr>
    </w:p>
    <w:p w14:paraId="705C829D" w14:textId="3A4AF208" w:rsidR="00745D87" w:rsidRDefault="00745D87" w:rsidP="00134A65">
      <w:pPr>
        <w:tabs>
          <w:tab w:val="left" w:pos="4474"/>
        </w:tabs>
        <w:spacing w:after="0"/>
        <w:jc w:val="both"/>
        <w:rPr>
          <w:rFonts w:ascii="Arial" w:eastAsia="Arial" w:hAnsi="Arial" w:cs="Arial"/>
          <w:sz w:val="24"/>
          <w:szCs w:val="24"/>
        </w:rPr>
      </w:pPr>
      <w:r w:rsidRPr="00134A65">
        <w:rPr>
          <w:rFonts w:ascii="Arial" w:eastAsia="Arial" w:hAnsi="Arial" w:cs="Arial"/>
          <w:sz w:val="24"/>
          <w:szCs w:val="24"/>
        </w:rPr>
        <w:t>Los recursos que sustentarán la ejecución del Programa Colombia Solar se manejarán a través de la subcuenta denominada XXX.</w:t>
      </w:r>
    </w:p>
    <w:p w14:paraId="03952617" w14:textId="77777777" w:rsidR="00134A65" w:rsidRPr="00134A65" w:rsidRDefault="00134A65" w:rsidP="00134A65">
      <w:pPr>
        <w:tabs>
          <w:tab w:val="left" w:pos="4474"/>
        </w:tabs>
        <w:spacing w:after="0"/>
        <w:jc w:val="both"/>
        <w:rPr>
          <w:rFonts w:ascii="Arial" w:eastAsia="Arial" w:hAnsi="Arial" w:cs="Arial"/>
          <w:sz w:val="24"/>
          <w:szCs w:val="24"/>
        </w:rPr>
      </w:pPr>
    </w:p>
    <w:p w14:paraId="592DA01E" w14:textId="431D1F18" w:rsidR="00745D87" w:rsidRPr="00745D87" w:rsidRDefault="00745D87" w:rsidP="00745D87">
      <w:pPr>
        <w:pStyle w:val="Ttulo3"/>
        <w:jc w:val="both"/>
        <w:rPr>
          <w:rFonts w:eastAsia="Arial" w:cs="Arial"/>
        </w:rPr>
      </w:pPr>
      <w:r w:rsidRPr="00745D87">
        <w:rPr>
          <w:rFonts w:eastAsia="Arial" w:cs="Arial"/>
        </w:rPr>
        <w:t>IV-</w:t>
      </w:r>
      <w:r w:rsidR="00BF1F24">
        <w:rPr>
          <w:rFonts w:eastAsia="Arial" w:cs="Arial"/>
        </w:rPr>
        <w:t>4</w:t>
      </w:r>
      <w:r w:rsidRPr="00745D87">
        <w:rPr>
          <w:rFonts w:eastAsia="Arial" w:cs="Arial"/>
        </w:rPr>
        <w:t>.</w:t>
      </w:r>
      <w:r w:rsidR="00BF1F24">
        <w:rPr>
          <w:rFonts w:eastAsia="Arial" w:cs="Arial"/>
        </w:rPr>
        <w:t>4</w:t>
      </w:r>
      <w:r w:rsidRPr="00745D87">
        <w:rPr>
          <w:rFonts w:eastAsia="Arial" w:cs="Arial"/>
        </w:rPr>
        <w:t xml:space="preserve"> Régimen Contractual </w:t>
      </w:r>
    </w:p>
    <w:p w14:paraId="6D320165" w14:textId="77777777" w:rsidR="00F074C0" w:rsidRDefault="00F074C0" w:rsidP="00F738DB">
      <w:pPr>
        <w:tabs>
          <w:tab w:val="left" w:pos="4474"/>
        </w:tabs>
        <w:spacing w:after="0"/>
        <w:jc w:val="both"/>
        <w:rPr>
          <w:rFonts w:ascii="Arial" w:eastAsia="Arial" w:hAnsi="Arial" w:cs="Arial"/>
          <w:sz w:val="24"/>
          <w:szCs w:val="24"/>
        </w:rPr>
      </w:pPr>
    </w:p>
    <w:p w14:paraId="7DB9DEF2" w14:textId="2B295F19" w:rsidR="00745D87" w:rsidRDefault="00745D87" w:rsidP="00745D87">
      <w:pPr>
        <w:tabs>
          <w:tab w:val="left" w:pos="4474"/>
        </w:tabs>
        <w:spacing w:after="0"/>
        <w:jc w:val="both"/>
      </w:pPr>
      <w:r w:rsidRPr="3CE97515">
        <w:rPr>
          <w:rFonts w:ascii="Arial" w:eastAsia="Arial" w:hAnsi="Arial" w:cs="Arial"/>
          <w:sz w:val="24"/>
          <w:szCs w:val="24"/>
        </w:rPr>
        <w:t>En el marco de la Ley 80 de 1993, las entidades estatales se encuentran facultadas para celebrar contratos orientados al cumplimiento de sus fines, en concordancia con los principios de transparencia, economía, responsabilidad, selección objetiva, planeación y publicidad. Sin embargo, en el ámbito de los servicios públicos domiciliarios, la Ley 142 de 1994 establece un régimen especial que permite la celebración de contratos mediante esquemas flexibles, incluso regidos por normas de derecho privado, sin que ello desvirtúe su naturaleza jurídica de contratos estatales. En ese sentido, y conforme al desarrollo jurisprudencial del Consejo de Estado, el régimen jurídico aplicable debe determinarse en función del objeto contractual y de la normativa especial que lo regula, razón por la cual los instrumentos del Programa Colombia Solar pueden estructurarse bajo modalidades contractuales diferenciadas, garantizando la adecuada gestión del servicio y el cumplimiento de los fines de la función administrativa.</w:t>
      </w:r>
    </w:p>
    <w:p w14:paraId="3B7D02CA" w14:textId="77777777" w:rsidR="0034710E" w:rsidRDefault="0034710E" w:rsidP="002849EC">
      <w:pPr>
        <w:pStyle w:val="Ttulo3"/>
        <w:jc w:val="both"/>
        <w:rPr>
          <w:rFonts w:eastAsia="Arial" w:cs="Arial"/>
        </w:rPr>
      </w:pPr>
      <w:bookmarkStart w:id="257" w:name="_Toc396529205"/>
    </w:p>
    <w:p w14:paraId="75045A38" w14:textId="38A6B3C5" w:rsidR="002849EC" w:rsidRDefault="002849EC" w:rsidP="002849EC">
      <w:pPr>
        <w:pStyle w:val="Ttulo3"/>
        <w:jc w:val="both"/>
        <w:rPr>
          <w:rFonts w:eastAsia="Arial" w:cs="Arial"/>
        </w:rPr>
      </w:pPr>
      <w:r w:rsidRPr="40AD52C2">
        <w:rPr>
          <w:rFonts w:eastAsia="Arial" w:cs="Arial"/>
        </w:rPr>
        <w:t>IV-</w:t>
      </w:r>
      <w:r w:rsidR="00BF1F24">
        <w:rPr>
          <w:rFonts w:eastAsia="Arial" w:cs="Arial"/>
        </w:rPr>
        <w:t>4.5</w:t>
      </w:r>
      <w:r w:rsidRPr="40AD52C2">
        <w:rPr>
          <w:rFonts w:eastAsia="Arial" w:cs="Arial"/>
        </w:rPr>
        <w:t xml:space="preserve"> Criterios de priorización para proyectos de energía del Programa Colombia Solar</w:t>
      </w:r>
      <w:bookmarkEnd w:id="257"/>
    </w:p>
    <w:p w14:paraId="69651B17" w14:textId="77777777" w:rsidR="0034710E" w:rsidRDefault="0034710E" w:rsidP="0034710E">
      <w:pPr>
        <w:tabs>
          <w:tab w:val="left" w:pos="4474"/>
        </w:tabs>
        <w:spacing w:after="0"/>
        <w:jc w:val="both"/>
        <w:rPr>
          <w:rFonts w:ascii="Arial" w:eastAsia="Arial" w:hAnsi="Arial" w:cs="Arial"/>
          <w:sz w:val="24"/>
          <w:szCs w:val="24"/>
        </w:rPr>
      </w:pPr>
    </w:p>
    <w:p w14:paraId="5B316F77" w14:textId="2ADC8849" w:rsidR="002849EC" w:rsidRDefault="002849EC" w:rsidP="0034710E">
      <w:pPr>
        <w:tabs>
          <w:tab w:val="left" w:pos="4474"/>
        </w:tabs>
        <w:spacing w:after="0"/>
        <w:jc w:val="both"/>
        <w:rPr>
          <w:rFonts w:ascii="Arial" w:eastAsia="Arial" w:hAnsi="Arial" w:cs="Arial"/>
          <w:sz w:val="24"/>
          <w:szCs w:val="24"/>
        </w:rPr>
      </w:pPr>
      <w:r w:rsidRPr="0034710E">
        <w:rPr>
          <w:rFonts w:ascii="Arial" w:eastAsia="Arial" w:hAnsi="Arial" w:cs="Arial"/>
          <w:sz w:val="24"/>
          <w:szCs w:val="24"/>
        </w:rPr>
        <w:t xml:space="preserve">El Programa Colombia Solar llevará a cabo procesos de focalización y priorización de beneficiarios y territorios en el marco de lo establecido en el Decreto 0972 de 2025 y la </w:t>
      </w:r>
      <w:r w:rsidRPr="0034710E">
        <w:rPr>
          <w:rFonts w:ascii="Arial" w:eastAsia="Arial" w:hAnsi="Arial" w:cs="Arial"/>
          <w:sz w:val="24"/>
          <w:szCs w:val="24"/>
        </w:rPr>
        <w:lastRenderedPageBreak/>
        <w:t>Resolución 40159 de 2026, mediante la definición de criterios técnicos, operativos y socioeconómicos por parte del Ministerio de Minas y Energía.</w:t>
      </w:r>
    </w:p>
    <w:p w14:paraId="01615569" w14:textId="77777777" w:rsidR="0034710E" w:rsidRDefault="0034710E" w:rsidP="0034710E">
      <w:pPr>
        <w:tabs>
          <w:tab w:val="left" w:pos="4474"/>
        </w:tabs>
        <w:spacing w:after="0"/>
        <w:jc w:val="both"/>
        <w:rPr>
          <w:rFonts w:ascii="Arial" w:eastAsia="Arial" w:hAnsi="Arial" w:cs="Arial"/>
          <w:b/>
          <w:bCs/>
          <w:sz w:val="24"/>
          <w:szCs w:val="24"/>
        </w:rPr>
      </w:pPr>
    </w:p>
    <w:p w14:paraId="6ED2489C" w14:textId="4F5426C3" w:rsidR="002849EC" w:rsidRPr="0034710E" w:rsidRDefault="002849EC" w:rsidP="0034710E">
      <w:pPr>
        <w:tabs>
          <w:tab w:val="left" w:pos="4474"/>
        </w:tabs>
        <w:spacing w:after="0"/>
        <w:jc w:val="both"/>
        <w:rPr>
          <w:rFonts w:ascii="Arial" w:eastAsia="Arial" w:hAnsi="Arial" w:cs="Arial"/>
          <w:b/>
          <w:bCs/>
          <w:sz w:val="24"/>
          <w:szCs w:val="24"/>
        </w:rPr>
      </w:pPr>
      <w:r w:rsidRPr="0034710E">
        <w:rPr>
          <w:rFonts w:ascii="Arial" w:eastAsia="Arial" w:hAnsi="Arial" w:cs="Arial"/>
          <w:b/>
          <w:bCs/>
          <w:sz w:val="24"/>
          <w:szCs w:val="24"/>
        </w:rPr>
        <w:t>IV-</w:t>
      </w:r>
      <w:r w:rsidR="00BF1F24">
        <w:rPr>
          <w:rFonts w:ascii="Arial" w:eastAsia="Arial" w:hAnsi="Arial" w:cs="Arial"/>
          <w:b/>
          <w:bCs/>
          <w:sz w:val="24"/>
          <w:szCs w:val="24"/>
        </w:rPr>
        <w:t>4</w:t>
      </w:r>
      <w:r w:rsidRPr="0034710E">
        <w:rPr>
          <w:rFonts w:ascii="Arial" w:eastAsia="Arial" w:hAnsi="Arial" w:cs="Arial"/>
          <w:b/>
          <w:bCs/>
          <w:sz w:val="24"/>
          <w:szCs w:val="24"/>
        </w:rPr>
        <w:t>.</w:t>
      </w:r>
      <w:r w:rsidR="00BF1F24">
        <w:rPr>
          <w:rFonts w:ascii="Arial" w:eastAsia="Arial" w:hAnsi="Arial" w:cs="Arial"/>
          <w:b/>
          <w:bCs/>
          <w:sz w:val="24"/>
          <w:szCs w:val="24"/>
        </w:rPr>
        <w:t>5</w:t>
      </w:r>
      <w:r w:rsidRPr="0034710E">
        <w:rPr>
          <w:rFonts w:ascii="Arial" w:eastAsia="Arial" w:hAnsi="Arial" w:cs="Arial"/>
          <w:b/>
          <w:bCs/>
          <w:sz w:val="24"/>
          <w:szCs w:val="24"/>
        </w:rPr>
        <w:t>.1 Focalización departamental de recursos</w:t>
      </w:r>
    </w:p>
    <w:p w14:paraId="568EF85F" w14:textId="77777777" w:rsidR="0034710E" w:rsidRPr="0034710E" w:rsidRDefault="0034710E" w:rsidP="0034710E">
      <w:pPr>
        <w:tabs>
          <w:tab w:val="left" w:pos="4474"/>
        </w:tabs>
        <w:spacing w:after="0"/>
        <w:jc w:val="both"/>
        <w:rPr>
          <w:rFonts w:ascii="Arial" w:eastAsia="Arial" w:hAnsi="Arial" w:cs="Arial"/>
          <w:sz w:val="24"/>
          <w:szCs w:val="24"/>
        </w:rPr>
      </w:pPr>
    </w:p>
    <w:p w14:paraId="14388AC0" w14:textId="77777777" w:rsidR="002849EC" w:rsidRPr="0034710E" w:rsidRDefault="002849EC" w:rsidP="0034710E">
      <w:pPr>
        <w:tabs>
          <w:tab w:val="left" w:pos="4474"/>
        </w:tabs>
        <w:spacing w:after="0"/>
        <w:jc w:val="both"/>
        <w:rPr>
          <w:rFonts w:ascii="Arial" w:eastAsia="Arial" w:hAnsi="Arial" w:cs="Arial"/>
          <w:sz w:val="24"/>
          <w:szCs w:val="24"/>
        </w:rPr>
      </w:pPr>
      <w:r w:rsidRPr="0034710E">
        <w:rPr>
          <w:rFonts w:ascii="Arial" w:eastAsia="Arial" w:hAnsi="Arial" w:cs="Arial"/>
          <w:sz w:val="24"/>
          <w:szCs w:val="24"/>
        </w:rPr>
        <w:t xml:space="preserve">La focalización de recursos es el proceso mediante el cual se identifican, ponderan y clasifican los departamentos para la asignación eficiente y equitativa de los recursos según las necesidades reales de cada uno, aplicando una metodología constituida por cinco criterios base que, operados bajo fórmulas específicas, da como resultado, un valor definido como Valor Ponderado por Departamento (ΦPTD).  </w:t>
      </w:r>
    </w:p>
    <w:p w14:paraId="582FA7D0" w14:textId="77777777" w:rsidR="002849EC" w:rsidRDefault="002849EC" w:rsidP="002849EC">
      <w:pPr>
        <w:spacing w:after="160"/>
        <w:jc w:val="both"/>
      </w:pPr>
      <w:r>
        <w:rPr>
          <w:noProof/>
        </w:rPr>
        <w:drawing>
          <wp:inline distT="0" distB="0" distL="0" distR="0" wp14:anchorId="52C8B102" wp14:editId="783B82EC">
            <wp:extent cx="1714500" cy="495300"/>
            <wp:effectExtent l="0" t="0" r="0" b="0"/>
            <wp:docPr id="213438529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385295" name="Picture 2134385295"/>
                    <pic:cNvPicPr/>
                  </pic:nvPicPr>
                  <pic:blipFill>
                    <a:blip r:embed="rId27">
                      <a:extLst>
                        <a:ext uri="{28A0092B-C50C-407E-A947-70E740481C1C}">
                          <a14:useLocalDpi xmlns:a14="http://schemas.microsoft.com/office/drawing/2010/main"/>
                        </a:ext>
                      </a:extLst>
                    </a:blip>
                    <a:stretch>
                      <a:fillRect/>
                    </a:stretch>
                  </pic:blipFill>
                  <pic:spPr>
                    <a:xfrm>
                      <a:off x="0" y="0"/>
                      <a:ext cx="1714500" cy="495300"/>
                    </a:xfrm>
                    <a:prstGeom prst="rect">
                      <a:avLst/>
                    </a:prstGeom>
                  </pic:spPr>
                </pic:pic>
              </a:graphicData>
            </a:graphic>
          </wp:inline>
        </w:drawing>
      </w:r>
      <w:r w:rsidRPr="40AD52C2">
        <w:rPr>
          <w:rFonts w:ascii="Aptos" w:eastAsia="Aptos" w:hAnsi="Aptos" w:cs="Aptos"/>
          <w:sz w:val="24"/>
          <w:szCs w:val="24"/>
        </w:rPr>
        <w:t xml:space="preserve">  (1) </w:t>
      </w:r>
    </w:p>
    <w:p w14:paraId="3745BC04" w14:textId="77777777" w:rsidR="002849EC" w:rsidRDefault="002849EC" w:rsidP="002849EC">
      <w:pPr>
        <w:spacing w:after="160"/>
        <w:jc w:val="both"/>
      </w:pPr>
      <w:r>
        <w:rPr>
          <w:noProof/>
        </w:rPr>
        <w:drawing>
          <wp:inline distT="0" distB="0" distL="0" distR="0" wp14:anchorId="1E1A98D7" wp14:editId="7D662261">
            <wp:extent cx="5619750" cy="238125"/>
            <wp:effectExtent l="0" t="0" r="0" b="0"/>
            <wp:docPr id="3820134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013448" name="Picture 382013448"/>
                    <pic:cNvPicPr/>
                  </pic:nvPicPr>
                  <pic:blipFill>
                    <a:blip r:embed="rId28">
                      <a:extLst>
                        <a:ext uri="{28A0092B-C50C-407E-A947-70E740481C1C}">
                          <a14:useLocalDpi xmlns:a14="http://schemas.microsoft.com/office/drawing/2010/main"/>
                        </a:ext>
                      </a:extLst>
                    </a:blip>
                    <a:stretch>
                      <a:fillRect/>
                    </a:stretch>
                  </pic:blipFill>
                  <pic:spPr>
                    <a:xfrm>
                      <a:off x="0" y="0"/>
                      <a:ext cx="5619750" cy="238125"/>
                    </a:xfrm>
                    <a:prstGeom prst="rect">
                      <a:avLst/>
                    </a:prstGeom>
                  </pic:spPr>
                </pic:pic>
              </a:graphicData>
            </a:graphic>
          </wp:inline>
        </w:drawing>
      </w:r>
      <w:r w:rsidRPr="40AD52C2">
        <w:rPr>
          <w:rFonts w:ascii="Aptos" w:eastAsia="Aptos" w:hAnsi="Aptos" w:cs="Aptos"/>
          <w:sz w:val="24"/>
          <w:szCs w:val="24"/>
        </w:rPr>
        <w:t xml:space="preserve">(2) </w:t>
      </w:r>
    </w:p>
    <w:p w14:paraId="303D5E5D" w14:textId="77777777" w:rsidR="003E2C54" w:rsidRDefault="002849EC" w:rsidP="003E2C54">
      <w:pPr>
        <w:tabs>
          <w:tab w:val="left" w:pos="4474"/>
        </w:tabs>
        <w:spacing w:after="0"/>
        <w:jc w:val="both"/>
        <w:rPr>
          <w:rFonts w:ascii="Arial" w:eastAsia="Arial" w:hAnsi="Arial" w:cs="Arial"/>
          <w:sz w:val="24"/>
          <w:szCs w:val="24"/>
        </w:rPr>
      </w:pPr>
      <w:r w:rsidRPr="003E2C54">
        <w:rPr>
          <w:rFonts w:ascii="Arial" w:eastAsia="Arial" w:hAnsi="Arial" w:cs="Arial"/>
          <w:sz w:val="24"/>
          <w:szCs w:val="24"/>
        </w:rPr>
        <w:t>Donde</w:t>
      </w:r>
      <w:r w:rsidR="003E2C54">
        <w:rPr>
          <w:rFonts w:ascii="Arial" w:eastAsia="Arial" w:hAnsi="Arial" w:cs="Arial"/>
          <w:sz w:val="24"/>
          <w:szCs w:val="24"/>
        </w:rPr>
        <w:t>:</w:t>
      </w:r>
    </w:p>
    <w:p w14:paraId="094ABD0C" w14:textId="20E9465F" w:rsidR="002849EC" w:rsidRPr="003E2C54" w:rsidRDefault="002849EC" w:rsidP="003E2C54">
      <w:pPr>
        <w:tabs>
          <w:tab w:val="left" w:pos="4474"/>
        </w:tabs>
        <w:spacing w:after="0"/>
        <w:jc w:val="both"/>
        <w:rPr>
          <w:rFonts w:ascii="Arial" w:eastAsia="Arial" w:hAnsi="Arial" w:cs="Arial"/>
          <w:sz w:val="24"/>
          <w:szCs w:val="24"/>
        </w:rPr>
      </w:pPr>
      <w:r w:rsidRPr="003E2C54">
        <w:rPr>
          <w:rFonts w:ascii="Arial" w:eastAsia="Arial" w:hAnsi="Arial" w:cs="Arial"/>
          <w:sz w:val="24"/>
          <w:szCs w:val="24"/>
        </w:rPr>
        <w:t xml:space="preserve">  </w:t>
      </w:r>
    </w:p>
    <w:p w14:paraId="134335CD" w14:textId="77777777" w:rsidR="002849EC" w:rsidRPr="003E2C54" w:rsidRDefault="002849EC" w:rsidP="003E2C54">
      <w:pPr>
        <w:tabs>
          <w:tab w:val="left" w:pos="4474"/>
        </w:tabs>
        <w:spacing w:after="0"/>
        <w:jc w:val="both"/>
        <w:rPr>
          <w:rFonts w:ascii="Arial" w:eastAsia="Arial" w:hAnsi="Arial" w:cs="Arial"/>
          <w:sz w:val="24"/>
          <w:szCs w:val="24"/>
        </w:rPr>
      </w:pPr>
      <w:r w:rsidRPr="003E2C54">
        <w:rPr>
          <w:rFonts w:ascii="Arial" w:eastAsia="Arial" w:hAnsi="Arial" w:cs="Arial"/>
          <w:sz w:val="24"/>
          <w:szCs w:val="24"/>
        </w:rPr>
        <w:t xml:space="preserve">El ΦPTD se expresa en porcentaje y representa el peso o valor prioritario de un departamento específico, dentro de los 27 departamentos pertenecientes al Sistema Interconectado Nacional (SIN) como se muestra en la formula (1), con el objetivo de cuantificar y justificar la Distribución de los recursos en cada Departamento.  </w:t>
      </w:r>
    </w:p>
    <w:p w14:paraId="3C8A32F9" w14:textId="77777777" w:rsidR="003E2C54" w:rsidRDefault="003E2C54" w:rsidP="003E2C54">
      <w:pPr>
        <w:tabs>
          <w:tab w:val="left" w:pos="4474"/>
        </w:tabs>
        <w:spacing w:after="0"/>
        <w:jc w:val="both"/>
        <w:rPr>
          <w:rFonts w:ascii="Arial" w:eastAsia="Arial" w:hAnsi="Arial" w:cs="Arial"/>
          <w:sz w:val="24"/>
          <w:szCs w:val="24"/>
        </w:rPr>
      </w:pPr>
    </w:p>
    <w:p w14:paraId="1473B50B" w14:textId="3D59E3F0" w:rsidR="002849EC" w:rsidRPr="003E2C54" w:rsidRDefault="002849EC" w:rsidP="003E2C54">
      <w:pPr>
        <w:tabs>
          <w:tab w:val="left" w:pos="4474"/>
        </w:tabs>
        <w:spacing w:after="0"/>
        <w:jc w:val="both"/>
        <w:rPr>
          <w:rFonts w:ascii="Arial" w:eastAsia="Arial" w:hAnsi="Arial" w:cs="Arial"/>
          <w:sz w:val="24"/>
          <w:szCs w:val="24"/>
        </w:rPr>
      </w:pPr>
      <w:r w:rsidRPr="003E2C54">
        <w:rPr>
          <w:rFonts w:ascii="Arial" w:eastAsia="Arial" w:hAnsi="Arial" w:cs="Arial"/>
          <w:sz w:val="24"/>
          <w:szCs w:val="24"/>
        </w:rPr>
        <w:t xml:space="preserve">El valor PTD es el Puntaje total por Departamento cuyo resultado se obtiene al efectuar la fórmula (2). Se indica como una constante que representa las condiciones socioeconómicas, energéticas y de recurso solar de cada uno de los departamentos a evaluar. El PTD se obtiene mediante la ponderación de cinco criterios: Índice de Pobreza Multidimensional (IPM), Índice de Pobreza Energética Multidimensional (IPEM), Costo Unitario del Servicio de Energía Eléctrica (CU), Porcentaje de Participación de Usuarios (%PTU) y Horas Solares Pico (HSP), descritos a continuación:  </w:t>
      </w:r>
    </w:p>
    <w:p w14:paraId="57D00007" w14:textId="77777777" w:rsidR="003E2C54" w:rsidRDefault="003E2C54" w:rsidP="003E2C54">
      <w:pPr>
        <w:tabs>
          <w:tab w:val="left" w:pos="4474"/>
        </w:tabs>
        <w:spacing w:after="0"/>
        <w:jc w:val="both"/>
        <w:rPr>
          <w:rFonts w:ascii="Arial" w:eastAsia="Arial" w:hAnsi="Arial" w:cs="Arial"/>
          <w:b/>
          <w:bCs/>
          <w:sz w:val="24"/>
          <w:szCs w:val="24"/>
        </w:rPr>
      </w:pPr>
    </w:p>
    <w:p w14:paraId="19586ADC" w14:textId="7017B036" w:rsidR="002849EC" w:rsidRPr="003E2C54" w:rsidRDefault="002849EC" w:rsidP="003E2C54">
      <w:pPr>
        <w:tabs>
          <w:tab w:val="left" w:pos="4474"/>
        </w:tabs>
        <w:spacing w:after="0"/>
        <w:jc w:val="both"/>
        <w:rPr>
          <w:rFonts w:ascii="Arial" w:eastAsia="Arial" w:hAnsi="Arial" w:cs="Arial"/>
          <w:b/>
          <w:bCs/>
          <w:sz w:val="24"/>
          <w:szCs w:val="24"/>
        </w:rPr>
      </w:pPr>
      <w:r w:rsidRPr="003E2C54">
        <w:rPr>
          <w:rFonts w:ascii="Arial" w:eastAsia="Arial" w:hAnsi="Arial" w:cs="Arial"/>
          <w:b/>
          <w:bCs/>
          <w:sz w:val="24"/>
          <w:szCs w:val="24"/>
        </w:rPr>
        <w:t xml:space="preserve">Índice de Pobreza Multidimensional (IPM) </w:t>
      </w:r>
    </w:p>
    <w:p w14:paraId="1C076003" w14:textId="77777777" w:rsidR="003E2C54" w:rsidRDefault="003E2C54" w:rsidP="003E2C54">
      <w:pPr>
        <w:tabs>
          <w:tab w:val="left" w:pos="4474"/>
        </w:tabs>
        <w:spacing w:after="0"/>
        <w:jc w:val="both"/>
        <w:rPr>
          <w:rFonts w:ascii="Arial" w:eastAsia="Arial" w:hAnsi="Arial" w:cs="Arial"/>
          <w:sz w:val="24"/>
          <w:szCs w:val="24"/>
        </w:rPr>
      </w:pPr>
    </w:p>
    <w:p w14:paraId="49EA4206" w14:textId="77777777" w:rsidR="00C53E72" w:rsidRDefault="002849EC" w:rsidP="003E2C54">
      <w:pPr>
        <w:tabs>
          <w:tab w:val="left" w:pos="4474"/>
        </w:tabs>
        <w:spacing w:after="0"/>
        <w:jc w:val="both"/>
        <w:rPr>
          <w:rFonts w:ascii="Arial" w:eastAsia="Arial" w:hAnsi="Arial" w:cs="Arial"/>
          <w:sz w:val="24"/>
          <w:szCs w:val="24"/>
        </w:rPr>
      </w:pPr>
      <w:r w:rsidRPr="003E2C54">
        <w:rPr>
          <w:rFonts w:ascii="Arial" w:eastAsia="Arial" w:hAnsi="Arial" w:cs="Arial"/>
          <w:sz w:val="24"/>
          <w:szCs w:val="24"/>
        </w:rPr>
        <w:t xml:space="preserve">Indicador que evalúa las privaciones de un individuo con respecto a ciertas características vitales como la educación, salud, vivienda, trabajo, capacidad de adquisición de bienes y servicios, entre otras. Su valor se expresa en términos de porcentaje y se obtiene a partir de los datos más recientes publicados por parte del DANE dentro del Boletín Técnico de Pobreza Multidimensional (IPM) año 2024. El DANE genera los datos del IPM por departamento, tomando como base cinco dimensiones con sus respectivos indicadores: </w:t>
      </w:r>
    </w:p>
    <w:p w14:paraId="70084A3E" w14:textId="3B6918D4" w:rsidR="002849EC" w:rsidRPr="003E2C54" w:rsidRDefault="002849EC" w:rsidP="003E2C54">
      <w:pPr>
        <w:tabs>
          <w:tab w:val="left" w:pos="4474"/>
        </w:tabs>
        <w:spacing w:after="0"/>
        <w:jc w:val="both"/>
        <w:rPr>
          <w:rFonts w:ascii="Arial" w:eastAsia="Arial" w:hAnsi="Arial" w:cs="Arial"/>
          <w:sz w:val="24"/>
          <w:szCs w:val="24"/>
        </w:rPr>
      </w:pPr>
      <w:r w:rsidRPr="003E2C54">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151"/>
        <w:gridCol w:w="5243"/>
      </w:tblGrid>
      <w:tr w:rsidR="002849EC" w14:paraId="12A74C88" w14:textId="77777777" w:rsidTr="00C14EF5">
        <w:trPr>
          <w:trHeight w:val="285"/>
        </w:trPr>
        <w:tc>
          <w:tcPr>
            <w:tcW w:w="4425" w:type="dxa"/>
            <w:tcBorders>
              <w:top w:val="single" w:sz="4" w:space="0" w:color="auto"/>
              <w:left w:val="single" w:sz="4" w:space="0" w:color="auto"/>
              <w:bottom w:val="single" w:sz="4" w:space="0" w:color="auto"/>
              <w:right w:val="single" w:sz="4" w:space="0" w:color="auto"/>
            </w:tcBorders>
            <w:vAlign w:val="center"/>
          </w:tcPr>
          <w:p w14:paraId="091521F1" w14:textId="12ED2AEE" w:rsidR="002849EC" w:rsidRDefault="00444335" w:rsidP="00C14EF5">
            <w:pPr>
              <w:spacing w:after="160"/>
              <w:jc w:val="both"/>
              <w:rPr>
                <w:rFonts w:ascii="Arial" w:eastAsia="Arial" w:hAnsi="Arial" w:cs="Arial"/>
                <w:color w:val="000000" w:themeColor="text1"/>
                <w:sz w:val="24"/>
                <w:szCs w:val="24"/>
              </w:rPr>
            </w:pPr>
            <w:r w:rsidRPr="00444335">
              <w:rPr>
                <w:rFonts w:ascii="Arial" w:eastAsia="Arial" w:hAnsi="Arial" w:cs="Arial"/>
                <w:b/>
                <w:bCs/>
                <w:color w:val="000000" w:themeColor="text1"/>
                <w:sz w:val="24"/>
                <w:szCs w:val="24"/>
                <w:lang w:val="es-MX"/>
              </w:rPr>
              <w:t>D</w:t>
            </w:r>
            <w:r w:rsidR="002849EC" w:rsidRPr="00444335">
              <w:rPr>
                <w:rFonts w:ascii="Arial" w:eastAsia="Arial" w:hAnsi="Arial" w:cs="Arial"/>
                <w:b/>
                <w:bCs/>
                <w:color w:val="000000" w:themeColor="text1"/>
                <w:sz w:val="24"/>
                <w:szCs w:val="24"/>
                <w:lang w:val="es-MX"/>
              </w:rPr>
              <w:t>IMENSIÓN</w:t>
            </w:r>
            <w:r w:rsidR="002849EC" w:rsidRPr="40AD52C2">
              <w:rPr>
                <w:rFonts w:ascii="Arial" w:eastAsia="Arial" w:hAnsi="Arial" w:cs="Arial"/>
                <w:color w:val="000000" w:themeColor="text1"/>
                <w:sz w:val="24"/>
                <w:szCs w:val="24"/>
              </w:rPr>
              <w:t xml:space="preserve"> </w:t>
            </w:r>
          </w:p>
        </w:tc>
        <w:tc>
          <w:tcPr>
            <w:tcW w:w="5610" w:type="dxa"/>
            <w:tcBorders>
              <w:top w:val="single" w:sz="4" w:space="0" w:color="auto"/>
              <w:left w:val="single" w:sz="4" w:space="0" w:color="auto"/>
              <w:bottom w:val="single" w:sz="4" w:space="0" w:color="auto"/>
              <w:right w:val="single" w:sz="4" w:space="0" w:color="auto"/>
            </w:tcBorders>
            <w:vAlign w:val="center"/>
          </w:tcPr>
          <w:p w14:paraId="0AC3BFF2"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INDICADOR</w:t>
            </w:r>
            <w:r w:rsidRPr="40AD52C2">
              <w:rPr>
                <w:rFonts w:ascii="Arial" w:eastAsia="Arial" w:hAnsi="Arial" w:cs="Arial"/>
                <w:color w:val="000000" w:themeColor="text1"/>
                <w:sz w:val="24"/>
                <w:szCs w:val="24"/>
              </w:rPr>
              <w:t xml:space="preserve"> </w:t>
            </w:r>
          </w:p>
        </w:tc>
      </w:tr>
      <w:tr w:rsidR="002849EC" w14:paraId="40562A0B" w14:textId="77777777" w:rsidTr="00C14EF5">
        <w:trPr>
          <w:trHeight w:val="285"/>
        </w:trPr>
        <w:tc>
          <w:tcPr>
            <w:tcW w:w="4425" w:type="dxa"/>
            <w:vMerge w:val="restart"/>
            <w:tcBorders>
              <w:top w:val="single" w:sz="4" w:space="0" w:color="auto"/>
              <w:left w:val="single" w:sz="4" w:space="0" w:color="auto"/>
              <w:bottom w:val="single" w:sz="4" w:space="0" w:color="auto"/>
              <w:right w:val="single" w:sz="4" w:space="0" w:color="auto"/>
            </w:tcBorders>
            <w:vAlign w:val="center"/>
          </w:tcPr>
          <w:p w14:paraId="372FB7ED"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Condiciones educativas del hogar</w:t>
            </w:r>
            <w:r w:rsidRPr="40AD52C2">
              <w:rPr>
                <w:rFonts w:ascii="Arial" w:eastAsia="Arial" w:hAnsi="Arial" w:cs="Arial"/>
                <w:color w:val="000000" w:themeColor="text1"/>
                <w:sz w:val="24"/>
                <w:szCs w:val="24"/>
              </w:rPr>
              <w:t xml:space="preserve"> </w:t>
            </w:r>
          </w:p>
        </w:tc>
        <w:tc>
          <w:tcPr>
            <w:tcW w:w="5610" w:type="dxa"/>
            <w:tcBorders>
              <w:top w:val="single" w:sz="4" w:space="0" w:color="auto"/>
              <w:left w:val="single" w:sz="4" w:space="0" w:color="auto"/>
              <w:bottom w:val="single" w:sz="4" w:space="0" w:color="auto"/>
              <w:right w:val="single" w:sz="4" w:space="0" w:color="auto"/>
            </w:tcBorders>
            <w:vAlign w:val="center"/>
          </w:tcPr>
          <w:p w14:paraId="3CAFD39E"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Analfabetismo</w:t>
            </w:r>
            <w:r w:rsidRPr="40AD52C2">
              <w:rPr>
                <w:rFonts w:ascii="Arial" w:eastAsia="Arial" w:hAnsi="Arial" w:cs="Arial"/>
                <w:color w:val="000000" w:themeColor="text1"/>
                <w:sz w:val="24"/>
                <w:szCs w:val="24"/>
              </w:rPr>
              <w:t xml:space="preserve"> </w:t>
            </w:r>
          </w:p>
        </w:tc>
      </w:tr>
      <w:tr w:rsidR="002849EC" w14:paraId="2B913F70"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4497B313"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0ABDB9E5"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Bajo logro educativo</w:t>
            </w:r>
            <w:r w:rsidRPr="40AD52C2">
              <w:rPr>
                <w:rFonts w:ascii="Arial" w:eastAsia="Arial" w:hAnsi="Arial" w:cs="Arial"/>
                <w:color w:val="000000" w:themeColor="text1"/>
                <w:sz w:val="24"/>
                <w:szCs w:val="24"/>
              </w:rPr>
              <w:t xml:space="preserve"> </w:t>
            </w:r>
          </w:p>
        </w:tc>
      </w:tr>
      <w:tr w:rsidR="002849EC" w14:paraId="2EF613B4" w14:textId="77777777" w:rsidTr="00C14EF5">
        <w:trPr>
          <w:trHeight w:val="285"/>
        </w:trPr>
        <w:tc>
          <w:tcPr>
            <w:tcW w:w="4425" w:type="dxa"/>
            <w:vMerge w:val="restart"/>
            <w:tcBorders>
              <w:top w:val="nil"/>
              <w:left w:val="single" w:sz="4" w:space="0" w:color="auto"/>
              <w:bottom w:val="single" w:sz="4" w:space="0" w:color="auto"/>
              <w:right w:val="single" w:sz="4" w:space="0" w:color="auto"/>
            </w:tcBorders>
            <w:vAlign w:val="center"/>
          </w:tcPr>
          <w:p w14:paraId="7E3B7CD5"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Condiciones de la niñez y juventud</w:t>
            </w:r>
            <w:r w:rsidRPr="40AD52C2">
              <w:rPr>
                <w:rFonts w:ascii="Arial" w:eastAsia="Arial" w:hAnsi="Arial" w:cs="Arial"/>
                <w:color w:val="000000" w:themeColor="text1"/>
                <w:sz w:val="24"/>
                <w:szCs w:val="24"/>
              </w:rPr>
              <w:t xml:space="preserve"> </w:t>
            </w:r>
          </w:p>
        </w:tc>
        <w:tc>
          <w:tcPr>
            <w:tcW w:w="5610" w:type="dxa"/>
            <w:tcBorders>
              <w:top w:val="single" w:sz="4" w:space="0" w:color="auto"/>
              <w:left w:val="single" w:sz="4" w:space="0" w:color="auto"/>
              <w:bottom w:val="single" w:sz="4" w:space="0" w:color="auto"/>
              <w:right w:val="single" w:sz="4" w:space="0" w:color="auto"/>
            </w:tcBorders>
            <w:vAlign w:val="center"/>
          </w:tcPr>
          <w:p w14:paraId="4B30ECB7"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xml:space="preserve">Inasistencia escolar </w:t>
            </w:r>
            <w:r w:rsidRPr="40AD52C2">
              <w:rPr>
                <w:rFonts w:ascii="Arial" w:eastAsia="Arial" w:hAnsi="Arial" w:cs="Arial"/>
                <w:color w:val="000000" w:themeColor="text1"/>
                <w:sz w:val="24"/>
                <w:szCs w:val="24"/>
              </w:rPr>
              <w:t xml:space="preserve"> </w:t>
            </w:r>
          </w:p>
        </w:tc>
      </w:tr>
      <w:tr w:rsidR="002849EC" w14:paraId="318A063F"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315EB775"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19B0DFE5"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Rezago escolar</w:t>
            </w:r>
            <w:r w:rsidRPr="40AD52C2">
              <w:rPr>
                <w:rFonts w:ascii="Arial" w:eastAsia="Arial" w:hAnsi="Arial" w:cs="Arial"/>
                <w:color w:val="000000" w:themeColor="text1"/>
                <w:sz w:val="24"/>
                <w:szCs w:val="24"/>
              </w:rPr>
              <w:t xml:space="preserve"> </w:t>
            </w:r>
          </w:p>
        </w:tc>
      </w:tr>
      <w:tr w:rsidR="002849EC" w14:paraId="3B240617" w14:textId="77777777" w:rsidTr="00C14EF5">
        <w:trPr>
          <w:trHeight w:val="285"/>
        </w:trPr>
        <w:tc>
          <w:tcPr>
            <w:tcW w:w="4425" w:type="dxa"/>
            <w:vMerge/>
            <w:tcBorders>
              <w:left w:val="single" w:sz="0" w:space="0" w:color="auto"/>
              <w:right w:val="single" w:sz="0" w:space="0" w:color="auto"/>
            </w:tcBorders>
            <w:vAlign w:val="center"/>
          </w:tcPr>
          <w:p w14:paraId="171E5F41"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0338F538"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Barreras de acceso a servicios de cuidado de la primera infancia</w:t>
            </w:r>
            <w:r w:rsidRPr="40AD52C2">
              <w:rPr>
                <w:rFonts w:ascii="Arial" w:eastAsia="Arial" w:hAnsi="Arial" w:cs="Arial"/>
                <w:color w:val="000000" w:themeColor="text1"/>
                <w:sz w:val="24"/>
                <w:szCs w:val="24"/>
              </w:rPr>
              <w:t xml:space="preserve"> </w:t>
            </w:r>
          </w:p>
        </w:tc>
      </w:tr>
      <w:tr w:rsidR="002849EC" w14:paraId="4947ED75"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700A624B"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5969C218"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Trabajo infantil</w:t>
            </w:r>
            <w:r w:rsidRPr="40AD52C2">
              <w:rPr>
                <w:rFonts w:ascii="Arial" w:eastAsia="Arial" w:hAnsi="Arial" w:cs="Arial"/>
                <w:color w:val="000000" w:themeColor="text1"/>
                <w:sz w:val="24"/>
                <w:szCs w:val="24"/>
              </w:rPr>
              <w:t xml:space="preserve"> </w:t>
            </w:r>
          </w:p>
        </w:tc>
      </w:tr>
      <w:tr w:rsidR="002849EC" w14:paraId="4AD554D3" w14:textId="77777777" w:rsidTr="00C14EF5">
        <w:trPr>
          <w:trHeight w:val="285"/>
        </w:trPr>
        <w:tc>
          <w:tcPr>
            <w:tcW w:w="4425" w:type="dxa"/>
            <w:vMerge w:val="restart"/>
            <w:tcBorders>
              <w:top w:val="nil"/>
              <w:left w:val="single" w:sz="4" w:space="0" w:color="auto"/>
              <w:bottom w:val="single" w:sz="4" w:space="0" w:color="auto"/>
              <w:right w:val="single" w:sz="4" w:space="0" w:color="auto"/>
            </w:tcBorders>
            <w:vAlign w:val="center"/>
          </w:tcPr>
          <w:p w14:paraId="676D7A11"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Salud</w:t>
            </w:r>
            <w:r w:rsidRPr="40AD52C2">
              <w:rPr>
                <w:rFonts w:ascii="Arial" w:eastAsia="Arial" w:hAnsi="Arial" w:cs="Arial"/>
                <w:color w:val="000000" w:themeColor="text1"/>
                <w:sz w:val="24"/>
                <w:szCs w:val="24"/>
              </w:rPr>
              <w:t xml:space="preserve"> </w:t>
            </w:r>
          </w:p>
        </w:tc>
        <w:tc>
          <w:tcPr>
            <w:tcW w:w="5610" w:type="dxa"/>
            <w:tcBorders>
              <w:top w:val="single" w:sz="4" w:space="0" w:color="auto"/>
              <w:left w:val="single" w:sz="4" w:space="0" w:color="auto"/>
              <w:bottom w:val="single" w:sz="4" w:space="0" w:color="auto"/>
              <w:right w:val="single" w:sz="4" w:space="0" w:color="auto"/>
            </w:tcBorders>
            <w:vAlign w:val="center"/>
          </w:tcPr>
          <w:p w14:paraId="6DF0D2D6"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Hogar si aseguramiento en salud</w:t>
            </w:r>
            <w:r w:rsidRPr="40AD52C2">
              <w:rPr>
                <w:rFonts w:ascii="Arial" w:eastAsia="Arial" w:hAnsi="Arial" w:cs="Arial"/>
                <w:color w:val="000000" w:themeColor="text1"/>
                <w:sz w:val="24"/>
                <w:szCs w:val="24"/>
              </w:rPr>
              <w:t xml:space="preserve"> </w:t>
            </w:r>
          </w:p>
        </w:tc>
      </w:tr>
      <w:tr w:rsidR="002849EC" w14:paraId="63515436"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752410DE"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03A81C46"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Barreras de acceso a servicios de salud cuando hay necesidad</w:t>
            </w:r>
            <w:r w:rsidRPr="40AD52C2">
              <w:rPr>
                <w:rFonts w:ascii="Arial" w:eastAsia="Arial" w:hAnsi="Arial" w:cs="Arial"/>
                <w:color w:val="000000" w:themeColor="text1"/>
                <w:sz w:val="24"/>
                <w:szCs w:val="24"/>
              </w:rPr>
              <w:t xml:space="preserve"> </w:t>
            </w:r>
          </w:p>
        </w:tc>
      </w:tr>
      <w:tr w:rsidR="002849EC" w14:paraId="4BFCF49C" w14:textId="77777777" w:rsidTr="00C14EF5">
        <w:trPr>
          <w:trHeight w:val="285"/>
        </w:trPr>
        <w:tc>
          <w:tcPr>
            <w:tcW w:w="4425" w:type="dxa"/>
            <w:vMerge w:val="restart"/>
            <w:tcBorders>
              <w:top w:val="nil"/>
              <w:left w:val="single" w:sz="4" w:space="0" w:color="auto"/>
              <w:bottom w:val="single" w:sz="4" w:space="0" w:color="auto"/>
              <w:right w:val="single" w:sz="4" w:space="0" w:color="auto"/>
            </w:tcBorders>
            <w:vAlign w:val="center"/>
          </w:tcPr>
          <w:p w14:paraId="421890F5"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Trabajo</w:t>
            </w:r>
            <w:r w:rsidRPr="40AD52C2">
              <w:rPr>
                <w:rFonts w:ascii="Arial" w:eastAsia="Arial" w:hAnsi="Arial" w:cs="Arial"/>
                <w:color w:val="000000" w:themeColor="text1"/>
                <w:sz w:val="24"/>
                <w:szCs w:val="24"/>
              </w:rPr>
              <w:t xml:space="preserve"> </w:t>
            </w:r>
          </w:p>
        </w:tc>
        <w:tc>
          <w:tcPr>
            <w:tcW w:w="5610" w:type="dxa"/>
            <w:tcBorders>
              <w:top w:val="single" w:sz="4" w:space="0" w:color="auto"/>
              <w:left w:val="single" w:sz="4" w:space="0" w:color="auto"/>
              <w:bottom w:val="single" w:sz="4" w:space="0" w:color="auto"/>
              <w:right w:val="single" w:sz="4" w:space="0" w:color="auto"/>
            </w:tcBorders>
            <w:vAlign w:val="center"/>
          </w:tcPr>
          <w:p w14:paraId="437DCBB7"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Desempleo de larga duración en el hogar</w:t>
            </w:r>
            <w:r w:rsidRPr="40AD52C2">
              <w:rPr>
                <w:rFonts w:ascii="Arial" w:eastAsia="Arial" w:hAnsi="Arial" w:cs="Arial"/>
                <w:color w:val="000000" w:themeColor="text1"/>
                <w:sz w:val="24"/>
                <w:szCs w:val="24"/>
              </w:rPr>
              <w:t xml:space="preserve"> </w:t>
            </w:r>
          </w:p>
        </w:tc>
      </w:tr>
      <w:tr w:rsidR="002849EC" w14:paraId="596288FC"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4240E94D"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4F4306A3"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Trabajo informal</w:t>
            </w:r>
            <w:r w:rsidRPr="40AD52C2">
              <w:rPr>
                <w:rFonts w:ascii="Arial" w:eastAsia="Arial" w:hAnsi="Arial" w:cs="Arial"/>
                <w:color w:val="000000" w:themeColor="text1"/>
                <w:sz w:val="24"/>
                <w:szCs w:val="24"/>
              </w:rPr>
              <w:t xml:space="preserve"> </w:t>
            </w:r>
          </w:p>
        </w:tc>
      </w:tr>
      <w:tr w:rsidR="002849EC" w14:paraId="1061CAD0" w14:textId="77777777" w:rsidTr="00C14EF5">
        <w:trPr>
          <w:trHeight w:val="285"/>
        </w:trPr>
        <w:tc>
          <w:tcPr>
            <w:tcW w:w="4425" w:type="dxa"/>
            <w:vMerge w:val="restart"/>
            <w:tcBorders>
              <w:top w:val="nil"/>
              <w:left w:val="single" w:sz="4" w:space="0" w:color="auto"/>
              <w:bottom w:val="single" w:sz="4" w:space="0" w:color="auto"/>
              <w:right w:val="single" w:sz="4" w:space="0" w:color="auto"/>
            </w:tcBorders>
            <w:vAlign w:val="center"/>
          </w:tcPr>
          <w:p w14:paraId="342E095C"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Acceso a servicios públicos domiciliarios y condiciones de la vivienda</w:t>
            </w:r>
            <w:r w:rsidRPr="40AD52C2">
              <w:rPr>
                <w:rFonts w:ascii="Arial" w:eastAsia="Arial" w:hAnsi="Arial" w:cs="Arial"/>
                <w:color w:val="000000" w:themeColor="text1"/>
                <w:sz w:val="24"/>
                <w:szCs w:val="24"/>
              </w:rPr>
              <w:t xml:space="preserve"> </w:t>
            </w:r>
          </w:p>
        </w:tc>
        <w:tc>
          <w:tcPr>
            <w:tcW w:w="5610" w:type="dxa"/>
            <w:tcBorders>
              <w:top w:val="single" w:sz="4" w:space="0" w:color="auto"/>
              <w:left w:val="single" w:sz="4" w:space="0" w:color="auto"/>
              <w:bottom w:val="single" w:sz="4" w:space="0" w:color="auto"/>
              <w:right w:val="single" w:sz="4" w:space="0" w:color="auto"/>
            </w:tcBorders>
            <w:vAlign w:val="center"/>
          </w:tcPr>
          <w:p w14:paraId="6529D1C8"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Sin acceso a fuente de agua mejorada</w:t>
            </w:r>
            <w:r w:rsidRPr="40AD52C2">
              <w:rPr>
                <w:rFonts w:ascii="Arial" w:eastAsia="Arial" w:hAnsi="Arial" w:cs="Arial"/>
                <w:color w:val="000000" w:themeColor="text1"/>
                <w:sz w:val="24"/>
                <w:szCs w:val="24"/>
              </w:rPr>
              <w:t xml:space="preserve"> </w:t>
            </w:r>
          </w:p>
        </w:tc>
      </w:tr>
      <w:tr w:rsidR="002849EC" w14:paraId="41617FB3"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12AE4949"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433E2014"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Eliminación inadecuada de excretas (saneamiento)</w:t>
            </w:r>
            <w:r w:rsidRPr="40AD52C2">
              <w:rPr>
                <w:rFonts w:ascii="Arial" w:eastAsia="Arial" w:hAnsi="Arial" w:cs="Arial"/>
                <w:color w:val="000000" w:themeColor="text1"/>
                <w:sz w:val="24"/>
                <w:szCs w:val="24"/>
              </w:rPr>
              <w:t xml:space="preserve"> </w:t>
            </w:r>
          </w:p>
        </w:tc>
      </w:tr>
      <w:tr w:rsidR="002849EC" w14:paraId="7B2E42F8" w14:textId="77777777" w:rsidTr="00C14EF5">
        <w:trPr>
          <w:trHeight w:val="285"/>
        </w:trPr>
        <w:tc>
          <w:tcPr>
            <w:tcW w:w="4425" w:type="dxa"/>
            <w:vMerge/>
            <w:tcBorders>
              <w:left w:val="single" w:sz="0" w:space="0" w:color="auto"/>
              <w:right w:val="single" w:sz="0" w:space="0" w:color="auto"/>
            </w:tcBorders>
            <w:vAlign w:val="center"/>
          </w:tcPr>
          <w:p w14:paraId="546CC719"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6C1EF873"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Material inadecuado de pisos</w:t>
            </w:r>
            <w:r w:rsidRPr="40AD52C2">
              <w:rPr>
                <w:rFonts w:ascii="Arial" w:eastAsia="Arial" w:hAnsi="Arial" w:cs="Arial"/>
                <w:color w:val="000000" w:themeColor="text1"/>
                <w:sz w:val="24"/>
                <w:szCs w:val="24"/>
              </w:rPr>
              <w:t xml:space="preserve"> </w:t>
            </w:r>
          </w:p>
        </w:tc>
      </w:tr>
      <w:tr w:rsidR="002849EC" w14:paraId="7EE9B957" w14:textId="77777777" w:rsidTr="00C14EF5">
        <w:trPr>
          <w:trHeight w:val="285"/>
        </w:trPr>
        <w:tc>
          <w:tcPr>
            <w:tcW w:w="4425" w:type="dxa"/>
            <w:vMerge/>
            <w:tcBorders>
              <w:left w:val="single" w:sz="0" w:space="0" w:color="auto"/>
              <w:bottom w:val="single" w:sz="0" w:space="0" w:color="auto"/>
              <w:right w:val="single" w:sz="0" w:space="0" w:color="auto"/>
            </w:tcBorders>
            <w:vAlign w:val="center"/>
          </w:tcPr>
          <w:p w14:paraId="38CC1337" w14:textId="77777777" w:rsidR="002849EC" w:rsidRDefault="002849EC" w:rsidP="00C14EF5"/>
        </w:tc>
        <w:tc>
          <w:tcPr>
            <w:tcW w:w="5610" w:type="dxa"/>
            <w:tcBorders>
              <w:top w:val="single" w:sz="4" w:space="0" w:color="auto"/>
              <w:left w:val="nil"/>
              <w:bottom w:val="single" w:sz="4" w:space="0" w:color="auto"/>
              <w:right w:val="single" w:sz="4" w:space="0" w:color="auto"/>
            </w:tcBorders>
            <w:vAlign w:val="center"/>
          </w:tcPr>
          <w:p w14:paraId="0809E6D9"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Material inadecuado de paredes</w:t>
            </w:r>
            <w:r w:rsidRPr="40AD52C2">
              <w:rPr>
                <w:rFonts w:ascii="Arial" w:eastAsia="Arial" w:hAnsi="Arial" w:cs="Arial"/>
                <w:color w:val="000000" w:themeColor="text1"/>
                <w:sz w:val="24"/>
                <w:szCs w:val="24"/>
              </w:rPr>
              <w:t xml:space="preserve"> </w:t>
            </w:r>
          </w:p>
        </w:tc>
      </w:tr>
    </w:tbl>
    <w:p w14:paraId="67784CBE" w14:textId="77777777" w:rsidR="002849EC" w:rsidRPr="00EC31E4" w:rsidRDefault="002849EC" w:rsidP="00677BD3">
      <w:pPr>
        <w:spacing w:after="0"/>
        <w:jc w:val="both"/>
        <w:rPr>
          <w:rFonts w:ascii="Arial" w:eastAsia="Arial" w:hAnsi="Arial" w:cs="Arial"/>
          <w:sz w:val="20"/>
          <w:szCs w:val="20"/>
        </w:rPr>
      </w:pPr>
      <w:r w:rsidRPr="00EC31E4">
        <w:rPr>
          <w:rFonts w:ascii="Arial" w:eastAsia="Arial" w:hAnsi="Arial" w:cs="Arial"/>
          <w:b/>
          <w:bCs/>
          <w:sz w:val="20"/>
          <w:szCs w:val="20"/>
          <w:lang w:val="es-MX"/>
        </w:rPr>
        <w:t>Fuente:</w:t>
      </w:r>
      <w:r w:rsidRPr="003E2C54">
        <w:rPr>
          <w:rFonts w:ascii="Arial" w:eastAsia="Arial" w:hAnsi="Arial" w:cs="Arial"/>
          <w:lang w:val="es-MX"/>
        </w:rPr>
        <w:t xml:space="preserve"> </w:t>
      </w:r>
      <w:r w:rsidRPr="00EC31E4">
        <w:rPr>
          <w:rFonts w:ascii="Arial" w:eastAsia="Arial" w:hAnsi="Arial" w:cs="Arial"/>
          <w:sz w:val="20"/>
          <w:szCs w:val="20"/>
          <w:lang w:val="es-MX"/>
        </w:rPr>
        <w:t>Datos tomados del DANE, Boletín técnico Pobreza multidimensional en Colombia - Año 2024</w:t>
      </w:r>
      <w:r w:rsidRPr="00EC31E4">
        <w:rPr>
          <w:rFonts w:ascii="Arial" w:eastAsia="Arial" w:hAnsi="Arial" w:cs="Arial"/>
          <w:sz w:val="20"/>
          <w:szCs w:val="20"/>
        </w:rPr>
        <w:t xml:space="preserve"> </w:t>
      </w:r>
    </w:p>
    <w:p w14:paraId="53CE517C" w14:textId="77777777" w:rsidR="00677BD3" w:rsidRDefault="00677BD3" w:rsidP="00677BD3">
      <w:pPr>
        <w:spacing w:after="0"/>
        <w:jc w:val="both"/>
        <w:rPr>
          <w:rFonts w:ascii="Arial" w:eastAsia="Arial" w:hAnsi="Arial" w:cs="Arial"/>
          <w:sz w:val="24"/>
          <w:szCs w:val="24"/>
          <w:lang w:val="es-MX"/>
        </w:rPr>
      </w:pPr>
    </w:p>
    <w:p w14:paraId="0D2504E5" w14:textId="4DFF3CDA"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La fuente de información de los datos asociados es la Encuesta Nacional de Calidad de Vida (ECV), permitiendo el cálculo del índice de pobreza multidimensional a partir de la evaluación por hogar en cuanto a la presencia de privación en cada uno de los indicadores. Para la cuantificación y suma de los datos obtenidos, el DANE asocia a cada dimensión un peso igual del 20%, el cual se distribuye de manera uniforme a través de sus indicadores correspondientes.</w:t>
      </w:r>
      <w:r w:rsidRPr="40AD52C2">
        <w:rPr>
          <w:rFonts w:ascii="Arial" w:eastAsia="Arial" w:hAnsi="Arial" w:cs="Arial"/>
          <w:sz w:val="24"/>
          <w:szCs w:val="24"/>
        </w:rPr>
        <w:t xml:space="preserve"> </w:t>
      </w:r>
    </w:p>
    <w:p w14:paraId="60397FEF"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Para el cálculo del Puntaje de Índice de Pobreza Multidimensional (PIPM), se realiza la asignación de un valor de 1 a 5 asociado de forma directa a la posición del IPM de un departamento específico dentro de un rango definido como se muestra a continuación:</w:t>
      </w:r>
      <w:r w:rsidRPr="40AD52C2">
        <w:rPr>
          <w:rFonts w:ascii="Arial" w:eastAsia="Arial" w:hAnsi="Arial" w:cs="Arial"/>
          <w:sz w:val="24"/>
          <w:szCs w:val="24"/>
        </w:rPr>
        <w:t xml:space="preserve"> </w:t>
      </w: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65"/>
        <w:gridCol w:w="4725"/>
      </w:tblGrid>
      <w:tr w:rsidR="002849EC" w14:paraId="566D929B" w14:textId="77777777" w:rsidTr="00C14EF5">
        <w:trPr>
          <w:trHeight w:val="285"/>
          <w:jc w:val="center"/>
        </w:trPr>
        <w:tc>
          <w:tcPr>
            <w:tcW w:w="4665" w:type="dxa"/>
            <w:tcBorders>
              <w:top w:val="single" w:sz="4" w:space="0" w:color="auto"/>
              <w:left w:val="single" w:sz="4" w:space="0" w:color="auto"/>
              <w:bottom w:val="single" w:sz="4" w:space="0" w:color="auto"/>
              <w:right w:val="single" w:sz="4" w:space="0" w:color="auto"/>
            </w:tcBorders>
            <w:vAlign w:val="center"/>
          </w:tcPr>
          <w:p w14:paraId="18EDDD4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Rango</w:t>
            </w:r>
            <w:r w:rsidRPr="40AD52C2">
              <w:rPr>
                <w:rFonts w:ascii="Arial" w:eastAsia="Arial" w:hAnsi="Arial" w:cs="Arial"/>
                <w:color w:val="000000" w:themeColor="text1"/>
                <w:sz w:val="24"/>
                <w:szCs w:val="24"/>
              </w:rPr>
              <w:t xml:space="preserve"> </w:t>
            </w:r>
          </w:p>
        </w:tc>
        <w:tc>
          <w:tcPr>
            <w:tcW w:w="4725" w:type="dxa"/>
            <w:tcBorders>
              <w:top w:val="single" w:sz="4" w:space="0" w:color="auto"/>
              <w:left w:val="single" w:sz="4" w:space="0" w:color="auto"/>
              <w:bottom w:val="single" w:sz="4" w:space="0" w:color="auto"/>
              <w:right w:val="single" w:sz="4" w:space="0" w:color="auto"/>
            </w:tcBorders>
            <w:vAlign w:val="center"/>
          </w:tcPr>
          <w:p w14:paraId="784DA98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Puntuación (PIPM)</w:t>
            </w:r>
            <w:r w:rsidRPr="40AD52C2">
              <w:rPr>
                <w:rFonts w:ascii="Arial" w:eastAsia="Arial" w:hAnsi="Arial" w:cs="Arial"/>
                <w:color w:val="000000" w:themeColor="text1"/>
                <w:sz w:val="24"/>
                <w:szCs w:val="24"/>
              </w:rPr>
              <w:t xml:space="preserve"> </w:t>
            </w:r>
          </w:p>
        </w:tc>
      </w:tr>
      <w:tr w:rsidR="002849EC" w14:paraId="4974F9D1" w14:textId="77777777" w:rsidTr="00C14EF5">
        <w:trPr>
          <w:trHeight w:val="285"/>
          <w:jc w:val="center"/>
        </w:trPr>
        <w:tc>
          <w:tcPr>
            <w:tcW w:w="4665" w:type="dxa"/>
            <w:tcBorders>
              <w:top w:val="single" w:sz="4" w:space="0" w:color="auto"/>
              <w:left w:val="single" w:sz="4" w:space="0" w:color="auto"/>
              <w:bottom w:val="single" w:sz="4" w:space="0" w:color="auto"/>
              <w:right w:val="single" w:sz="4" w:space="0" w:color="auto"/>
            </w:tcBorders>
            <w:vAlign w:val="center"/>
          </w:tcPr>
          <w:p w14:paraId="449E3A2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5</w:t>
            </w:r>
            <w:r w:rsidRPr="40AD52C2">
              <w:rPr>
                <w:rFonts w:ascii="Arial" w:eastAsia="Arial" w:hAnsi="Arial" w:cs="Arial"/>
                <w:color w:val="000000" w:themeColor="text1"/>
                <w:sz w:val="24"/>
                <w:szCs w:val="24"/>
              </w:rPr>
              <w:t xml:space="preserve"> </w:t>
            </w:r>
          </w:p>
        </w:tc>
        <w:tc>
          <w:tcPr>
            <w:tcW w:w="4725" w:type="dxa"/>
            <w:tcBorders>
              <w:top w:val="single" w:sz="4" w:space="0" w:color="auto"/>
              <w:left w:val="single" w:sz="4" w:space="0" w:color="auto"/>
              <w:bottom w:val="single" w:sz="4" w:space="0" w:color="auto"/>
              <w:right w:val="single" w:sz="4" w:space="0" w:color="auto"/>
            </w:tcBorders>
            <w:vAlign w:val="center"/>
          </w:tcPr>
          <w:p w14:paraId="052A791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5</w:t>
            </w:r>
            <w:r w:rsidRPr="40AD52C2">
              <w:rPr>
                <w:rFonts w:ascii="Arial" w:eastAsia="Arial" w:hAnsi="Arial" w:cs="Arial"/>
                <w:color w:val="000000" w:themeColor="text1"/>
                <w:sz w:val="24"/>
                <w:szCs w:val="24"/>
              </w:rPr>
              <w:t xml:space="preserve"> </w:t>
            </w:r>
          </w:p>
        </w:tc>
      </w:tr>
      <w:tr w:rsidR="002849EC" w14:paraId="6B1B8531" w14:textId="77777777" w:rsidTr="00C14EF5">
        <w:trPr>
          <w:trHeight w:val="285"/>
          <w:jc w:val="center"/>
        </w:trPr>
        <w:tc>
          <w:tcPr>
            <w:tcW w:w="4665" w:type="dxa"/>
            <w:tcBorders>
              <w:top w:val="single" w:sz="4" w:space="0" w:color="auto"/>
              <w:left w:val="single" w:sz="4" w:space="0" w:color="auto"/>
              <w:bottom w:val="single" w:sz="4" w:space="0" w:color="auto"/>
              <w:right w:val="single" w:sz="4" w:space="0" w:color="auto"/>
            </w:tcBorders>
            <w:vAlign w:val="center"/>
          </w:tcPr>
          <w:p w14:paraId="27A0AE2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4</w:t>
            </w:r>
            <w:r w:rsidRPr="40AD52C2">
              <w:rPr>
                <w:rFonts w:ascii="Arial" w:eastAsia="Arial" w:hAnsi="Arial" w:cs="Arial"/>
                <w:color w:val="000000" w:themeColor="text1"/>
                <w:sz w:val="24"/>
                <w:szCs w:val="24"/>
              </w:rPr>
              <w:t xml:space="preserve"> </w:t>
            </w:r>
          </w:p>
        </w:tc>
        <w:tc>
          <w:tcPr>
            <w:tcW w:w="4725" w:type="dxa"/>
            <w:tcBorders>
              <w:top w:val="single" w:sz="4" w:space="0" w:color="auto"/>
              <w:left w:val="single" w:sz="4" w:space="0" w:color="auto"/>
              <w:bottom w:val="single" w:sz="4" w:space="0" w:color="auto"/>
              <w:right w:val="single" w:sz="4" w:space="0" w:color="auto"/>
            </w:tcBorders>
            <w:vAlign w:val="center"/>
          </w:tcPr>
          <w:p w14:paraId="5A46D9B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4</w:t>
            </w:r>
            <w:r w:rsidRPr="40AD52C2">
              <w:rPr>
                <w:rFonts w:ascii="Arial" w:eastAsia="Arial" w:hAnsi="Arial" w:cs="Arial"/>
                <w:color w:val="000000" w:themeColor="text1"/>
                <w:sz w:val="24"/>
                <w:szCs w:val="24"/>
              </w:rPr>
              <w:t xml:space="preserve"> </w:t>
            </w:r>
          </w:p>
        </w:tc>
      </w:tr>
      <w:tr w:rsidR="002849EC" w14:paraId="2BDC6295" w14:textId="77777777" w:rsidTr="00C14EF5">
        <w:trPr>
          <w:trHeight w:val="285"/>
          <w:jc w:val="center"/>
        </w:trPr>
        <w:tc>
          <w:tcPr>
            <w:tcW w:w="4665" w:type="dxa"/>
            <w:tcBorders>
              <w:top w:val="single" w:sz="4" w:space="0" w:color="auto"/>
              <w:left w:val="single" w:sz="4" w:space="0" w:color="auto"/>
              <w:bottom w:val="single" w:sz="4" w:space="0" w:color="auto"/>
              <w:right w:val="single" w:sz="4" w:space="0" w:color="auto"/>
            </w:tcBorders>
            <w:vAlign w:val="center"/>
          </w:tcPr>
          <w:p w14:paraId="19D193B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3</w:t>
            </w:r>
            <w:r w:rsidRPr="40AD52C2">
              <w:rPr>
                <w:rFonts w:ascii="Arial" w:eastAsia="Arial" w:hAnsi="Arial" w:cs="Arial"/>
                <w:color w:val="000000" w:themeColor="text1"/>
                <w:sz w:val="24"/>
                <w:szCs w:val="24"/>
              </w:rPr>
              <w:t xml:space="preserve"> </w:t>
            </w:r>
          </w:p>
        </w:tc>
        <w:tc>
          <w:tcPr>
            <w:tcW w:w="4725" w:type="dxa"/>
            <w:tcBorders>
              <w:top w:val="single" w:sz="4" w:space="0" w:color="auto"/>
              <w:left w:val="single" w:sz="4" w:space="0" w:color="auto"/>
              <w:bottom w:val="single" w:sz="4" w:space="0" w:color="auto"/>
              <w:right w:val="single" w:sz="4" w:space="0" w:color="auto"/>
            </w:tcBorders>
            <w:vAlign w:val="center"/>
          </w:tcPr>
          <w:p w14:paraId="181D01D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3</w:t>
            </w:r>
            <w:r w:rsidRPr="40AD52C2">
              <w:rPr>
                <w:rFonts w:ascii="Arial" w:eastAsia="Arial" w:hAnsi="Arial" w:cs="Arial"/>
                <w:color w:val="000000" w:themeColor="text1"/>
                <w:sz w:val="24"/>
                <w:szCs w:val="24"/>
              </w:rPr>
              <w:t xml:space="preserve"> </w:t>
            </w:r>
          </w:p>
        </w:tc>
      </w:tr>
      <w:tr w:rsidR="002849EC" w14:paraId="116EC4E0" w14:textId="77777777" w:rsidTr="00C14EF5">
        <w:trPr>
          <w:trHeight w:val="285"/>
          <w:jc w:val="center"/>
        </w:trPr>
        <w:tc>
          <w:tcPr>
            <w:tcW w:w="4665" w:type="dxa"/>
            <w:tcBorders>
              <w:top w:val="single" w:sz="4" w:space="0" w:color="auto"/>
              <w:left w:val="single" w:sz="4" w:space="0" w:color="auto"/>
              <w:bottom w:val="single" w:sz="4" w:space="0" w:color="auto"/>
              <w:right w:val="single" w:sz="4" w:space="0" w:color="auto"/>
            </w:tcBorders>
            <w:vAlign w:val="center"/>
          </w:tcPr>
          <w:p w14:paraId="40BEC0E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2</w:t>
            </w:r>
            <w:r w:rsidRPr="40AD52C2">
              <w:rPr>
                <w:rFonts w:ascii="Arial" w:eastAsia="Arial" w:hAnsi="Arial" w:cs="Arial"/>
                <w:color w:val="000000" w:themeColor="text1"/>
                <w:sz w:val="24"/>
                <w:szCs w:val="24"/>
              </w:rPr>
              <w:t xml:space="preserve"> </w:t>
            </w:r>
          </w:p>
        </w:tc>
        <w:tc>
          <w:tcPr>
            <w:tcW w:w="4725" w:type="dxa"/>
            <w:tcBorders>
              <w:top w:val="single" w:sz="4" w:space="0" w:color="auto"/>
              <w:left w:val="single" w:sz="4" w:space="0" w:color="auto"/>
              <w:bottom w:val="single" w:sz="4" w:space="0" w:color="auto"/>
              <w:right w:val="single" w:sz="4" w:space="0" w:color="auto"/>
            </w:tcBorders>
            <w:vAlign w:val="center"/>
          </w:tcPr>
          <w:p w14:paraId="70FC12E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2</w:t>
            </w:r>
            <w:r w:rsidRPr="40AD52C2">
              <w:rPr>
                <w:rFonts w:ascii="Arial" w:eastAsia="Arial" w:hAnsi="Arial" w:cs="Arial"/>
                <w:color w:val="000000" w:themeColor="text1"/>
                <w:sz w:val="24"/>
                <w:szCs w:val="24"/>
              </w:rPr>
              <w:t xml:space="preserve"> </w:t>
            </w:r>
          </w:p>
        </w:tc>
      </w:tr>
      <w:tr w:rsidR="002849EC" w14:paraId="241F0E49" w14:textId="77777777" w:rsidTr="00C14EF5">
        <w:trPr>
          <w:trHeight w:val="285"/>
          <w:jc w:val="center"/>
        </w:trPr>
        <w:tc>
          <w:tcPr>
            <w:tcW w:w="4665" w:type="dxa"/>
            <w:tcBorders>
              <w:top w:val="single" w:sz="4" w:space="0" w:color="auto"/>
              <w:left w:val="single" w:sz="4" w:space="0" w:color="auto"/>
              <w:bottom w:val="single" w:sz="4" w:space="0" w:color="auto"/>
              <w:right w:val="single" w:sz="4" w:space="0" w:color="auto"/>
            </w:tcBorders>
            <w:vAlign w:val="center"/>
          </w:tcPr>
          <w:p w14:paraId="6183707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1</w:t>
            </w:r>
            <w:r w:rsidRPr="40AD52C2">
              <w:rPr>
                <w:rFonts w:ascii="Arial" w:eastAsia="Arial" w:hAnsi="Arial" w:cs="Arial"/>
                <w:color w:val="000000" w:themeColor="text1"/>
                <w:sz w:val="24"/>
                <w:szCs w:val="24"/>
              </w:rPr>
              <w:t xml:space="preserve"> </w:t>
            </w:r>
          </w:p>
        </w:tc>
        <w:tc>
          <w:tcPr>
            <w:tcW w:w="4725" w:type="dxa"/>
            <w:tcBorders>
              <w:top w:val="single" w:sz="4" w:space="0" w:color="auto"/>
              <w:left w:val="single" w:sz="4" w:space="0" w:color="auto"/>
              <w:bottom w:val="single" w:sz="4" w:space="0" w:color="auto"/>
              <w:right w:val="single" w:sz="4" w:space="0" w:color="auto"/>
            </w:tcBorders>
            <w:vAlign w:val="center"/>
          </w:tcPr>
          <w:p w14:paraId="0A7E235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1</w:t>
            </w:r>
            <w:r w:rsidRPr="40AD52C2">
              <w:rPr>
                <w:rFonts w:ascii="Arial" w:eastAsia="Arial" w:hAnsi="Arial" w:cs="Arial"/>
                <w:color w:val="000000" w:themeColor="text1"/>
                <w:sz w:val="24"/>
                <w:szCs w:val="24"/>
              </w:rPr>
              <w:t xml:space="preserve"> </w:t>
            </w:r>
          </w:p>
        </w:tc>
      </w:tr>
    </w:tbl>
    <w:p w14:paraId="5673D126"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rPr>
        <w:t xml:space="preserve"> </w:t>
      </w:r>
    </w:p>
    <w:p w14:paraId="342B7559" w14:textId="680FA72C"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Donde</w:t>
      </w:r>
      <w:r w:rsidR="00C53E72">
        <w:rPr>
          <w:rFonts w:ascii="Arial" w:eastAsia="Arial" w:hAnsi="Arial" w:cs="Arial"/>
          <w:sz w:val="24"/>
          <w:szCs w:val="24"/>
          <w:lang w:val="es-MX"/>
        </w:rPr>
        <w:t>:</w:t>
      </w:r>
      <w:r w:rsidRPr="40AD52C2">
        <w:rPr>
          <w:rFonts w:ascii="Arial" w:eastAsia="Arial" w:hAnsi="Arial" w:cs="Arial"/>
          <w:sz w:val="24"/>
          <w:szCs w:val="24"/>
          <w:lang w:val="es-MX"/>
        </w:rPr>
        <w:t xml:space="preserve"> </w:t>
      </w:r>
      <w:r w:rsidRPr="40AD52C2">
        <w:rPr>
          <w:rFonts w:ascii="Arial" w:eastAsia="Arial" w:hAnsi="Arial" w:cs="Arial"/>
          <w:sz w:val="24"/>
          <w:szCs w:val="24"/>
        </w:rPr>
        <w:t xml:space="preserve"> </w:t>
      </w:r>
    </w:p>
    <w:p w14:paraId="0241A94F" w14:textId="77777777" w:rsidR="002849EC" w:rsidRPr="00B67968" w:rsidRDefault="002849EC" w:rsidP="002849EC">
      <w:pPr>
        <w:spacing w:after="160"/>
        <w:jc w:val="both"/>
        <w:rPr>
          <w:rFonts w:ascii="Arial" w:eastAsia="Arial" w:hAnsi="Arial" w:cs="Arial"/>
          <w:sz w:val="24"/>
          <w:szCs w:val="24"/>
          <w:lang w:val="pt-PT"/>
        </w:rPr>
      </w:pPr>
      <w:r w:rsidRPr="00B67968">
        <w:rPr>
          <w:rFonts w:ascii="Arial" w:eastAsia="Arial" w:hAnsi="Arial" w:cs="Arial"/>
          <w:sz w:val="24"/>
          <w:szCs w:val="24"/>
          <w:lang w:val="pt-PT"/>
        </w:rPr>
        <w:t xml:space="preserve">Rango 1 &lt; Rango 2 &lt; Rango 3 &lt; Rango 4 &lt; Rango 5 </w:t>
      </w:r>
    </w:p>
    <w:p w14:paraId="2C08E43D" w14:textId="77777777" w:rsidR="002849EC" w:rsidRDefault="002849EC" w:rsidP="00F738DB">
      <w:pPr>
        <w:spacing w:after="0"/>
        <w:jc w:val="both"/>
        <w:rPr>
          <w:rFonts w:ascii="Arial" w:eastAsia="Arial" w:hAnsi="Arial" w:cs="Arial"/>
          <w:sz w:val="24"/>
          <w:szCs w:val="24"/>
        </w:rPr>
      </w:pPr>
      <w:r w:rsidRPr="40AD52C2">
        <w:rPr>
          <w:rFonts w:ascii="Arial" w:eastAsia="Arial" w:hAnsi="Arial" w:cs="Arial"/>
          <w:sz w:val="24"/>
          <w:szCs w:val="24"/>
          <w:lang w:val="es-MX"/>
        </w:rPr>
        <w:t>Es decir que, un puntaje más alto representa una mayor pobreza multidimensional.</w:t>
      </w:r>
      <w:r w:rsidRPr="40AD52C2">
        <w:rPr>
          <w:rFonts w:ascii="Arial" w:eastAsia="Arial" w:hAnsi="Arial" w:cs="Arial"/>
          <w:sz w:val="24"/>
          <w:szCs w:val="24"/>
        </w:rPr>
        <w:t xml:space="preserve"> </w:t>
      </w:r>
    </w:p>
    <w:p w14:paraId="5A37D4AB" w14:textId="77777777" w:rsidR="00811BFF" w:rsidRDefault="00811BFF" w:rsidP="00F738DB">
      <w:pPr>
        <w:tabs>
          <w:tab w:val="left" w:pos="4474"/>
        </w:tabs>
        <w:spacing w:after="0"/>
        <w:jc w:val="both"/>
        <w:rPr>
          <w:rFonts w:ascii="Arial" w:eastAsia="Arial" w:hAnsi="Arial" w:cs="Arial"/>
          <w:b/>
          <w:bCs/>
          <w:sz w:val="24"/>
          <w:szCs w:val="24"/>
        </w:rPr>
      </w:pPr>
    </w:p>
    <w:p w14:paraId="70D7432B" w14:textId="3FFCA44C" w:rsidR="002849EC" w:rsidRPr="00C53E72" w:rsidRDefault="002849EC" w:rsidP="00677BD3">
      <w:pPr>
        <w:tabs>
          <w:tab w:val="left" w:pos="4474"/>
        </w:tabs>
        <w:spacing w:after="0"/>
        <w:jc w:val="both"/>
        <w:rPr>
          <w:rFonts w:ascii="Arial" w:eastAsia="Arial" w:hAnsi="Arial" w:cs="Arial"/>
          <w:b/>
          <w:bCs/>
          <w:sz w:val="24"/>
          <w:szCs w:val="24"/>
        </w:rPr>
      </w:pPr>
      <w:r w:rsidRPr="00C53E72">
        <w:rPr>
          <w:rFonts w:ascii="Arial" w:eastAsia="Arial" w:hAnsi="Arial" w:cs="Arial"/>
          <w:b/>
          <w:bCs/>
          <w:sz w:val="24"/>
          <w:szCs w:val="24"/>
        </w:rPr>
        <w:t xml:space="preserve">Índice de Pobreza Energética Multidimensional (IPEM) </w:t>
      </w:r>
    </w:p>
    <w:p w14:paraId="4755A35E" w14:textId="77777777" w:rsidR="00C53E72" w:rsidRDefault="00C53E72" w:rsidP="00677BD3">
      <w:pPr>
        <w:spacing w:after="0"/>
        <w:jc w:val="both"/>
        <w:rPr>
          <w:rFonts w:ascii="Arial" w:eastAsia="Arial" w:hAnsi="Arial" w:cs="Arial"/>
          <w:sz w:val="24"/>
          <w:szCs w:val="24"/>
          <w:lang w:val="es-MX"/>
        </w:rPr>
      </w:pPr>
    </w:p>
    <w:p w14:paraId="0D38CA53" w14:textId="1F2E1E85" w:rsidR="002849EC" w:rsidRDefault="002849EC" w:rsidP="00677BD3">
      <w:pPr>
        <w:spacing w:after="0"/>
        <w:jc w:val="both"/>
        <w:rPr>
          <w:rFonts w:ascii="Arial" w:eastAsia="Arial" w:hAnsi="Arial" w:cs="Arial"/>
          <w:sz w:val="24"/>
          <w:szCs w:val="24"/>
        </w:rPr>
      </w:pPr>
      <w:r w:rsidRPr="40AD52C2">
        <w:rPr>
          <w:rFonts w:ascii="Arial" w:eastAsia="Arial" w:hAnsi="Arial" w:cs="Arial"/>
          <w:sz w:val="24"/>
          <w:szCs w:val="24"/>
          <w:lang w:val="es-MX"/>
        </w:rPr>
        <w:lastRenderedPageBreak/>
        <w:t xml:space="preserve">Indicador que refleja de manera directa las condiciones energéticas de los hogares y comunidades evaluando aspectos como la disponibilidad, confiabilidad, asequibilidad y modernidad del suministro, teniendo en cuenta que, la Pobreza Energética es definida como la situación en la que un hogar enfrenta formas de privación en el acceso a la energía que limitan la satisfacción de sus necesidades básicas de energía. Su valor se expresa en términos de porcentaje y es tomado de los datos más recientes publicados por parte del Ministerio de Minas y Energía (MME) dentro del Informe sobre Pobreza Energética Multidimensional en Colombia 2022-2023. No obstante, es importante señalar que será el Ministerio de Minas y Energía el responsable de definir la fuente de información vigente que deberá ser consultada para este fin. </w:t>
      </w:r>
      <w:r w:rsidRPr="40AD52C2">
        <w:rPr>
          <w:rFonts w:ascii="Arial" w:eastAsia="Arial" w:hAnsi="Arial" w:cs="Arial"/>
          <w:sz w:val="24"/>
          <w:szCs w:val="24"/>
        </w:rPr>
        <w:t xml:space="preserve"> </w:t>
      </w:r>
    </w:p>
    <w:p w14:paraId="617D018C" w14:textId="77777777" w:rsidR="00677BD3" w:rsidRDefault="00677BD3" w:rsidP="00677BD3">
      <w:pPr>
        <w:spacing w:after="0"/>
        <w:jc w:val="both"/>
        <w:rPr>
          <w:rFonts w:ascii="Arial" w:eastAsia="Arial" w:hAnsi="Arial" w:cs="Arial"/>
          <w:sz w:val="24"/>
          <w:szCs w:val="24"/>
          <w:lang w:val="es-MX"/>
        </w:rPr>
      </w:pPr>
    </w:p>
    <w:p w14:paraId="56B695D0" w14:textId="7587455D" w:rsidR="002849EC" w:rsidRDefault="002849EC" w:rsidP="00677BD3">
      <w:pPr>
        <w:spacing w:after="0"/>
        <w:jc w:val="both"/>
        <w:rPr>
          <w:rFonts w:ascii="Arial" w:eastAsia="Arial" w:hAnsi="Arial" w:cs="Arial"/>
          <w:sz w:val="24"/>
          <w:szCs w:val="24"/>
        </w:rPr>
      </w:pPr>
      <w:r w:rsidRPr="40AD52C2">
        <w:rPr>
          <w:rFonts w:ascii="Arial" w:eastAsia="Arial" w:hAnsi="Arial" w:cs="Arial"/>
          <w:sz w:val="24"/>
          <w:szCs w:val="24"/>
          <w:lang w:val="es-MX"/>
        </w:rPr>
        <w:t>En el Informe sobre Pobreza Energética Multidimensional en Colombia 2022-2023 el MME presenta los datos del IPEM por departamento y por municipio, tomando como base cuatro dimensiones con sus respectivos indicadores:</w:t>
      </w:r>
      <w:r w:rsidRPr="40AD52C2">
        <w:rPr>
          <w:rFonts w:ascii="Arial" w:eastAsia="Arial" w:hAnsi="Arial" w:cs="Arial"/>
          <w:sz w:val="24"/>
          <w:szCs w:val="24"/>
        </w:rPr>
        <w:t xml:space="preserve"> </w:t>
      </w:r>
    </w:p>
    <w:p w14:paraId="37D73256" w14:textId="77777777" w:rsidR="00677BD3" w:rsidRDefault="00677BD3" w:rsidP="00677BD3">
      <w:pPr>
        <w:spacing w:after="0"/>
        <w:jc w:val="both"/>
        <w:rPr>
          <w:rFonts w:ascii="Arial" w:eastAsia="Arial" w:hAnsi="Arial" w:cs="Arial"/>
          <w:sz w:val="24"/>
          <w:szCs w:val="24"/>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155"/>
        <w:gridCol w:w="5220"/>
      </w:tblGrid>
      <w:tr w:rsidR="002849EC" w14:paraId="183A4B8C" w14:textId="77777777" w:rsidTr="00C14EF5">
        <w:trPr>
          <w:trHeight w:val="285"/>
        </w:trPr>
        <w:tc>
          <w:tcPr>
            <w:tcW w:w="4155" w:type="dxa"/>
            <w:tcBorders>
              <w:top w:val="single" w:sz="4" w:space="0" w:color="auto"/>
              <w:left w:val="single" w:sz="4" w:space="0" w:color="auto"/>
              <w:bottom w:val="single" w:sz="4" w:space="0" w:color="auto"/>
              <w:right w:val="single" w:sz="4" w:space="0" w:color="auto"/>
            </w:tcBorders>
          </w:tcPr>
          <w:p w14:paraId="359E273A"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 xml:space="preserve">DIMENSIÓN </w:t>
            </w:r>
            <w:r w:rsidRPr="40AD52C2">
              <w:rPr>
                <w:rFonts w:ascii="Arial" w:eastAsia="Arial" w:hAnsi="Arial" w:cs="Arial"/>
                <w:color w:val="000000" w:themeColor="text1"/>
                <w:sz w:val="24"/>
                <w:szCs w:val="24"/>
              </w:rPr>
              <w:t xml:space="preserve"> </w:t>
            </w:r>
          </w:p>
        </w:tc>
        <w:tc>
          <w:tcPr>
            <w:tcW w:w="5220" w:type="dxa"/>
            <w:tcBorders>
              <w:top w:val="single" w:sz="4" w:space="0" w:color="auto"/>
              <w:left w:val="single" w:sz="4" w:space="0" w:color="auto"/>
              <w:bottom w:val="single" w:sz="4" w:space="0" w:color="auto"/>
              <w:right w:val="single" w:sz="4" w:space="0" w:color="auto"/>
            </w:tcBorders>
          </w:tcPr>
          <w:p w14:paraId="0F53ADAC"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INDICADOR</w:t>
            </w:r>
            <w:r w:rsidRPr="40AD52C2">
              <w:rPr>
                <w:rFonts w:ascii="Arial" w:eastAsia="Arial" w:hAnsi="Arial" w:cs="Arial"/>
                <w:color w:val="000000" w:themeColor="text1"/>
                <w:sz w:val="24"/>
                <w:szCs w:val="24"/>
              </w:rPr>
              <w:t xml:space="preserve"> </w:t>
            </w:r>
          </w:p>
        </w:tc>
      </w:tr>
      <w:tr w:rsidR="002849EC" w14:paraId="02600656" w14:textId="77777777" w:rsidTr="00C14EF5">
        <w:trPr>
          <w:trHeight w:val="285"/>
        </w:trPr>
        <w:tc>
          <w:tcPr>
            <w:tcW w:w="4155" w:type="dxa"/>
            <w:vMerge w:val="restart"/>
            <w:tcBorders>
              <w:top w:val="single" w:sz="4" w:space="0" w:color="auto"/>
              <w:left w:val="single" w:sz="4" w:space="0" w:color="auto"/>
              <w:bottom w:val="single" w:sz="4" w:space="0" w:color="auto"/>
              <w:right w:val="single" w:sz="4" w:space="0" w:color="auto"/>
            </w:tcBorders>
            <w:vAlign w:val="center"/>
          </w:tcPr>
          <w:p w14:paraId="0F70E5D8"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Acceso energía eléctrica y preparación de alimentos (36%)</w:t>
            </w:r>
            <w:r w:rsidRPr="40AD52C2">
              <w:rPr>
                <w:rFonts w:ascii="Arial" w:eastAsia="Arial" w:hAnsi="Arial" w:cs="Arial"/>
                <w:color w:val="000000" w:themeColor="text1"/>
                <w:sz w:val="24"/>
                <w:szCs w:val="24"/>
              </w:rPr>
              <w:t xml:space="preserve"> </w:t>
            </w:r>
          </w:p>
        </w:tc>
        <w:tc>
          <w:tcPr>
            <w:tcW w:w="5220" w:type="dxa"/>
            <w:tcBorders>
              <w:top w:val="single" w:sz="4" w:space="0" w:color="auto"/>
              <w:left w:val="single" w:sz="4" w:space="0" w:color="auto"/>
              <w:bottom w:val="single" w:sz="4" w:space="0" w:color="auto"/>
              <w:right w:val="single" w:sz="4" w:space="0" w:color="auto"/>
            </w:tcBorders>
            <w:vAlign w:val="center"/>
          </w:tcPr>
          <w:p w14:paraId="792E5AD8"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del servicio de energía eléctrica (6%)</w:t>
            </w:r>
            <w:r w:rsidRPr="40AD52C2">
              <w:rPr>
                <w:rFonts w:ascii="Arial" w:eastAsia="Arial" w:hAnsi="Arial" w:cs="Arial"/>
                <w:color w:val="000000" w:themeColor="text1"/>
                <w:sz w:val="24"/>
                <w:szCs w:val="24"/>
              </w:rPr>
              <w:t xml:space="preserve"> </w:t>
            </w:r>
          </w:p>
        </w:tc>
      </w:tr>
      <w:tr w:rsidR="002849EC" w14:paraId="63FB33DF" w14:textId="77777777" w:rsidTr="00C14EF5">
        <w:trPr>
          <w:trHeight w:val="285"/>
        </w:trPr>
        <w:tc>
          <w:tcPr>
            <w:tcW w:w="4155" w:type="dxa"/>
            <w:vMerge/>
            <w:tcBorders>
              <w:left w:val="single" w:sz="0" w:space="0" w:color="auto"/>
              <w:right w:val="single" w:sz="0" w:space="0" w:color="auto"/>
            </w:tcBorders>
            <w:vAlign w:val="center"/>
          </w:tcPr>
          <w:p w14:paraId="38DFBA14"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79F26AE1"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Cocción con GLP (6%)</w:t>
            </w:r>
            <w:r w:rsidRPr="40AD52C2">
              <w:rPr>
                <w:rFonts w:ascii="Arial" w:eastAsia="Arial" w:hAnsi="Arial" w:cs="Arial"/>
                <w:color w:val="000000" w:themeColor="text1"/>
                <w:sz w:val="24"/>
                <w:szCs w:val="24"/>
              </w:rPr>
              <w:t xml:space="preserve"> </w:t>
            </w:r>
          </w:p>
        </w:tc>
      </w:tr>
      <w:tr w:rsidR="002849EC" w14:paraId="6E6418A9" w14:textId="77777777" w:rsidTr="00C14EF5">
        <w:trPr>
          <w:trHeight w:val="285"/>
        </w:trPr>
        <w:tc>
          <w:tcPr>
            <w:tcW w:w="4155" w:type="dxa"/>
            <w:vMerge/>
            <w:tcBorders>
              <w:left w:val="single" w:sz="0" w:space="0" w:color="auto"/>
              <w:right w:val="single" w:sz="0" w:space="0" w:color="auto"/>
            </w:tcBorders>
            <w:vAlign w:val="center"/>
          </w:tcPr>
          <w:p w14:paraId="3701CED9"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5B6936B1"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Cocción con Kerosene (6%)</w:t>
            </w:r>
            <w:r w:rsidRPr="40AD52C2">
              <w:rPr>
                <w:rFonts w:ascii="Arial" w:eastAsia="Arial" w:hAnsi="Arial" w:cs="Arial"/>
                <w:color w:val="000000" w:themeColor="text1"/>
                <w:sz w:val="24"/>
                <w:szCs w:val="24"/>
              </w:rPr>
              <w:t xml:space="preserve"> </w:t>
            </w:r>
          </w:p>
        </w:tc>
      </w:tr>
      <w:tr w:rsidR="002849EC" w14:paraId="53E03A15" w14:textId="77777777" w:rsidTr="00C14EF5">
        <w:trPr>
          <w:trHeight w:val="285"/>
        </w:trPr>
        <w:tc>
          <w:tcPr>
            <w:tcW w:w="4155" w:type="dxa"/>
            <w:vMerge/>
            <w:tcBorders>
              <w:left w:val="single" w:sz="0" w:space="0" w:color="auto"/>
              <w:right w:val="single" w:sz="0" w:space="0" w:color="auto"/>
            </w:tcBorders>
            <w:vAlign w:val="center"/>
          </w:tcPr>
          <w:p w14:paraId="11130EF9"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23321870"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Cocción con Leña (6%)</w:t>
            </w:r>
            <w:r w:rsidRPr="40AD52C2">
              <w:rPr>
                <w:rFonts w:ascii="Arial" w:eastAsia="Arial" w:hAnsi="Arial" w:cs="Arial"/>
                <w:color w:val="000000" w:themeColor="text1"/>
                <w:sz w:val="24"/>
                <w:szCs w:val="24"/>
              </w:rPr>
              <w:t xml:space="preserve"> </w:t>
            </w:r>
          </w:p>
        </w:tc>
      </w:tr>
      <w:tr w:rsidR="002849EC" w14:paraId="1D79D071" w14:textId="77777777" w:rsidTr="00C14EF5">
        <w:trPr>
          <w:trHeight w:val="285"/>
        </w:trPr>
        <w:tc>
          <w:tcPr>
            <w:tcW w:w="4155" w:type="dxa"/>
            <w:vMerge/>
            <w:tcBorders>
              <w:left w:val="single" w:sz="0" w:space="0" w:color="auto"/>
              <w:right w:val="single" w:sz="0" w:space="0" w:color="auto"/>
            </w:tcBorders>
            <w:vAlign w:val="center"/>
          </w:tcPr>
          <w:p w14:paraId="5C2116B6"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7C713136"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Cocción con Carbón-Leña (6%)</w:t>
            </w:r>
            <w:r w:rsidRPr="40AD52C2">
              <w:rPr>
                <w:rFonts w:ascii="Arial" w:eastAsia="Arial" w:hAnsi="Arial" w:cs="Arial"/>
                <w:color w:val="000000" w:themeColor="text1"/>
                <w:sz w:val="24"/>
                <w:szCs w:val="24"/>
              </w:rPr>
              <w:t xml:space="preserve"> </w:t>
            </w:r>
          </w:p>
        </w:tc>
      </w:tr>
      <w:tr w:rsidR="002849EC" w14:paraId="0299F672" w14:textId="77777777" w:rsidTr="00C14EF5">
        <w:trPr>
          <w:trHeight w:val="285"/>
        </w:trPr>
        <w:tc>
          <w:tcPr>
            <w:tcW w:w="4155" w:type="dxa"/>
            <w:vMerge/>
            <w:tcBorders>
              <w:left w:val="single" w:sz="0" w:space="0" w:color="auto"/>
              <w:bottom w:val="single" w:sz="0" w:space="0" w:color="auto"/>
              <w:right w:val="single" w:sz="0" w:space="0" w:color="auto"/>
            </w:tcBorders>
            <w:vAlign w:val="center"/>
          </w:tcPr>
          <w:p w14:paraId="653E4136"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20589D5F"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Cocción con desechos (6%)</w:t>
            </w:r>
            <w:r w:rsidRPr="40AD52C2">
              <w:rPr>
                <w:rFonts w:ascii="Arial" w:eastAsia="Arial" w:hAnsi="Arial" w:cs="Arial"/>
                <w:color w:val="000000" w:themeColor="text1"/>
                <w:sz w:val="24"/>
                <w:szCs w:val="24"/>
              </w:rPr>
              <w:t xml:space="preserve"> </w:t>
            </w:r>
          </w:p>
        </w:tc>
      </w:tr>
      <w:tr w:rsidR="002849EC" w14:paraId="521930A6" w14:textId="77777777" w:rsidTr="00C14EF5">
        <w:trPr>
          <w:trHeight w:val="285"/>
        </w:trPr>
        <w:tc>
          <w:tcPr>
            <w:tcW w:w="4155" w:type="dxa"/>
            <w:vMerge w:val="restart"/>
            <w:tcBorders>
              <w:top w:val="nil"/>
              <w:left w:val="single" w:sz="4" w:space="0" w:color="auto"/>
              <w:bottom w:val="single" w:sz="4" w:space="0" w:color="auto"/>
              <w:right w:val="single" w:sz="4" w:space="0" w:color="auto"/>
            </w:tcBorders>
            <w:vAlign w:val="center"/>
          </w:tcPr>
          <w:p w14:paraId="679017FA"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Vivienda Funcional (32%)</w:t>
            </w:r>
            <w:r w:rsidRPr="40AD52C2">
              <w:rPr>
                <w:rFonts w:ascii="Arial" w:eastAsia="Arial" w:hAnsi="Arial" w:cs="Arial"/>
                <w:color w:val="000000" w:themeColor="text1"/>
                <w:sz w:val="24"/>
                <w:szCs w:val="24"/>
              </w:rPr>
              <w:t xml:space="preserve"> </w:t>
            </w:r>
          </w:p>
        </w:tc>
        <w:tc>
          <w:tcPr>
            <w:tcW w:w="5220" w:type="dxa"/>
            <w:tcBorders>
              <w:top w:val="single" w:sz="4" w:space="0" w:color="auto"/>
              <w:left w:val="single" w:sz="4" w:space="0" w:color="auto"/>
              <w:bottom w:val="single" w:sz="4" w:space="0" w:color="auto"/>
              <w:right w:val="single" w:sz="4" w:space="0" w:color="auto"/>
            </w:tcBorders>
            <w:vAlign w:val="center"/>
          </w:tcPr>
          <w:p w14:paraId="1DF4C43E"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 espacio propio para Cocinar (8%)</w:t>
            </w:r>
            <w:r w:rsidRPr="40AD52C2">
              <w:rPr>
                <w:rFonts w:ascii="Arial" w:eastAsia="Arial" w:hAnsi="Arial" w:cs="Arial"/>
                <w:color w:val="000000" w:themeColor="text1"/>
                <w:sz w:val="24"/>
                <w:szCs w:val="24"/>
              </w:rPr>
              <w:t xml:space="preserve"> </w:t>
            </w:r>
          </w:p>
        </w:tc>
      </w:tr>
      <w:tr w:rsidR="002849EC" w14:paraId="1A5D91F4" w14:textId="77777777" w:rsidTr="00C14EF5">
        <w:trPr>
          <w:trHeight w:val="285"/>
        </w:trPr>
        <w:tc>
          <w:tcPr>
            <w:tcW w:w="4155" w:type="dxa"/>
            <w:vMerge/>
            <w:tcBorders>
              <w:left w:val="single" w:sz="0" w:space="0" w:color="auto"/>
              <w:right w:val="single" w:sz="0" w:space="0" w:color="auto"/>
            </w:tcBorders>
            <w:vAlign w:val="center"/>
          </w:tcPr>
          <w:p w14:paraId="2B6C3E00"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72935CD7"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 Estufa (8%)</w:t>
            </w:r>
            <w:r w:rsidRPr="40AD52C2">
              <w:rPr>
                <w:rFonts w:ascii="Arial" w:eastAsia="Arial" w:hAnsi="Arial" w:cs="Arial"/>
                <w:color w:val="000000" w:themeColor="text1"/>
                <w:sz w:val="24"/>
                <w:szCs w:val="24"/>
              </w:rPr>
              <w:t xml:space="preserve"> </w:t>
            </w:r>
          </w:p>
        </w:tc>
      </w:tr>
      <w:tr w:rsidR="002849EC" w14:paraId="58003B3F" w14:textId="77777777" w:rsidTr="00C14EF5">
        <w:trPr>
          <w:trHeight w:val="285"/>
        </w:trPr>
        <w:tc>
          <w:tcPr>
            <w:tcW w:w="4155" w:type="dxa"/>
            <w:vMerge/>
            <w:tcBorders>
              <w:left w:val="single" w:sz="0" w:space="0" w:color="auto"/>
              <w:right w:val="single" w:sz="0" w:space="0" w:color="auto"/>
            </w:tcBorders>
            <w:vAlign w:val="center"/>
          </w:tcPr>
          <w:p w14:paraId="12B4FC35"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443C4A6E"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 nevera (8%)</w:t>
            </w:r>
            <w:r w:rsidRPr="40AD52C2">
              <w:rPr>
                <w:rFonts w:ascii="Arial" w:eastAsia="Arial" w:hAnsi="Arial" w:cs="Arial"/>
                <w:color w:val="000000" w:themeColor="text1"/>
                <w:sz w:val="24"/>
                <w:szCs w:val="24"/>
              </w:rPr>
              <w:t xml:space="preserve"> </w:t>
            </w:r>
          </w:p>
        </w:tc>
      </w:tr>
      <w:tr w:rsidR="002849EC" w14:paraId="6B73E3EE" w14:textId="77777777" w:rsidTr="00C14EF5">
        <w:trPr>
          <w:trHeight w:val="285"/>
        </w:trPr>
        <w:tc>
          <w:tcPr>
            <w:tcW w:w="4155" w:type="dxa"/>
            <w:vMerge/>
            <w:tcBorders>
              <w:left w:val="single" w:sz="0" w:space="0" w:color="auto"/>
              <w:bottom w:val="single" w:sz="0" w:space="0" w:color="auto"/>
              <w:right w:val="single" w:sz="0" w:space="0" w:color="auto"/>
            </w:tcBorders>
            <w:vAlign w:val="center"/>
          </w:tcPr>
          <w:p w14:paraId="1BEDBF33"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0ACCBCCE"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 lavadora (8%)</w:t>
            </w:r>
            <w:r w:rsidRPr="40AD52C2">
              <w:rPr>
                <w:rFonts w:ascii="Arial" w:eastAsia="Arial" w:hAnsi="Arial" w:cs="Arial"/>
                <w:color w:val="000000" w:themeColor="text1"/>
                <w:sz w:val="24"/>
                <w:szCs w:val="24"/>
              </w:rPr>
              <w:t xml:space="preserve"> </w:t>
            </w:r>
          </w:p>
        </w:tc>
      </w:tr>
      <w:tr w:rsidR="002849EC" w14:paraId="686D723D" w14:textId="77777777" w:rsidTr="00C14EF5">
        <w:trPr>
          <w:trHeight w:val="285"/>
        </w:trPr>
        <w:tc>
          <w:tcPr>
            <w:tcW w:w="4155" w:type="dxa"/>
            <w:vMerge w:val="restart"/>
            <w:tcBorders>
              <w:top w:val="nil"/>
              <w:left w:val="single" w:sz="4" w:space="0" w:color="auto"/>
              <w:bottom w:val="single" w:sz="4" w:space="0" w:color="auto"/>
              <w:right w:val="single" w:sz="4" w:space="0" w:color="auto"/>
            </w:tcBorders>
            <w:vAlign w:val="center"/>
          </w:tcPr>
          <w:p w14:paraId="57FC0B09"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Aprender y Comunicarse (28%)</w:t>
            </w:r>
            <w:r w:rsidRPr="40AD52C2">
              <w:rPr>
                <w:rFonts w:ascii="Arial" w:eastAsia="Arial" w:hAnsi="Arial" w:cs="Arial"/>
                <w:color w:val="000000" w:themeColor="text1"/>
                <w:sz w:val="24"/>
                <w:szCs w:val="24"/>
              </w:rPr>
              <w:t xml:space="preserve"> </w:t>
            </w:r>
          </w:p>
        </w:tc>
        <w:tc>
          <w:tcPr>
            <w:tcW w:w="5220" w:type="dxa"/>
            <w:tcBorders>
              <w:top w:val="single" w:sz="4" w:space="0" w:color="auto"/>
              <w:left w:val="single" w:sz="4" w:space="0" w:color="auto"/>
              <w:bottom w:val="single" w:sz="4" w:space="0" w:color="auto"/>
              <w:right w:val="single" w:sz="4" w:space="0" w:color="auto"/>
            </w:tcBorders>
            <w:vAlign w:val="center"/>
          </w:tcPr>
          <w:p w14:paraId="7B402F8F"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del servicio de internet (5.6%)</w:t>
            </w:r>
            <w:r w:rsidRPr="40AD52C2">
              <w:rPr>
                <w:rFonts w:ascii="Arial" w:eastAsia="Arial" w:hAnsi="Arial" w:cs="Arial"/>
                <w:color w:val="000000" w:themeColor="text1"/>
                <w:sz w:val="24"/>
                <w:szCs w:val="24"/>
              </w:rPr>
              <w:t xml:space="preserve"> </w:t>
            </w:r>
          </w:p>
        </w:tc>
      </w:tr>
      <w:tr w:rsidR="002849EC" w14:paraId="2409E103" w14:textId="77777777" w:rsidTr="00C14EF5">
        <w:trPr>
          <w:trHeight w:val="285"/>
        </w:trPr>
        <w:tc>
          <w:tcPr>
            <w:tcW w:w="4155" w:type="dxa"/>
            <w:vMerge/>
            <w:tcBorders>
              <w:left w:val="single" w:sz="0" w:space="0" w:color="auto"/>
              <w:bottom w:val="single" w:sz="0" w:space="0" w:color="auto"/>
              <w:right w:val="single" w:sz="0" w:space="0" w:color="auto"/>
            </w:tcBorders>
            <w:vAlign w:val="center"/>
          </w:tcPr>
          <w:p w14:paraId="49C48093"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12856F42"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 computador de mesa (5.6%)</w:t>
            </w:r>
            <w:r w:rsidRPr="40AD52C2">
              <w:rPr>
                <w:rFonts w:ascii="Arial" w:eastAsia="Arial" w:hAnsi="Arial" w:cs="Arial"/>
                <w:color w:val="000000" w:themeColor="text1"/>
                <w:sz w:val="24"/>
                <w:szCs w:val="24"/>
              </w:rPr>
              <w:t xml:space="preserve"> </w:t>
            </w:r>
          </w:p>
        </w:tc>
      </w:tr>
      <w:tr w:rsidR="002849EC" w14:paraId="5795F651" w14:textId="77777777" w:rsidTr="00C14EF5">
        <w:trPr>
          <w:trHeight w:val="285"/>
        </w:trPr>
        <w:tc>
          <w:tcPr>
            <w:tcW w:w="4155" w:type="dxa"/>
            <w:vMerge/>
            <w:tcBorders>
              <w:left w:val="single" w:sz="0" w:space="0" w:color="auto"/>
              <w:right w:val="single" w:sz="0" w:space="0" w:color="auto"/>
            </w:tcBorders>
            <w:vAlign w:val="center"/>
          </w:tcPr>
          <w:p w14:paraId="2A0A061C"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5D9927BA"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de computador portátil (5.6%)</w:t>
            </w:r>
            <w:r w:rsidRPr="40AD52C2">
              <w:rPr>
                <w:rFonts w:ascii="Arial" w:eastAsia="Arial" w:hAnsi="Arial" w:cs="Arial"/>
                <w:color w:val="000000" w:themeColor="text1"/>
                <w:sz w:val="24"/>
                <w:szCs w:val="24"/>
              </w:rPr>
              <w:t xml:space="preserve"> </w:t>
            </w:r>
          </w:p>
        </w:tc>
      </w:tr>
      <w:tr w:rsidR="002849EC" w14:paraId="69569A1C" w14:textId="77777777" w:rsidTr="00C14EF5">
        <w:trPr>
          <w:trHeight w:val="285"/>
        </w:trPr>
        <w:tc>
          <w:tcPr>
            <w:tcW w:w="4155" w:type="dxa"/>
            <w:vMerge/>
            <w:tcBorders>
              <w:left w:val="single" w:sz="0" w:space="0" w:color="auto"/>
              <w:bottom w:val="single" w:sz="0" w:space="0" w:color="auto"/>
              <w:right w:val="single" w:sz="0" w:space="0" w:color="auto"/>
            </w:tcBorders>
            <w:vAlign w:val="center"/>
          </w:tcPr>
          <w:p w14:paraId="2F1762E9"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2F3A442F"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TV inteligente (5.6%)</w:t>
            </w:r>
            <w:r w:rsidRPr="40AD52C2">
              <w:rPr>
                <w:rFonts w:ascii="Arial" w:eastAsia="Arial" w:hAnsi="Arial" w:cs="Arial"/>
                <w:color w:val="000000" w:themeColor="text1"/>
                <w:sz w:val="24"/>
                <w:szCs w:val="24"/>
              </w:rPr>
              <w:t xml:space="preserve"> </w:t>
            </w:r>
          </w:p>
        </w:tc>
      </w:tr>
      <w:tr w:rsidR="002849EC" w14:paraId="41F80B6A" w14:textId="77777777" w:rsidTr="00C14EF5">
        <w:trPr>
          <w:trHeight w:val="285"/>
        </w:trPr>
        <w:tc>
          <w:tcPr>
            <w:tcW w:w="4155" w:type="dxa"/>
            <w:vMerge/>
            <w:tcBorders>
              <w:left w:val="single" w:sz="0" w:space="0" w:color="auto"/>
              <w:bottom w:val="single" w:sz="0" w:space="0" w:color="auto"/>
              <w:right w:val="single" w:sz="0" w:space="0" w:color="auto"/>
            </w:tcBorders>
            <w:vAlign w:val="center"/>
          </w:tcPr>
          <w:p w14:paraId="3A63189C" w14:textId="77777777" w:rsidR="002849EC" w:rsidRDefault="002849EC" w:rsidP="00C14EF5"/>
        </w:tc>
        <w:tc>
          <w:tcPr>
            <w:tcW w:w="5220" w:type="dxa"/>
            <w:tcBorders>
              <w:top w:val="single" w:sz="4" w:space="0" w:color="auto"/>
              <w:left w:val="nil"/>
              <w:bottom w:val="single" w:sz="4" w:space="0" w:color="auto"/>
              <w:right w:val="single" w:sz="4" w:space="0" w:color="auto"/>
            </w:tcBorders>
            <w:vAlign w:val="center"/>
          </w:tcPr>
          <w:p w14:paraId="06B3FCDB"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Ausencia smartphone (5.6%)</w:t>
            </w:r>
            <w:r w:rsidRPr="40AD52C2">
              <w:rPr>
                <w:rFonts w:ascii="Arial" w:eastAsia="Arial" w:hAnsi="Arial" w:cs="Arial"/>
                <w:color w:val="000000" w:themeColor="text1"/>
                <w:sz w:val="24"/>
                <w:szCs w:val="24"/>
              </w:rPr>
              <w:t xml:space="preserve"> </w:t>
            </w:r>
          </w:p>
        </w:tc>
      </w:tr>
      <w:tr w:rsidR="002849EC" w14:paraId="6C641991" w14:textId="77777777" w:rsidTr="00C14EF5">
        <w:trPr>
          <w:trHeight w:val="285"/>
        </w:trPr>
        <w:tc>
          <w:tcPr>
            <w:tcW w:w="4155" w:type="dxa"/>
            <w:tcBorders>
              <w:top w:val="nil"/>
              <w:left w:val="single" w:sz="4" w:space="0" w:color="auto"/>
              <w:bottom w:val="single" w:sz="4" w:space="0" w:color="auto"/>
              <w:right w:val="single" w:sz="4" w:space="0" w:color="auto"/>
            </w:tcBorders>
            <w:vAlign w:val="center"/>
          </w:tcPr>
          <w:p w14:paraId="63DAC1A4"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Territorio Equipado (4%)</w:t>
            </w:r>
            <w:r w:rsidRPr="40AD52C2">
              <w:rPr>
                <w:rFonts w:ascii="Arial" w:eastAsia="Arial" w:hAnsi="Arial" w:cs="Arial"/>
                <w:color w:val="000000" w:themeColor="text1"/>
                <w:sz w:val="24"/>
                <w:szCs w:val="24"/>
              </w:rPr>
              <w:t xml:space="preserve"> </w:t>
            </w:r>
          </w:p>
        </w:tc>
        <w:tc>
          <w:tcPr>
            <w:tcW w:w="5220" w:type="dxa"/>
            <w:tcBorders>
              <w:top w:val="single" w:sz="4" w:space="0" w:color="auto"/>
              <w:left w:val="single" w:sz="4" w:space="0" w:color="auto"/>
              <w:bottom w:val="single" w:sz="4" w:space="0" w:color="auto"/>
              <w:right w:val="single" w:sz="4" w:space="0" w:color="auto"/>
            </w:tcBorders>
            <w:vAlign w:val="center"/>
          </w:tcPr>
          <w:p w14:paraId="5A438C24" w14:textId="77777777" w:rsidR="002849EC" w:rsidRDefault="002849EC" w:rsidP="00C14EF5">
            <w:pPr>
              <w:spacing w:after="160"/>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Instituciones educativas públicas sin servicio de energía eléctrica (4%)</w:t>
            </w:r>
            <w:r w:rsidRPr="40AD52C2">
              <w:rPr>
                <w:rFonts w:ascii="Arial" w:eastAsia="Arial" w:hAnsi="Arial" w:cs="Arial"/>
                <w:color w:val="000000" w:themeColor="text1"/>
                <w:sz w:val="24"/>
                <w:szCs w:val="24"/>
              </w:rPr>
              <w:t xml:space="preserve"> </w:t>
            </w:r>
          </w:p>
        </w:tc>
      </w:tr>
    </w:tbl>
    <w:p w14:paraId="5735BD5F" w14:textId="77777777" w:rsidR="002849EC" w:rsidRPr="009A635A" w:rsidRDefault="002849EC" w:rsidP="002849EC">
      <w:pPr>
        <w:spacing w:after="160"/>
        <w:jc w:val="both"/>
        <w:rPr>
          <w:rFonts w:ascii="Arial" w:eastAsia="Arial" w:hAnsi="Arial" w:cs="Arial"/>
          <w:sz w:val="20"/>
          <w:szCs w:val="20"/>
        </w:rPr>
      </w:pPr>
      <w:r w:rsidRPr="009A635A">
        <w:rPr>
          <w:rFonts w:ascii="Arial" w:eastAsia="Arial" w:hAnsi="Arial" w:cs="Arial"/>
          <w:b/>
          <w:bCs/>
          <w:sz w:val="20"/>
          <w:szCs w:val="20"/>
          <w:lang w:val="es-MX"/>
        </w:rPr>
        <w:t>Fuente:</w:t>
      </w:r>
      <w:r w:rsidRPr="009A635A">
        <w:rPr>
          <w:rFonts w:ascii="Arial" w:eastAsia="Arial" w:hAnsi="Arial" w:cs="Arial"/>
          <w:sz w:val="20"/>
          <w:szCs w:val="20"/>
          <w:lang w:val="es-MX"/>
        </w:rPr>
        <w:t xml:space="preserve"> Datos tomados del MME, Informe de Pobreza Energética Multidimensional en Colombia- Año 2024.</w:t>
      </w:r>
      <w:r w:rsidRPr="009A635A">
        <w:rPr>
          <w:rFonts w:ascii="Arial" w:eastAsia="Arial" w:hAnsi="Arial" w:cs="Arial"/>
          <w:sz w:val="20"/>
          <w:szCs w:val="20"/>
        </w:rPr>
        <w:t xml:space="preserve"> </w:t>
      </w:r>
    </w:p>
    <w:p w14:paraId="733E766D" w14:textId="77777777" w:rsidR="00633011" w:rsidRDefault="00633011" w:rsidP="002849EC">
      <w:pPr>
        <w:spacing w:after="160"/>
        <w:jc w:val="both"/>
        <w:rPr>
          <w:rFonts w:ascii="Arial" w:eastAsia="Arial" w:hAnsi="Arial" w:cs="Arial"/>
          <w:sz w:val="24"/>
          <w:szCs w:val="24"/>
          <w:lang w:val="es-MX"/>
        </w:rPr>
      </w:pPr>
    </w:p>
    <w:p w14:paraId="43AEBC5B" w14:textId="33FFB138"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 xml:space="preserve">Para la cuantificación y suma de los datos obtenidos, el MME tomará como base la metodología para el cálculo del IPM por parte del DANE, mediante la cual asigna un peso porcentual a cada una de las dimensiones e indicadores, siendo para el caso del IPEM, </w:t>
      </w:r>
      <w:r w:rsidRPr="40AD52C2">
        <w:rPr>
          <w:rFonts w:ascii="Arial" w:eastAsia="Arial" w:hAnsi="Arial" w:cs="Arial"/>
          <w:sz w:val="24"/>
          <w:szCs w:val="24"/>
          <w:lang w:val="es-MX"/>
        </w:rPr>
        <w:lastRenderedPageBreak/>
        <w:t xml:space="preserve">la ponderación dividida de manera proporcional entre el total de indicadores, llevando así a la generación de los porcentajes indicados en la tabla anterior en cada una de las dimensiones e indicadores asociados. </w:t>
      </w:r>
      <w:r w:rsidRPr="40AD52C2">
        <w:rPr>
          <w:rFonts w:ascii="Arial" w:eastAsia="Arial" w:hAnsi="Arial" w:cs="Arial"/>
          <w:sz w:val="24"/>
          <w:szCs w:val="24"/>
        </w:rPr>
        <w:t xml:space="preserve"> </w:t>
      </w:r>
    </w:p>
    <w:p w14:paraId="217CB68B"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Para el cálculo del Puntaje de Índice de Pobreza Energética Multidimensional (PIPEM), se realiza la obtención de los datos cualitativos definidos por parte del MME según la posición del valor porcentual del IPEM dentro de un rango definido, para posteriormente, asignarles un valor de 1 a 5 asociado de forma directa a la calificación cualitativa de un departamento específico como se muestra a continuación:</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90"/>
        <w:gridCol w:w="3150"/>
        <w:gridCol w:w="3135"/>
      </w:tblGrid>
      <w:tr w:rsidR="002849EC" w14:paraId="73DABF11" w14:textId="77777777" w:rsidTr="00C14EF5">
        <w:trPr>
          <w:trHeight w:val="285"/>
        </w:trPr>
        <w:tc>
          <w:tcPr>
            <w:tcW w:w="3090" w:type="dxa"/>
            <w:tcBorders>
              <w:top w:val="single" w:sz="4" w:space="0" w:color="auto"/>
              <w:left w:val="single" w:sz="4" w:space="0" w:color="auto"/>
              <w:bottom w:val="single" w:sz="4" w:space="0" w:color="auto"/>
              <w:right w:val="single" w:sz="4" w:space="0" w:color="auto"/>
            </w:tcBorders>
            <w:vAlign w:val="center"/>
          </w:tcPr>
          <w:p w14:paraId="4873B0E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Rango</w:t>
            </w:r>
            <w:r w:rsidRPr="40AD52C2">
              <w:rPr>
                <w:rFonts w:ascii="Arial" w:eastAsia="Arial" w:hAnsi="Arial" w:cs="Arial"/>
                <w:color w:val="000000" w:themeColor="text1"/>
                <w:sz w:val="24"/>
                <w:szCs w:val="24"/>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1956C04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Calificación Cualitativa</w:t>
            </w:r>
            <w:r w:rsidRPr="40AD52C2">
              <w:rPr>
                <w:rFonts w:ascii="Arial" w:eastAsia="Arial" w:hAnsi="Arial" w:cs="Arial"/>
                <w:color w:val="000000" w:themeColor="text1"/>
                <w:sz w:val="24"/>
                <w:szCs w:val="24"/>
              </w:rPr>
              <w:t xml:space="preserve"> </w:t>
            </w:r>
          </w:p>
        </w:tc>
        <w:tc>
          <w:tcPr>
            <w:tcW w:w="3135" w:type="dxa"/>
            <w:tcBorders>
              <w:top w:val="single" w:sz="4" w:space="0" w:color="auto"/>
              <w:left w:val="single" w:sz="4" w:space="0" w:color="auto"/>
              <w:bottom w:val="single" w:sz="4" w:space="0" w:color="auto"/>
              <w:right w:val="single" w:sz="4" w:space="0" w:color="auto"/>
            </w:tcBorders>
            <w:vAlign w:val="center"/>
          </w:tcPr>
          <w:p w14:paraId="301A166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Puntuación (PIPM)</w:t>
            </w:r>
            <w:r w:rsidRPr="40AD52C2">
              <w:rPr>
                <w:rFonts w:ascii="Arial" w:eastAsia="Arial" w:hAnsi="Arial" w:cs="Arial"/>
                <w:color w:val="000000" w:themeColor="text1"/>
                <w:sz w:val="24"/>
                <w:szCs w:val="24"/>
              </w:rPr>
              <w:t xml:space="preserve"> </w:t>
            </w:r>
          </w:p>
        </w:tc>
      </w:tr>
      <w:tr w:rsidR="002849EC" w14:paraId="165BAA80" w14:textId="77777777" w:rsidTr="00C14EF5">
        <w:trPr>
          <w:trHeight w:val="285"/>
        </w:trPr>
        <w:tc>
          <w:tcPr>
            <w:tcW w:w="3090" w:type="dxa"/>
            <w:tcBorders>
              <w:top w:val="single" w:sz="4" w:space="0" w:color="auto"/>
              <w:left w:val="single" w:sz="4" w:space="0" w:color="auto"/>
              <w:bottom w:val="single" w:sz="4" w:space="0" w:color="auto"/>
              <w:right w:val="single" w:sz="4" w:space="0" w:color="auto"/>
            </w:tcBorders>
            <w:vAlign w:val="center"/>
          </w:tcPr>
          <w:p w14:paraId="29E0D1D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5</w:t>
            </w:r>
            <w:r w:rsidRPr="40AD52C2">
              <w:rPr>
                <w:rFonts w:ascii="Arial" w:eastAsia="Arial" w:hAnsi="Arial" w:cs="Arial"/>
                <w:color w:val="000000" w:themeColor="text1"/>
                <w:sz w:val="24"/>
                <w:szCs w:val="24"/>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30DFA0F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MUY ALTO</w:t>
            </w:r>
            <w:r w:rsidRPr="40AD52C2">
              <w:rPr>
                <w:rFonts w:ascii="Arial" w:eastAsia="Arial" w:hAnsi="Arial" w:cs="Arial"/>
                <w:color w:val="000000" w:themeColor="text1"/>
                <w:sz w:val="24"/>
                <w:szCs w:val="24"/>
              </w:rPr>
              <w:t xml:space="preserve"> </w:t>
            </w:r>
          </w:p>
        </w:tc>
        <w:tc>
          <w:tcPr>
            <w:tcW w:w="3135" w:type="dxa"/>
            <w:tcBorders>
              <w:top w:val="single" w:sz="4" w:space="0" w:color="auto"/>
              <w:left w:val="single" w:sz="4" w:space="0" w:color="auto"/>
              <w:bottom w:val="single" w:sz="4" w:space="0" w:color="auto"/>
              <w:right w:val="single" w:sz="4" w:space="0" w:color="auto"/>
            </w:tcBorders>
            <w:vAlign w:val="center"/>
          </w:tcPr>
          <w:p w14:paraId="0E2E03F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5</w:t>
            </w:r>
            <w:r w:rsidRPr="40AD52C2">
              <w:rPr>
                <w:rFonts w:ascii="Arial" w:eastAsia="Arial" w:hAnsi="Arial" w:cs="Arial"/>
                <w:color w:val="000000" w:themeColor="text1"/>
                <w:sz w:val="24"/>
                <w:szCs w:val="24"/>
              </w:rPr>
              <w:t xml:space="preserve"> </w:t>
            </w:r>
          </w:p>
        </w:tc>
      </w:tr>
      <w:tr w:rsidR="002849EC" w14:paraId="61B75BD0" w14:textId="77777777" w:rsidTr="00C14EF5">
        <w:trPr>
          <w:trHeight w:val="285"/>
        </w:trPr>
        <w:tc>
          <w:tcPr>
            <w:tcW w:w="3090" w:type="dxa"/>
            <w:tcBorders>
              <w:top w:val="single" w:sz="4" w:space="0" w:color="auto"/>
              <w:left w:val="single" w:sz="4" w:space="0" w:color="auto"/>
              <w:bottom w:val="single" w:sz="4" w:space="0" w:color="auto"/>
              <w:right w:val="single" w:sz="4" w:space="0" w:color="auto"/>
            </w:tcBorders>
            <w:vAlign w:val="center"/>
          </w:tcPr>
          <w:p w14:paraId="55A89CB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4</w:t>
            </w:r>
            <w:r w:rsidRPr="40AD52C2">
              <w:rPr>
                <w:rFonts w:ascii="Arial" w:eastAsia="Arial" w:hAnsi="Arial" w:cs="Arial"/>
                <w:color w:val="000000" w:themeColor="text1"/>
                <w:sz w:val="24"/>
                <w:szCs w:val="24"/>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4090AC0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ALTO</w:t>
            </w:r>
            <w:r w:rsidRPr="40AD52C2">
              <w:rPr>
                <w:rFonts w:ascii="Arial" w:eastAsia="Arial" w:hAnsi="Arial" w:cs="Arial"/>
                <w:color w:val="000000" w:themeColor="text1"/>
                <w:sz w:val="24"/>
                <w:szCs w:val="24"/>
              </w:rPr>
              <w:t xml:space="preserve"> </w:t>
            </w:r>
          </w:p>
        </w:tc>
        <w:tc>
          <w:tcPr>
            <w:tcW w:w="3135" w:type="dxa"/>
            <w:tcBorders>
              <w:top w:val="single" w:sz="4" w:space="0" w:color="auto"/>
              <w:left w:val="single" w:sz="4" w:space="0" w:color="auto"/>
              <w:bottom w:val="single" w:sz="4" w:space="0" w:color="auto"/>
              <w:right w:val="single" w:sz="4" w:space="0" w:color="auto"/>
            </w:tcBorders>
            <w:vAlign w:val="center"/>
          </w:tcPr>
          <w:p w14:paraId="0924BEC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4</w:t>
            </w:r>
            <w:r w:rsidRPr="40AD52C2">
              <w:rPr>
                <w:rFonts w:ascii="Arial" w:eastAsia="Arial" w:hAnsi="Arial" w:cs="Arial"/>
                <w:color w:val="000000" w:themeColor="text1"/>
                <w:sz w:val="24"/>
                <w:szCs w:val="24"/>
              </w:rPr>
              <w:t xml:space="preserve"> </w:t>
            </w:r>
          </w:p>
        </w:tc>
      </w:tr>
      <w:tr w:rsidR="002849EC" w14:paraId="016F4161" w14:textId="77777777" w:rsidTr="00C14EF5">
        <w:trPr>
          <w:trHeight w:val="285"/>
        </w:trPr>
        <w:tc>
          <w:tcPr>
            <w:tcW w:w="3090" w:type="dxa"/>
            <w:tcBorders>
              <w:top w:val="single" w:sz="4" w:space="0" w:color="auto"/>
              <w:left w:val="single" w:sz="4" w:space="0" w:color="auto"/>
              <w:bottom w:val="single" w:sz="4" w:space="0" w:color="auto"/>
              <w:right w:val="single" w:sz="4" w:space="0" w:color="auto"/>
            </w:tcBorders>
            <w:vAlign w:val="center"/>
          </w:tcPr>
          <w:p w14:paraId="524A290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3</w:t>
            </w:r>
            <w:r w:rsidRPr="40AD52C2">
              <w:rPr>
                <w:rFonts w:ascii="Arial" w:eastAsia="Arial" w:hAnsi="Arial" w:cs="Arial"/>
                <w:color w:val="000000" w:themeColor="text1"/>
                <w:sz w:val="24"/>
                <w:szCs w:val="24"/>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0214018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MEDIO</w:t>
            </w:r>
            <w:r w:rsidRPr="40AD52C2">
              <w:rPr>
                <w:rFonts w:ascii="Arial" w:eastAsia="Arial" w:hAnsi="Arial" w:cs="Arial"/>
                <w:color w:val="000000" w:themeColor="text1"/>
                <w:sz w:val="24"/>
                <w:szCs w:val="24"/>
              </w:rPr>
              <w:t xml:space="preserve"> </w:t>
            </w:r>
          </w:p>
        </w:tc>
        <w:tc>
          <w:tcPr>
            <w:tcW w:w="3135" w:type="dxa"/>
            <w:tcBorders>
              <w:top w:val="single" w:sz="4" w:space="0" w:color="auto"/>
              <w:left w:val="single" w:sz="4" w:space="0" w:color="auto"/>
              <w:bottom w:val="single" w:sz="4" w:space="0" w:color="auto"/>
              <w:right w:val="single" w:sz="4" w:space="0" w:color="auto"/>
            </w:tcBorders>
            <w:vAlign w:val="center"/>
          </w:tcPr>
          <w:p w14:paraId="548B5CA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3</w:t>
            </w:r>
            <w:r w:rsidRPr="40AD52C2">
              <w:rPr>
                <w:rFonts w:ascii="Arial" w:eastAsia="Arial" w:hAnsi="Arial" w:cs="Arial"/>
                <w:color w:val="000000" w:themeColor="text1"/>
                <w:sz w:val="24"/>
                <w:szCs w:val="24"/>
              </w:rPr>
              <w:t xml:space="preserve"> </w:t>
            </w:r>
          </w:p>
        </w:tc>
      </w:tr>
      <w:tr w:rsidR="002849EC" w14:paraId="40E3CF25" w14:textId="77777777" w:rsidTr="00C14EF5">
        <w:trPr>
          <w:trHeight w:val="285"/>
        </w:trPr>
        <w:tc>
          <w:tcPr>
            <w:tcW w:w="3090" w:type="dxa"/>
            <w:tcBorders>
              <w:top w:val="single" w:sz="4" w:space="0" w:color="auto"/>
              <w:left w:val="single" w:sz="4" w:space="0" w:color="auto"/>
              <w:bottom w:val="single" w:sz="4" w:space="0" w:color="auto"/>
              <w:right w:val="single" w:sz="4" w:space="0" w:color="auto"/>
            </w:tcBorders>
            <w:vAlign w:val="center"/>
          </w:tcPr>
          <w:p w14:paraId="242BD94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2</w:t>
            </w:r>
            <w:r w:rsidRPr="40AD52C2">
              <w:rPr>
                <w:rFonts w:ascii="Arial" w:eastAsia="Arial" w:hAnsi="Arial" w:cs="Arial"/>
                <w:color w:val="000000" w:themeColor="text1"/>
                <w:sz w:val="24"/>
                <w:szCs w:val="24"/>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413AD3E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BAJO</w:t>
            </w:r>
            <w:r w:rsidRPr="40AD52C2">
              <w:rPr>
                <w:rFonts w:ascii="Arial" w:eastAsia="Arial" w:hAnsi="Arial" w:cs="Arial"/>
                <w:color w:val="000000" w:themeColor="text1"/>
                <w:sz w:val="24"/>
                <w:szCs w:val="24"/>
              </w:rPr>
              <w:t xml:space="preserve"> </w:t>
            </w:r>
          </w:p>
        </w:tc>
        <w:tc>
          <w:tcPr>
            <w:tcW w:w="3135" w:type="dxa"/>
            <w:tcBorders>
              <w:top w:val="single" w:sz="4" w:space="0" w:color="auto"/>
              <w:left w:val="single" w:sz="4" w:space="0" w:color="auto"/>
              <w:bottom w:val="single" w:sz="4" w:space="0" w:color="auto"/>
              <w:right w:val="single" w:sz="4" w:space="0" w:color="auto"/>
            </w:tcBorders>
            <w:vAlign w:val="center"/>
          </w:tcPr>
          <w:p w14:paraId="08E128B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2</w:t>
            </w:r>
            <w:r w:rsidRPr="40AD52C2">
              <w:rPr>
                <w:rFonts w:ascii="Arial" w:eastAsia="Arial" w:hAnsi="Arial" w:cs="Arial"/>
                <w:color w:val="000000" w:themeColor="text1"/>
                <w:sz w:val="24"/>
                <w:szCs w:val="24"/>
              </w:rPr>
              <w:t xml:space="preserve"> </w:t>
            </w:r>
          </w:p>
        </w:tc>
      </w:tr>
      <w:tr w:rsidR="002849EC" w14:paraId="2E7BFEB4" w14:textId="77777777" w:rsidTr="00C14EF5">
        <w:trPr>
          <w:trHeight w:val="285"/>
        </w:trPr>
        <w:tc>
          <w:tcPr>
            <w:tcW w:w="3090" w:type="dxa"/>
            <w:tcBorders>
              <w:top w:val="single" w:sz="4" w:space="0" w:color="auto"/>
              <w:left w:val="single" w:sz="4" w:space="0" w:color="auto"/>
              <w:bottom w:val="single" w:sz="4" w:space="0" w:color="auto"/>
              <w:right w:val="single" w:sz="4" w:space="0" w:color="auto"/>
            </w:tcBorders>
            <w:vAlign w:val="center"/>
          </w:tcPr>
          <w:p w14:paraId="7E8E900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1</w:t>
            </w:r>
            <w:r w:rsidRPr="40AD52C2">
              <w:rPr>
                <w:rFonts w:ascii="Arial" w:eastAsia="Arial" w:hAnsi="Arial" w:cs="Arial"/>
                <w:color w:val="000000" w:themeColor="text1"/>
                <w:sz w:val="24"/>
                <w:szCs w:val="24"/>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3E38A20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MUY BAJO</w:t>
            </w:r>
            <w:r w:rsidRPr="40AD52C2">
              <w:rPr>
                <w:rFonts w:ascii="Arial" w:eastAsia="Arial" w:hAnsi="Arial" w:cs="Arial"/>
                <w:color w:val="000000" w:themeColor="text1"/>
                <w:sz w:val="24"/>
                <w:szCs w:val="24"/>
              </w:rPr>
              <w:t xml:space="preserve"> </w:t>
            </w:r>
          </w:p>
        </w:tc>
        <w:tc>
          <w:tcPr>
            <w:tcW w:w="3135" w:type="dxa"/>
            <w:tcBorders>
              <w:top w:val="single" w:sz="4" w:space="0" w:color="auto"/>
              <w:left w:val="single" w:sz="4" w:space="0" w:color="auto"/>
              <w:bottom w:val="single" w:sz="4" w:space="0" w:color="auto"/>
              <w:right w:val="single" w:sz="4" w:space="0" w:color="auto"/>
            </w:tcBorders>
            <w:vAlign w:val="center"/>
          </w:tcPr>
          <w:p w14:paraId="1DADC56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1</w:t>
            </w:r>
            <w:r w:rsidRPr="40AD52C2">
              <w:rPr>
                <w:rFonts w:ascii="Arial" w:eastAsia="Arial" w:hAnsi="Arial" w:cs="Arial"/>
                <w:color w:val="000000" w:themeColor="text1"/>
                <w:sz w:val="24"/>
                <w:szCs w:val="24"/>
              </w:rPr>
              <w:t xml:space="preserve"> </w:t>
            </w:r>
          </w:p>
        </w:tc>
      </w:tr>
    </w:tbl>
    <w:p w14:paraId="65E70EE3" w14:textId="77777777" w:rsidR="002849EC" w:rsidRPr="009A635A" w:rsidRDefault="002849EC" w:rsidP="002849EC">
      <w:pPr>
        <w:spacing w:after="160"/>
        <w:jc w:val="both"/>
        <w:rPr>
          <w:rFonts w:ascii="Arial" w:eastAsia="Arial" w:hAnsi="Arial" w:cs="Arial"/>
          <w:sz w:val="20"/>
          <w:szCs w:val="20"/>
        </w:rPr>
      </w:pPr>
      <w:r w:rsidRPr="009A635A">
        <w:rPr>
          <w:rFonts w:ascii="Arial" w:eastAsia="Arial" w:hAnsi="Arial" w:cs="Arial"/>
          <w:sz w:val="20"/>
          <w:szCs w:val="20"/>
          <w:lang w:val="es-MX"/>
        </w:rPr>
        <w:t>Fuente: Elaboración Propia – MME.</w:t>
      </w:r>
      <w:r w:rsidRPr="009A635A">
        <w:rPr>
          <w:rFonts w:ascii="Arial" w:eastAsia="Arial" w:hAnsi="Arial" w:cs="Arial"/>
          <w:sz w:val="20"/>
          <w:szCs w:val="20"/>
        </w:rPr>
        <w:t xml:space="preserve"> </w:t>
      </w:r>
    </w:p>
    <w:p w14:paraId="6C330FF3" w14:textId="0F5C2AC9"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Donde</w:t>
      </w:r>
      <w:r w:rsidR="009A635A">
        <w:rPr>
          <w:rFonts w:ascii="Arial" w:eastAsia="Arial" w:hAnsi="Arial" w:cs="Arial"/>
          <w:sz w:val="24"/>
          <w:szCs w:val="24"/>
          <w:lang w:val="es-MX"/>
        </w:rPr>
        <w:t>:</w:t>
      </w:r>
      <w:r w:rsidRPr="40AD52C2">
        <w:rPr>
          <w:rFonts w:ascii="Arial" w:eastAsia="Arial" w:hAnsi="Arial" w:cs="Arial"/>
          <w:sz w:val="24"/>
          <w:szCs w:val="24"/>
          <w:lang w:val="es-MX"/>
        </w:rPr>
        <w:t xml:space="preserve"> </w:t>
      </w:r>
      <w:r w:rsidRPr="40AD52C2">
        <w:rPr>
          <w:rFonts w:ascii="Arial" w:eastAsia="Arial" w:hAnsi="Arial" w:cs="Arial"/>
          <w:sz w:val="24"/>
          <w:szCs w:val="24"/>
        </w:rPr>
        <w:t xml:space="preserve"> </w:t>
      </w:r>
    </w:p>
    <w:p w14:paraId="7DF7D648" w14:textId="77777777" w:rsidR="002849EC" w:rsidRPr="00B67968" w:rsidRDefault="002849EC" w:rsidP="002849EC">
      <w:pPr>
        <w:spacing w:after="160"/>
        <w:jc w:val="both"/>
        <w:rPr>
          <w:rFonts w:ascii="Arial" w:eastAsia="Arial" w:hAnsi="Arial" w:cs="Arial"/>
          <w:sz w:val="24"/>
          <w:szCs w:val="24"/>
          <w:lang w:val="pt-PT"/>
        </w:rPr>
      </w:pPr>
      <w:r w:rsidRPr="00B67968">
        <w:rPr>
          <w:rFonts w:ascii="Arial" w:eastAsia="Arial" w:hAnsi="Arial" w:cs="Arial"/>
          <w:sz w:val="24"/>
          <w:szCs w:val="24"/>
          <w:lang w:val="pt-PT"/>
        </w:rPr>
        <w:t xml:space="preserve">Rango 1 &lt; Rango 2 &lt; Rango 3 &lt; Rango 4 &lt; Rango 5 </w:t>
      </w:r>
    </w:p>
    <w:p w14:paraId="27E495D9"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 xml:space="preserve">Es decir que, un puntaje más alto representa una mayor incidencia de pobreza energética en los hogares. </w:t>
      </w:r>
      <w:r w:rsidRPr="40AD52C2">
        <w:rPr>
          <w:rFonts w:ascii="Arial" w:eastAsia="Arial" w:hAnsi="Arial" w:cs="Arial"/>
          <w:sz w:val="24"/>
          <w:szCs w:val="24"/>
        </w:rPr>
        <w:t xml:space="preserve"> </w:t>
      </w:r>
    </w:p>
    <w:p w14:paraId="7318DD4C" w14:textId="73B8CA25" w:rsidR="002849EC" w:rsidRPr="00252AB4" w:rsidRDefault="002849EC" w:rsidP="00135028">
      <w:pPr>
        <w:tabs>
          <w:tab w:val="left" w:pos="4474"/>
        </w:tabs>
        <w:spacing w:after="0"/>
        <w:jc w:val="both"/>
        <w:rPr>
          <w:rFonts w:ascii="Arial" w:eastAsia="Arial" w:hAnsi="Arial" w:cs="Arial"/>
          <w:b/>
          <w:bCs/>
          <w:sz w:val="24"/>
          <w:szCs w:val="24"/>
        </w:rPr>
      </w:pPr>
      <w:r w:rsidRPr="00252AB4">
        <w:rPr>
          <w:rFonts w:ascii="Arial" w:eastAsia="Arial" w:hAnsi="Arial" w:cs="Arial"/>
          <w:b/>
          <w:bCs/>
          <w:sz w:val="24"/>
          <w:szCs w:val="24"/>
        </w:rPr>
        <w:t xml:space="preserve">Costo Unitario del Servicio de Energía Eléctrica (CU) </w:t>
      </w:r>
    </w:p>
    <w:p w14:paraId="3FEF59BB" w14:textId="77777777" w:rsidR="00252AB4" w:rsidRDefault="00252AB4" w:rsidP="00135028">
      <w:pPr>
        <w:spacing w:after="0"/>
        <w:jc w:val="both"/>
        <w:rPr>
          <w:rFonts w:ascii="Arial" w:eastAsia="Arial" w:hAnsi="Arial" w:cs="Arial"/>
          <w:sz w:val="24"/>
          <w:szCs w:val="24"/>
        </w:rPr>
      </w:pPr>
    </w:p>
    <w:p w14:paraId="230984FF" w14:textId="10CF2479" w:rsidR="00135028" w:rsidRDefault="002849EC" w:rsidP="00135028">
      <w:pPr>
        <w:spacing w:after="0"/>
        <w:jc w:val="both"/>
        <w:rPr>
          <w:rFonts w:ascii="Arial" w:eastAsia="Arial" w:hAnsi="Arial" w:cs="Arial"/>
          <w:sz w:val="24"/>
          <w:szCs w:val="24"/>
          <w:lang w:val="es-MX"/>
        </w:rPr>
      </w:pPr>
      <w:r w:rsidRPr="40AD52C2">
        <w:rPr>
          <w:rFonts w:ascii="Arial" w:eastAsia="Arial" w:hAnsi="Arial" w:cs="Arial"/>
          <w:sz w:val="24"/>
          <w:szCs w:val="24"/>
          <w:lang w:val="es-MX"/>
        </w:rPr>
        <w:t>Valor conformado por la sumatoria de los costos de los componentes de generación, transmisión, distribución, comercialización, pérdidas y restricciones del sistema bajo condiciones reguladas. Su valor se expresa en términos de pesos por kilovatio hora ($/kWh) y se obtiene a partir de los datos comprendidos dentro de un rango de tiempo específico publicados por las empresas prestadoras del servicio público domiciliario de energía eléctrica de acuerdo con la obligación establecida en la Resolución 119 de 2007 y definidos para el proceso de focalización bajo un método de ponderación aritmética. Así, el valor final se encontrará determinado de la siguiente manera:</w:t>
      </w:r>
      <w:r w:rsidR="00135028">
        <w:rPr>
          <w:rFonts w:ascii="Arial" w:eastAsia="Arial" w:hAnsi="Arial" w:cs="Arial"/>
          <w:sz w:val="24"/>
          <w:szCs w:val="24"/>
          <w:lang w:val="es-MX"/>
        </w:rPr>
        <w:t xml:space="preserve"> </w:t>
      </w:r>
    </w:p>
    <w:p w14:paraId="1BEE93CA" w14:textId="034BCE57" w:rsidR="002849EC" w:rsidRDefault="002849EC" w:rsidP="00135028">
      <w:pPr>
        <w:spacing w:after="0"/>
        <w:jc w:val="both"/>
        <w:rPr>
          <w:rFonts w:ascii="Arial" w:eastAsia="Arial" w:hAnsi="Arial" w:cs="Arial"/>
          <w:sz w:val="24"/>
          <w:szCs w:val="24"/>
        </w:rPr>
      </w:pPr>
      <w:r w:rsidRPr="40AD52C2">
        <w:rPr>
          <w:rFonts w:ascii="Arial" w:eastAsia="Arial" w:hAnsi="Arial" w:cs="Arial"/>
          <w:sz w:val="24"/>
          <w:szCs w:val="24"/>
          <w:lang w:val="es-MX"/>
        </w:rPr>
        <w:t xml:space="preserve"> </w:t>
      </w:r>
      <w:r w:rsidRPr="40AD52C2">
        <w:rPr>
          <w:rFonts w:ascii="Arial" w:eastAsia="Arial" w:hAnsi="Arial" w:cs="Arial"/>
          <w:sz w:val="24"/>
          <w:szCs w:val="24"/>
        </w:rPr>
        <w:t xml:space="preserve"> </w:t>
      </w:r>
      <w:r w:rsidR="00135028">
        <w:rPr>
          <w:rFonts w:ascii="Arial" w:eastAsia="Arial" w:hAnsi="Arial" w:cs="Arial"/>
          <w:sz w:val="24"/>
          <w:szCs w:val="24"/>
        </w:rPr>
        <w:t xml:space="preserve">  </w:t>
      </w:r>
    </w:p>
    <w:tbl>
      <w:tblPr>
        <w:tblW w:w="0" w:type="auto"/>
        <w:tblInd w:w="-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75"/>
        <w:gridCol w:w="1275"/>
        <w:gridCol w:w="1275"/>
        <w:gridCol w:w="1275"/>
        <w:gridCol w:w="1275"/>
        <w:gridCol w:w="1275"/>
        <w:gridCol w:w="1275"/>
      </w:tblGrid>
      <w:tr w:rsidR="002849EC" w14:paraId="19248494" w14:textId="77777777" w:rsidTr="00135028">
        <w:trPr>
          <w:trHeight w:val="285"/>
        </w:trPr>
        <w:tc>
          <w:tcPr>
            <w:tcW w:w="8925" w:type="dxa"/>
            <w:gridSpan w:val="7"/>
            <w:tcBorders>
              <w:top w:val="single" w:sz="4" w:space="0" w:color="auto"/>
              <w:left w:val="single" w:sz="4" w:space="0" w:color="auto"/>
              <w:bottom w:val="single" w:sz="4" w:space="0" w:color="auto"/>
              <w:right w:val="single" w:sz="4" w:space="0" w:color="auto"/>
            </w:tcBorders>
            <w:vAlign w:val="center"/>
          </w:tcPr>
          <w:p w14:paraId="2AA8648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PROMEDIO COSTO UNITARIO</w:t>
            </w:r>
            <w:r w:rsidRPr="40AD52C2">
              <w:rPr>
                <w:rFonts w:ascii="Arial" w:eastAsia="Arial" w:hAnsi="Arial" w:cs="Arial"/>
                <w:color w:val="000000" w:themeColor="text1"/>
                <w:sz w:val="24"/>
                <w:szCs w:val="24"/>
              </w:rPr>
              <w:t xml:space="preserve"> </w:t>
            </w:r>
          </w:p>
        </w:tc>
      </w:tr>
      <w:tr w:rsidR="002849EC" w14:paraId="29EF4893" w14:textId="77777777" w:rsidTr="00135028">
        <w:trPr>
          <w:trHeight w:val="285"/>
        </w:trPr>
        <w:tc>
          <w:tcPr>
            <w:tcW w:w="1275" w:type="dxa"/>
            <w:tcBorders>
              <w:top w:val="single" w:sz="4" w:space="0" w:color="auto"/>
              <w:left w:val="single" w:sz="4" w:space="0" w:color="auto"/>
              <w:bottom w:val="single" w:sz="4" w:space="0" w:color="auto"/>
              <w:right w:val="single" w:sz="4" w:space="0" w:color="auto"/>
            </w:tcBorders>
            <w:vAlign w:val="center"/>
          </w:tcPr>
          <w:p w14:paraId="28FEE1D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GM</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c>
          <w:tcPr>
            <w:tcW w:w="1275" w:type="dxa"/>
            <w:tcBorders>
              <w:top w:val="nil"/>
              <w:left w:val="single" w:sz="4" w:space="0" w:color="auto"/>
              <w:bottom w:val="single" w:sz="4" w:space="0" w:color="auto"/>
              <w:right w:val="single" w:sz="4" w:space="0" w:color="auto"/>
            </w:tcBorders>
            <w:vAlign w:val="center"/>
          </w:tcPr>
          <w:p w14:paraId="552A677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TM</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c>
          <w:tcPr>
            <w:tcW w:w="1275" w:type="dxa"/>
            <w:tcBorders>
              <w:top w:val="nil"/>
              <w:left w:val="single" w:sz="4" w:space="0" w:color="auto"/>
              <w:bottom w:val="single" w:sz="4" w:space="0" w:color="auto"/>
              <w:right w:val="single" w:sz="4" w:space="0" w:color="auto"/>
            </w:tcBorders>
            <w:vAlign w:val="center"/>
          </w:tcPr>
          <w:p w14:paraId="56D03E2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PR</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c>
          <w:tcPr>
            <w:tcW w:w="1275" w:type="dxa"/>
            <w:tcBorders>
              <w:top w:val="nil"/>
              <w:left w:val="single" w:sz="4" w:space="0" w:color="auto"/>
              <w:bottom w:val="single" w:sz="4" w:space="0" w:color="auto"/>
              <w:right w:val="single" w:sz="4" w:space="0" w:color="auto"/>
            </w:tcBorders>
            <w:vAlign w:val="center"/>
          </w:tcPr>
          <w:p w14:paraId="0DEE77E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c>
          <w:tcPr>
            <w:tcW w:w="1275" w:type="dxa"/>
            <w:tcBorders>
              <w:top w:val="nil"/>
              <w:left w:val="single" w:sz="4" w:space="0" w:color="auto"/>
              <w:bottom w:val="single" w:sz="4" w:space="0" w:color="auto"/>
              <w:right w:val="single" w:sz="4" w:space="0" w:color="auto"/>
            </w:tcBorders>
            <w:vAlign w:val="center"/>
          </w:tcPr>
          <w:p w14:paraId="1079AE4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CV</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c>
          <w:tcPr>
            <w:tcW w:w="1275" w:type="dxa"/>
            <w:tcBorders>
              <w:top w:val="nil"/>
              <w:left w:val="single" w:sz="4" w:space="0" w:color="auto"/>
              <w:bottom w:val="single" w:sz="4" w:space="0" w:color="auto"/>
              <w:right w:val="single" w:sz="4" w:space="0" w:color="auto"/>
            </w:tcBorders>
            <w:vAlign w:val="center"/>
          </w:tcPr>
          <w:p w14:paraId="2720CFB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RM</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c>
          <w:tcPr>
            <w:tcW w:w="1275" w:type="dxa"/>
            <w:tcBorders>
              <w:top w:val="nil"/>
              <w:left w:val="single" w:sz="4" w:space="0" w:color="auto"/>
              <w:bottom w:val="single" w:sz="4" w:space="0" w:color="auto"/>
              <w:right w:val="single" w:sz="4" w:space="0" w:color="auto"/>
            </w:tcBorders>
            <w:vAlign w:val="center"/>
          </w:tcPr>
          <w:p w14:paraId="30CC554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CU</w:t>
            </w:r>
            <w:r w:rsidRPr="40AD52C2">
              <w:rPr>
                <w:rFonts w:ascii="Arial" w:eastAsia="Arial" w:hAnsi="Arial" w:cs="Arial"/>
                <w:color w:val="000000" w:themeColor="text1"/>
                <w:sz w:val="24"/>
                <w:szCs w:val="24"/>
                <w:vertAlign w:val="subscript"/>
                <w:lang w:val="es-MX"/>
              </w:rPr>
              <w:t>mes1</w:t>
            </w:r>
            <w:r w:rsidRPr="40AD52C2">
              <w:rPr>
                <w:rFonts w:ascii="Arial" w:eastAsia="Arial" w:hAnsi="Arial" w:cs="Arial"/>
                <w:color w:val="000000" w:themeColor="text1"/>
                <w:sz w:val="24"/>
                <w:szCs w:val="24"/>
              </w:rPr>
              <w:t xml:space="preserve"> </w:t>
            </w:r>
          </w:p>
        </w:tc>
      </w:tr>
      <w:tr w:rsidR="002849EC" w14:paraId="7E5AA3EE" w14:textId="77777777" w:rsidTr="00135028">
        <w:trPr>
          <w:trHeight w:val="360"/>
        </w:trPr>
        <w:tc>
          <w:tcPr>
            <w:tcW w:w="1275" w:type="dxa"/>
            <w:tcBorders>
              <w:top w:val="single" w:sz="4" w:space="0" w:color="auto"/>
              <w:left w:val="single" w:sz="4" w:space="0" w:color="auto"/>
              <w:bottom w:val="single" w:sz="4" w:space="0" w:color="auto"/>
              <w:right w:val="single" w:sz="4" w:space="0" w:color="auto"/>
            </w:tcBorders>
            <w:vAlign w:val="center"/>
          </w:tcPr>
          <w:p w14:paraId="5BBFFE7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GM</w:t>
            </w:r>
            <w:r w:rsidRPr="40AD52C2">
              <w:rPr>
                <w:rFonts w:ascii="Arial" w:eastAsia="Arial" w:hAnsi="Arial" w:cs="Arial"/>
                <w:color w:val="000000" w:themeColor="text1"/>
                <w:sz w:val="24"/>
                <w:szCs w:val="24"/>
                <w:vertAlign w:val="subscript"/>
                <w:lang w:val="es-MX"/>
              </w:rPr>
              <w:t>mes2</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6F9173D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TM</w:t>
            </w:r>
            <w:r w:rsidRPr="40AD52C2">
              <w:rPr>
                <w:rFonts w:ascii="Arial" w:eastAsia="Arial" w:hAnsi="Arial" w:cs="Arial"/>
                <w:color w:val="000000" w:themeColor="text1"/>
                <w:sz w:val="24"/>
                <w:szCs w:val="24"/>
                <w:vertAlign w:val="subscript"/>
                <w:lang w:val="es-MX"/>
              </w:rPr>
              <w:t>mes2</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A15044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PR</w:t>
            </w:r>
            <w:r w:rsidRPr="40AD52C2">
              <w:rPr>
                <w:rFonts w:ascii="Arial" w:eastAsia="Arial" w:hAnsi="Arial" w:cs="Arial"/>
                <w:color w:val="000000" w:themeColor="text1"/>
                <w:sz w:val="24"/>
                <w:szCs w:val="24"/>
                <w:vertAlign w:val="subscript"/>
                <w:lang w:val="es-MX"/>
              </w:rPr>
              <w:t>mes3</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5352BCB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w:t>
            </w:r>
            <w:r w:rsidRPr="40AD52C2">
              <w:rPr>
                <w:rFonts w:ascii="Arial" w:eastAsia="Arial" w:hAnsi="Arial" w:cs="Arial"/>
                <w:color w:val="000000" w:themeColor="text1"/>
                <w:sz w:val="24"/>
                <w:szCs w:val="24"/>
                <w:vertAlign w:val="subscript"/>
                <w:lang w:val="es-MX"/>
              </w:rPr>
              <w:t>mes4</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281D870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CV</w:t>
            </w:r>
            <w:r w:rsidRPr="40AD52C2">
              <w:rPr>
                <w:rFonts w:ascii="Arial" w:eastAsia="Arial" w:hAnsi="Arial" w:cs="Arial"/>
                <w:color w:val="000000" w:themeColor="text1"/>
                <w:sz w:val="24"/>
                <w:szCs w:val="24"/>
                <w:vertAlign w:val="subscript"/>
                <w:lang w:val="es-MX"/>
              </w:rPr>
              <w:t>mes5</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FD2D2C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RM</w:t>
            </w:r>
            <w:r w:rsidRPr="40AD52C2">
              <w:rPr>
                <w:rFonts w:ascii="Arial" w:eastAsia="Arial" w:hAnsi="Arial" w:cs="Arial"/>
                <w:color w:val="000000" w:themeColor="text1"/>
                <w:sz w:val="24"/>
                <w:szCs w:val="24"/>
                <w:vertAlign w:val="subscript"/>
                <w:lang w:val="es-MX"/>
              </w:rPr>
              <w:t>mes6</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25EC894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CU</w:t>
            </w:r>
            <w:r w:rsidRPr="40AD52C2">
              <w:rPr>
                <w:rFonts w:ascii="Arial" w:eastAsia="Arial" w:hAnsi="Arial" w:cs="Arial"/>
                <w:color w:val="000000" w:themeColor="text1"/>
                <w:sz w:val="24"/>
                <w:szCs w:val="24"/>
                <w:vertAlign w:val="subscript"/>
                <w:lang w:val="es-MX"/>
              </w:rPr>
              <w:t>mes7</w:t>
            </w:r>
            <w:r w:rsidRPr="40AD52C2">
              <w:rPr>
                <w:rFonts w:ascii="Arial" w:eastAsia="Arial" w:hAnsi="Arial" w:cs="Arial"/>
                <w:color w:val="000000" w:themeColor="text1"/>
                <w:sz w:val="24"/>
                <w:szCs w:val="24"/>
              </w:rPr>
              <w:t xml:space="preserve"> </w:t>
            </w:r>
          </w:p>
        </w:tc>
      </w:tr>
      <w:tr w:rsidR="002849EC" w14:paraId="48F91291" w14:textId="77777777" w:rsidTr="00135028">
        <w:trPr>
          <w:trHeight w:val="360"/>
        </w:trPr>
        <w:tc>
          <w:tcPr>
            <w:tcW w:w="1275" w:type="dxa"/>
            <w:tcBorders>
              <w:top w:val="single" w:sz="4" w:space="0" w:color="auto"/>
              <w:left w:val="single" w:sz="4" w:space="0" w:color="auto"/>
              <w:bottom w:val="single" w:sz="4" w:space="0" w:color="auto"/>
              <w:right w:val="single" w:sz="4" w:space="0" w:color="auto"/>
            </w:tcBorders>
            <w:vAlign w:val="center"/>
          </w:tcPr>
          <w:p w14:paraId="764FE46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GM</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1FB63A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TM</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542A8B6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PR</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F31EB5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91F5AE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CV</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2EF1D2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RM</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2A3EDEE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CU</w:t>
            </w:r>
            <w:r w:rsidRPr="40AD52C2">
              <w:rPr>
                <w:rFonts w:ascii="Arial" w:eastAsia="Arial" w:hAnsi="Arial" w:cs="Arial"/>
                <w:color w:val="000000" w:themeColor="text1"/>
                <w:sz w:val="24"/>
                <w:szCs w:val="24"/>
                <w:vertAlign w:val="subscript"/>
                <w:lang w:val="es-MX"/>
              </w:rPr>
              <w:t>mes n</w:t>
            </w:r>
            <w:r w:rsidRPr="40AD52C2">
              <w:rPr>
                <w:rFonts w:ascii="Arial" w:eastAsia="Arial" w:hAnsi="Arial" w:cs="Arial"/>
                <w:color w:val="000000" w:themeColor="text1"/>
                <w:sz w:val="24"/>
                <w:szCs w:val="24"/>
              </w:rPr>
              <w:t xml:space="preserve"> </w:t>
            </w:r>
          </w:p>
        </w:tc>
      </w:tr>
      <w:tr w:rsidR="002849EC" w14:paraId="58A887C4" w14:textId="77777777" w:rsidTr="00135028">
        <w:trPr>
          <w:trHeight w:val="285"/>
        </w:trPr>
        <w:tc>
          <w:tcPr>
            <w:tcW w:w="1275" w:type="dxa"/>
            <w:tcBorders>
              <w:top w:val="single" w:sz="4" w:space="0" w:color="auto"/>
              <w:left w:val="single" w:sz="4" w:space="0" w:color="auto"/>
              <w:bottom w:val="single" w:sz="4" w:space="0" w:color="auto"/>
              <w:right w:val="single" w:sz="4" w:space="0" w:color="auto"/>
            </w:tcBorders>
            <w:vAlign w:val="center"/>
          </w:tcPr>
          <w:p w14:paraId="164A115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GM</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287966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TM</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16A129C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PR</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FCBD07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90A438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CV</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69CD25A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RM</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E2B27F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CU</w:t>
            </w:r>
            <w:r w:rsidRPr="40AD52C2">
              <w:rPr>
                <w:rFonts w:ascii="Arial" w:eastAsia="Arial" w:hAnsi="Arial" w:cs="Arial"/>
                <w:color w:val="000000" w:themeColor="text1"/>
                <w:sz w:val="24"/>
                <w:szCs w:val="24"/>
                <w:vertAlign w:val="subscript"/>
                <w:lang w:val="es-MX"/>
              </w:rPr>
              <w:t>Promed</w:t>
            </w:r>
            <w:r w:rsidRPr="40AD52C2">
              <w:rPr>
                <w:rFonts w:ascii="Arial" w:eastAsia="Arial" w:hAnsi="Arial" w:cs="Arial"/>
                <w:color w:val="000000" w:themeColor="text1"/>
                <w:sz w:val="24"/>
                <w:szCs w:val="24"/>
              </w:rPr>
              <w:t xml:space="preserve"> </w:t>
            </w:r>
          </w:p>
        </w:tc>
      </w:tr>
    </w:tbl>
    <w:p w14:paraId="546D5905" w14:textId="77777777" w:rsidR="002849EC" w:rsidRPr="00166D96" w:rsidRDefault="002849EC" w:rsidP="006F1069">
      <w:pPr>
        <w:spacing w:after="0"/>
        <w:jc w:val="both"/>
        <w:rPr>
          <w:rFonts w:ascii="Arial" w:eastAsia="Arial" w:hAnsi="Arial" w:cs="Arial"/>
          <w:sz w:val="20"/>
          <w:szCs w:val="20"/>
        </w:rPr>
      </w:pPr>
      <w:r w:rsidRPr="00166D96">
        <w:rPr>
          <w:rFonts w:ascii="Arial" w:eastAsia="Arial" w:hAnsi="Arial" w:cs="Arial"/>
          <w:sz w:val="20"/>
          <w:szCs w:val="20"/>
          <w:lang w:val="es-MX"/>
        </w:rPr>
        <w:t>Fuente: Elaboración Propia – MME.</w:t>
      </w:r>
      <w:r w:rsidRPr="00166D96">
        <w:rPr>
          <w:rFonts w:ascii="Arial" w:eastAsia="Arial" w:hAnsi="Arial" w:cs="Arial"/>
          <w:sz w:val="20"/>
          <w:szCs w:val="20"/>
        </w:rPr>
        <w:t xml:space="preserve"> </w:t>
      </w:r>
    </w:p>
    <w:p w14:paraId="299EE2D8" w14:textId="77777777" w:rsidR="006F1069" w:rsidRDefault="006F1069" w:rsidP="006F1069">
      <w:pPr>
        <w:spacing w:after="0"/>
        <w:jc w:val="both"/>
        <w:rPr>
          <w:rFonts w:ascii="Arial" w:eastAsia="Arial" w:hAnsi="Arial" w:cs="Arial"/>
          <w:sz w:val="24"/>
          <w:szCs w:val="24"/>
          <w:lang w:val="es-MX"/>
        </w:rPr>
      </w:pPr>
    </w:p>
    <w:p w14:paraId="6313E9E5" w14:textId="39B9D7F7" w:rsidR="002849EC" w:rsidRDefault="002849EC" w:rsidP="006F1069">
      <w:pPr>
        <w:spacing w:after="0"/>
        <w:jc w:val="both"/>
        <w:rPr>
          <w:rFonts w:ascii="Arial" w:eastAsia="Arial" w:hAnsi="Arial" w:cs="Arial"/>
          <w:sz w:val="24"/>
          <w:szCs w:val="24"/>
        </w:rPr>
      </w:pPr>
      <w:r w:rsidRPr="40AD52C2">
        <w:rPr>
          <w:rFonts w:ascii="Arial" w:eastAsia="Arial" w:hAnsi="Arial" w:cs="Arial"/>
          <w:sz w:val="24"/>
          <w:szCs w:val="24"/>
          <w:lang w:val="es-MX"/>
        </w:rPr>
        <w:t>Donde</w:t>
      </w:r>
      <w:r w:rsidR="00166D96">
        <w:rPr>
          <w:rFonts w:ascii="Arial" w:eastAsia="Arial" w:hAnsi="Arial" w:cs="Arial"/>
          <w:sz w:val="24"/>
          <w:szCs w:val="24"/>
          <w:lang w:val="es-MX"/>
        </w:rPr>
        <w:t>:</w:t>
      </w:r>
      <w:r w:rsidRPr="40AD52C2">
        <w:rPr>
          <w:rFonts w:ascii="Arial" w:eastAsia="Arial" w:hAnsi="Arial" w:cs="Arial"/>
          <w:sz w:val="24"/>
          <w:szCs w:val="24"/>
        </w:rPr>
        <w:t xml:space="preserve"> </w:t>
      </w:r>
    </w:p>
    <w:p w14:paraId="1C659CEF" w14:textId="77777777" w:rsidR="006F1069" w:rsidRDefault="006F1069" w:rsidP="006F1069">
      <w:pPr>
        <w:spacing w:after="0"/>
        <w:jc w:val="both"/>
        <w:rPr>
          <w:rFonts w:ascii="Arial" w:eastAsia="Arial" w:hAnsi="Arial" w:cs="Arial"/>
          <w:sz w:val="24"/>
          <w:szCs w:val="24"/>
        </w:rPr>
      </w:pPr>
    </w:p>
    <w:p w14:paraId="0E00E098"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GM</w:t>
      </w:r>
      <w:r w:rsidRPr="40AD52C2">
        <w:rPr>
          <w:rFonts w:ascii="Arial" w:eastAsia="Arial" w:hAnsi="Arial" w:cs="Arial"/>
          <w:sz w:val="24"/>
          <w:szCs w:val="24"/>
          <w:vertAlign w:val="subscript"/>
          <w:lang w:val="es-MX"/>
        </w:rPr>
        <w:t xml:space="preserve">promed </w:t>
      </w:r>
      <w:r w:rsidRPr="40AD52C2">
        <w:rPr>
          <w:rFonts w:ascii="Arial" w:eastAsia="Arial" w:hAnsi="Arial" w:cs="Arial"/>
          <w:sz w:val="24"/>
          <w:szCs w:val="24"/>
          <w:lang w:val="es-MX"/>
        </w:rPr>
        <w:t>= (GM</w:t>
      </w:r>
      <w:r w:rsidRPr="40AD52C2">
        <w:rPr>
          <w:rFonts w:ascii="Arial" w:eastAsia="Arial" w:hAnsi="Arial" w:cs="Arial"/>
          <w:sz w:val="24"/>
          <w:szCs w:val="24"/>
          <w:vertAlign w:val="subscript"/>
          <w:lang w:val="es-MX"/>
        </w:rPr>
        <w:t xml:space="preserve">mes1 </w:t>
      </w:r>
      <w:r w:rsidRPr="40AD52C2">
        <w:rPr>
          <w:rFonts w:ascii="Arial" w:eastAsia="Arial" w:hAnsi="Arial" w:cs="Arial"/>
          <w:sz w:val="24"/>
          <w:szCs w:val="24"/>
          <w:lang w:val="es-MX"/>
        </w:rPr>
        <w:t>+GM</w:t>
      </w:r>
      <w:r w:rsidRPr="40AD52C2">
        <w:rPr>
          <w:rFonts w:ascii="Arial" w:eastAsia="Arial" w:hAnsi="Arial" w:cs="Arial"/>
          <w:sz w:val="24"/>
          <w:szCs w:val="24"/>
          <w:vertAlign w:val="subscript"/>
          <w:lang w:val="es-MX"/>
        </w:rPr>
        <w:t>mes2</w:t>
      </w:r>
      <w:r w:rsidRPr="40AD52C2">
        <w:rPr>
          <w:rFonts w:ascii="Arial" w:eastAsia="Arial" w:hAnsi="Arial" w:cs="Arial"/>
          <w:sz w:val="24"/>
          <w:szCs w:val="24"/>
          <w:lang w:val="es-MX"/>
        </w:rPr>
        <w:t xml:space="preserve"> +...+GM</w:t>
      </w:r>
      <w:r w:rsidRPr="40AD52C2">
        <w:rPr>
          <w:rFonts w:ascii="Arial" w:eastAsia="Arial" w:hAnsi="Arial" w:cs="Arial"/>
          <w:sz w:val="24"/>
          <w:szCs w:val="24"/>
          <w:vertAlign w:val="subscript"/>
          <w:lang w:val="es-MX"/>
        </w:rPr>
        <w:t xml:space="preserve">mesn </w:t>
      </w:r>
      <w:r w:rsidRPr="40AD52C2">
        <w:rPr>
          <w:rFonts w:ascii="Arial" w:eastAsia="Arial" w:hAnsi="Arial" w:cs="Arial"/>
          <w:sz w:val="24"/>
          <w:szCs w:val="24"/>
          <w:lang w:val="es-MX"/>
        </w:rPr>
        <w:t xml:space="preserve">)/n = </w:t>
      </w:r>
      <w:r w:rsidRPr="40AD52C2">
        <w:rPr>
          <w:rFonts w:ascii="Arial" w:eastAsia="Arial" w:hAnsi="Arial" w:cs="Arial"/>
          <w:sz w:val="24"/>
          <w:szCs w:val="24"/>
          <w:lang w:val="es"/>
        </w:rPr>
        <w:t>Promedio Costo</w:t>
      </w:r>
      <w:r w:rsidRPr="40AD52C2">
        <w:rPr>
          <w:rFonts w:ascii="Arial" w:eastAsia="Arial" w:hAnsi="Arial" w:cs="Arial"/>
          <w:sz w:val="24"/>
          <w:szCs w:val="24"/>
          <w:lang w:val="es-MX"/>
        </w:rPr>
        <w:t xml:space="preserve"> Generación</w:t>
      </w:r>
      <w:r w:rsidRPr="40AD52C2">
        <w:rPr>
          <w:rFonts w:ascii="Arial" w:eastAsia="Arial" w:hAnsi="Arial" w:cs="Arial"/>
          <w:sz w:val="24"/>
          <w:szCs w:val="24"/>
        </w:rPr>
        <w:t xml:space="preserve"> </w:t>
      </w:r>
    </w:p>
    <w:p w14:paraId="52B4EF00"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lastRenderedPageBreak/>
        <w:t>TM</w:t>
      </w:r>
      <w:r w:rsidRPr="40AD52C2">
        <w:rPr>
          <w:rFonts w:ascii="Arial" w:eastAsia="Arial" w:hAnsi="Arial" w:cs="Arial"/>
          <w:sz w:val="24"/>
          <w:szCs w:val="24"/>
          <w:vertAlign w:val="subscript"/>
          <w:lang w:val="es-MX"/>
        </w:rPr>
        <w:t xml:space="preserve">promed </w:t>
      </w:r>
      <w:r w:rsidRPr="40AD52C2">
        <w:rPr>
          <w:rFonts w:ascii="Arial" w:eastAsia="Arial" w:hAnsi="Arial" w:cs="Arial"/>
          <w:sz w:val="24"/>
          <w:szCs w:val="24"/>
          <w:lang w:val="es-MX"/>
        </w:rPr>
        <w:t>= (TM</w:t>
      </w:r>
      <w:r w:rsidRPr="40AD52C2">
        <w:rPr>
          <w:rFonts w:ascii="Arial" w:eastAsia="Arial" w:hAnsi="Arial" w:cs="Arial"/>
          <w:sz w:val="24"/>
          <w:szCs w:val="24"/>
          <w:vertAlign w:val="subscript"/>
          <w:lang w:val="es-MX"/>
        </w:rPr>
        <w:t xml:space="preserve">mes1 </w:t>
      </w:r>
      <w:r w:rsidRPr="40AD52C2">
        <w:rPr>
          <w:rFonts w:ascii="Arial" w:eastAsia="Arial" w:hAnsi="Arial" w:cs="Arial"/>
          <w:sz w:val="24"/>
          <w:szCs w:val="24"/>
          <w:lang w:val="es-MX"/>
        </w:rPr>
        <w:t>+TM</w:t>
      </w:r>
      <w:r w:rsidRPr="40AD52C2">
        <w:rPr>
          <w:rFonts w:ascii="Arial" w:eastAsia="Arial" w:hAnsi="Arial" w:cs="Arial"/>
          <w:sz w:val="24"/>
          <w:szCs w:val="24"/>
          <w:vertAlign w:val="subscript"/>
          <w:lang w:val="es-MX"/>
        </w:rPr>
        <w:t>mes2</w:t>
      </w:r>
      <w:r w:rsidRPr="40AD52C2">
        <w:rPr>
          <w:rFonts w:ascii="Arial" w:eastAsia="Arial" w:hAnsi="Arial" w:cs="Arial"/>
          <w:sz w:val="24"/>
          <w:szCs w:val="24"/>
          <w:lang w:val="es-MX"/>
        </w:rPr>
        <w:t xml:space="preserve"> +...+TM</w:t>
      </w:r>
      <w:r w:rsidRPr="40AD52C2">
        <w:rPr>
          <w:rFonts w:ascii="Arial" w:eastAsia="Arial" w:hAnsi="Arial" w:cs="Arial"/>
          <w:sz w:val="24"/>
          <w:szCs w:val="24"/>
          <w:vertAlign w:val="subscript"/>
          <w:lang w:val="es-MX"/>
        </w:rPr>
        <w:t xml:space="preserve">mesn </w:t>
      </w:r>
      <w:r w:rsidRPr="40AD52C2">
        <w:rPr>
          <w:rFonts w:ascii="Arial" w:eastAsia="Arial" w:hAnsi="Arial" w:cs="Arial"/>
          <w:sz w:val="24"/>
          <w:szCs w:val="24"/>
          <w:lang w:val="es-MX"/>
        </w:rPr>
        <w:t xml:space="preserve">)/n = </w:t>
      </w:r>
      <w:r w:rsidRPr="40AD52C2">
        <w:rPr>
          <w:rFonts w:ascii="Arial" w:eastAsia="Arial" w:hAnsi="Arial" w:cs="Arial"/>
          <w:sz w:val="24"/>
          <w:szCs w:val="24"/>
          <w:lang w:val="es"/>
        </w:rPr>
        <w:t>Promedio Costo</w:t>
      </w:r>
      <w:r w:rsidRPr="40AD52C2">
        <w:rPr>
          <w:rFonts w:ascii="Arial" w:eastAsia="Arial" w:hAnsi="Arial" w:cs="Arial"/>
          <w:sz w:val="24"/>
          <w:szCs w:val="24"/>
          <w:lang w:val="es-MX"/>
        </w:rPr>
        <w:t xml:space="preserve"> Transmisión</w:t>
      </w:r>
      <w:r w:rsidRPr="40AD52C2">
        <w:rPr>
          <w:rFonts w:ascii="Arial" w:eastAsia="Arial" w:hAnsi="Arial" w:cs="Arial"/>
          <w:sz w:val="24"/>
          <w:szCs w:val="24"/>
        </w:rPr>
        <w:t xml:space="preserve"> </w:t>
      </w:r>
    </w:p>
    <w:p w14:paraId="0241AD4B"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PR</w:t>
      </w:r>
      <w:r w:rsidRPr="40AD52C2">
        <w:rPr>
          <w:rFonts w:ascii="Arial" w:eastAsia="Arial" w:hAnsi="Arial" w:cs="Arial"/>
          <w:sz w:val="24"/>
          <w:szCs w:val="24"/>
          <w:vertAlign w:val="subscript"/>
          <w:lang w:val="es-MX"/>
        </w:rPr>
        <w:t xml:space="preserve">promed </w:t>
      </w:r>
      <w:r w:rsidRPr="40AD52C2">
        <w:rPr>
          <w:rFonts w:ascii="Arial" w:eastAsia="Arial" w:hAnsi="Arial" w:cs="Arial"/>
          <w:sz w:val="24"/>
          <w:szCs w:val="24"/>
          <w:lang w:val="es-MX"/>
        </w:rPr>
        <w:t>=  (PR</w:t>
      </w:r>
      <w:r w:rsidRPr="40AD52C2">
        <w:rPr>
          <w:rFonts w:ascii="Arial" w:eastAsia="Arial" w:hAnsi="Arial" w:cs="Arial"/>
          <w:sz w:val="24"/>
          <w:szCs w:val="24"/>
          <w:vertAlign w:val="subscript"/>
          <w:lang w:val="es-MX"/>
        </w:rPr>
        <w:t xml:space="preserve">mes1 </w:t>
      </w:r>
      <w:r w:rsidRPr="40AD52C2">
        <w:rPr>
          <w:rFonts w:ascii="Arial" w:eastAsia="Arial" w:hAnsi="Arial" w:cs="Arial"/>
          <w:sz w:val="24"/>
          <w:szCs w:val="24"/>
          <w:lang w:val="es-MX"/>
        </w:rPr>
        <w:t>+PR</w:t>
      </w:r>
      <w:r w:rsidRPr="40AD52C2">
        <w:rPr>
          <w:rFonts w:ascii="Arial" w:eastAsia="Arial" w:hAnsi="Arial" w:cs="Arial"/>
          <w:sz w:val="24"/>
          <w:szCs w:val="24"/>
          <w:vertAlign w:val="subscript"/>
          <w:lang w:val="es-MX"/>
        </w:rPr>
        <w:t>mes2</w:t>
      </w:r>
      <w:r w:rsidRPr="40AD52C2">
        <w:rPr>
          <w:rFonts w:ascii="Arial" w:eastAsia="Arial" w:hAnsi="Arial" w:cs="Arial"/>
          <w:sz w:val="24"/>
          <w:szCs w:val="24"/>
          <w:lang w:val="es-MX"/>
        </w:rPr>
        <w:t xml:space="preserve"> +...+PR</w:t>
      </w:r>
      <w:r w:rsidRPr="40AD52C2">
        <w:rPr>
          <w:rFonts w:ascii="Arial" w:eastAsia="Arial" w:hAnsi="Arial" w:cs="Arial"/>
          <w:sz w:val="24"/>
          <w:szCs w:val="24"/>
          <w:vertAlign w:val="subscript"/>
          <w:lang w:val="es-MX"/>
        </w:rPr>
        <w:t xml:space="preserve">mesn </w:t>
      </w:r>
      <w:r w:rsidRPr="40AD52C2">
        <w:rPr>
          <w:rFonts w:ascii="Arial" w:eastAsia="Arial" w:hAnsi="Arial" w:cs="Arial"/>
          <w:sz w:val="24"/>
          <w:szCs w:val="24"/>
          <w:lang w:val="es-MX"/>
        </w:rPr>
        <w:t xml:space="preserve">)/n = </w:t>
      </w:r>
      <w:r w:rsidRPr="40AD52C2">
        <w:rPr>
          <w:rFonts w:ascii="Arial" w:eastAsia="Arial" w:hAnsi="Arial" w:cs="Arial"/>
          <w:sz w:val="24"/>
          <w:szCs w:val="24"/>
          <w:lang w:val="es"/>
        </w:rPr>
        <w:t>Promedio Costo</w:t>
      </w:r>
      <w:r w:rsidRPr="40AD52C2">
        <w:rPr>
          <w:rFonts w:ascii="Arial" w:eastAsia="Arial" w:hAnsi="Arial" w:cs="Arial"/>
          <w:sz w:val="24"/>
          <w:szCs w:val="24"/>
          <w:lang w:val="es-MX"/>
        </w:rPr>
        <w:t xml:space="preserve"> Pérdidas</w:t>
      </w:r>
      <w:r w:rsidRPr="40AD52C2">
        <w:rPr>
          <w:rFonts w:ascii="Arial" w:eastAsia="Arial" w:hAnsi="Arial" w:cs="Arial"/>
          <w:sz w:val="24"/>
          <w:szCs w:val="24"/>
        </w:rPr>
        <w:t xml:space="preserve"> </w:t>
      </w:r>
    </w:p>
    <w:p w14:paraId="2CA1C501"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D</w:t>
      </w:r>
      <w:r w:rsidRPr="40AD52C2">
        <w:rPr>
          <w:rFonts w:ascii="Arial" w:eastAsia="Arial" w:hAnsi="Arial" w:cs="Arial"/>
          <w:sz w:val="24"/>
          <w:szCs w:val="24"/>
          <w:vertAlign w:val="subscript"/>
          <w:lang w:val="es-MX"/>
        </w:rPr>
        <w:t xml:space="preserve">promed </w:t>
      </w:r>
      <w:r w:rsidRPr="40AD52C2">
        <w:rPr>
          <w:rFonts w:ascii="Arial" w:eastAsia="Arial" w:hAnsi="Arial" w:cs="Arial"/>
          <w:sz w:val="24"/>
          <w:szCs w:val="24"/>
          <w:lang w:val="es-MX"/>
        </w:rPr>
        <w:t>=  (D</w:t>
      </w:r>
      <w:r w:rsidRPr="40AD52C2">
        <w:rPr>
          <w:rFonts w:ascii="Arial" w:eastAsia="Arial" w:hAnsi="Arial" w:cs="Arial"/>
          <w:sz w:val="24"/>
          <w:szCs w:val="24"/>
          <w:vertAlign w:val="subscript"/>
          <w:lang w:val="es-MX"/>
        </w:rPr>
        <w:t xml:space="preserve">mes1 </w:t>
      </w:r>
      <w:r w:rsidRPr="40AD52C2">
        <w:rPr>
          <w:rFonts w:ascii="Arial" w:eastAsia="Arial" w:hAnsi="Arial" w:cs="Arial"/>
          <w:sz w:val="24"/>
          <w:szCs w:val="24"/>
          <w:lang w:val="es-MX"/>
        </w:rPr>
        <w:t>+D</w:t>
      </w:r>
      <w:r w:rsidRPr="40AD52C2">
        <w:rPr>
          <w:rFonts w:ascii="Arial" w:eastAsia="Arial" w:hAnsi="Arial" w:cs="Arial"/>
          <w:sz w:val="24"/>
          <w:szCs w:val="24"/>
          <w:vertAlign w:val="subscript"/>
          <w:lang w:val="es-MX"/>
        </w:rPr>
        <w:t>mes2</w:t>
      </w:r>
      <w:r w:rsidRPr="40AD52C2">
        <w:rPr>
          <w:rFonts w:ascii="Arial" w:eastAsia="Arial" w:hAnsi="Arial" w:cs="Arial"/>
          <w:sz w:val="24"/>
          <w:szCs w:val="24"/>
          <w:lang w:val="es-MX"/>
        </w:rPr>
        <w:t xml:space="preserve"> +...+D</w:t>
      </w:r>
      <w:r w:rsidRPr="40AD52C2">
        <w:rPr>
          <w:rFonts w:ascii="Arial" w:eastAsia="Arial" w:hAnsi="Arial" w:cs="Arial"/>
          <w:sz w:val="24"/>
          <w:szCs w:val="24"/>
          <w:vertAlign w:val="subscript"/>
          <w:lang w:val="es-MX"/>
        </w:rPr>
        <w:t xml:space="preserve">mesn </w:t>
      </w:r>
      <w:r w:rsidRPr="40AD52C2">
        <w:rPr>
          <w:rFonts w:ascii="Arial" w:eastAsia="Arial" w:hAnsi="Arial" w:cs="Arial"/>
          <w:sz w:val="24"/>
          <w:szCs w:val="24"/>
          <w:lang w:val="es-MX"/>
        </w:rPr>
        <w:t xml:space="preserve">)/n = </w:t>
      </w:r>
      <w:r w:rsidRPr="40AD52C2">
        <w:rPr>
          <w:rFonts w:ascii="Arial" w:eastAsia="Arial" w:hAnsi="Arial" w:cs="Arial"/>
          <w:sz w:val="24"/>
          <w:szCs w:val="24"/>
          <w:lang w:val="es"/>
        </w:rPr>
        <w:t>Promedio Costo</w:t>
      </w:r>
      <w:r w:rsidRPr="40AD52C2">
        <w:rPr>
          <w:rFonts w:ascii="Arial" w:eastAsia="Arial" w:hAnsi="Arial" w:cs="Arial"/>
          <w:sz w:val="24"/>
          <w:szCs w:val="24"/>
          <w:lang w:val="es-MX"/>
        </w:rPr>
        <w:t xml:space="preserve"> Distribución</w:t>
      </w:r>
      <w:r w:rsidRPr="40AD52C2">
        <w:rPr>
          <w:rFonts w:ascii="Arial" w:eastAsia="Arial" w:hAnsi="Arial" w:cs="Arial"/>
          <w:sz w:val="24"/>
          <w:szCs w:val="24"/>
        </w:rPr>
        <w:t xml:space="preserve"> </w:t>
      </w:r>
    </w:p>
    <w:p w14:paraId="550F7807"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CV</w:t>
      </w:r>
      <w:r w:rsidRPr="40AD52C2">
        <w:rPr>
          <w:rFonts w:ascii="Arial" w:eastAsia="Arial" w:hAnsi="Arial" w:cs="Arial"/>
          <w:sz w:val="24"/>
          <w:szCs w:val="24"/>
          <w:vertAlign w:val="subscript"/>
          <w:lang w:val="es-MX"/>
        </w:rPr>
        <w:t xml:space="preserve">promed </w:t>
      </w:r>
      <w:r w:rsidRPr="40AD52C2">
        <w:rPr>
          <w:rFonts w:ascii="Arial" w:eastAsia="Arial" w:hAnsi="Arial" w:cs="Arial"/>
          <w:sz w:val="24"/>
          <w:szCs w:val="24"/>
          <w:lang w:val="es-MX"/>
        </w:rPr>
        <w:t>= (CV</w:t>
      </w:r>
      <w:r w:rsidRPr="40AD52C2">
        <w:rPr>
          <w:rFonts w:ascii="Arial" w:eastAsia="Arial" w:hAnsi="Arial" w:cs="Arial"/>
          <w:sz w:val="24"/>
          <w:szCs w:val="24"/>
          <w:vertAlign w:val="subscript"/>
          <w:lang w:val="es-MX"/>
        </w:rPr>
        <w:t xml:space="preserve">mes1 </w:t>
      </w:r>
      <w:r w:rsidRPr="40AD52C2">
        <w:rPr>
          <w:rFonts w:ascii="Arial" w:eastAsia="Arial" w:hAnsi="Arial" w:cs="Arial"/>
          <w:sz w:val="24"/>
          <w:szCs w:val="24"/>
          <w:lang w:val="es-MX"/>
        </w:rPr>
        <w:t>+CV</w:t>
      </w:r>
      <w:r w:rsidRPr="40AD52C2">
        <w:rPr>
          <w:rFonts w:ascii="Arial" w:eastAsia="Arial" w:hAnsi="Arial" w:cs="Arial"/>
          <w:sz w:val="24"/>
          <w:szCs w:val="24"/>
          <w:vertAlign w:val="subscript"/>
          <w:lang w:val="es-MX"/>
        </w:rPr>
        <w:t>mes2</w:t>
      </w:r>
      <w:r w:rsidRPr="40AD52C2">
        <w:rPr>
          <w:rFonts w:ascii="Arial" w:eastAsia="Arial" w:hAnsi="Arial" w:cs="Arial"/>
          <w:sz w:val="24"/>
          <w:szCs w:val="24"/>
          <w:lang w:val="es-MX"/>
        </w:rPr>
        <w:t xml:space="preserve"> +...+CV</w:t>
      </w:r>
      <w:r w:rsidRPr="40AD52C2">
        <w:rPr>
          <w:rFonts w:ascii="Arial" w:eastAsia="Arial" w:hAnsi="Arial" w:cs="Arial"/>
          <w:sz w:val="24"/>
          <w:szCs w:val="24"/>
          <w:vertAlign w:val="subscript"/>
          <w:lang w:val="es-MX"/>
        </w:rPr>
        <w:t xml:space="preserve">mesn </w:t>
      </w:r>
      <w:r w:rsidRPr="40AD52C2">
        <w:rPr>
          <w:rFonts w:ascii="Arial" w:eastAsia="Arial" w:hAnsi="Arial" w:cs="Arial"/>
          <w:sz w:val="24"/>
          <w:szCs w:val="24"/>
          <w:lang w:val="es-MX"/>
        </w:rPr>
        <w:t xml:space="preserve">)/n = </w:t>
      </w:r>
      <w:r w:rsidRPr="40AD52C2">
        <w:rPr>
          <w:rFonts w:ascii="Arial" w:eastAsia="Arial" w:hAnsi="Arial" w:cs="Arial"/>
          <w:sz w:val="24"/>
          <w:szCs w:val="24"/>
          <w:lang w:val="es"/>
        </w:rPr>
        <w:t>Promedio Costo</w:t>
      </w:r>
      <w:r w:rsidRPr="40AD52C2">
        <w:rPr>
          <w:rFonts w:ascii="Arial" w:eastAsia="Arial" w:hAnsi="Arial" w:cs="Arial"/>
          <w:sz w:val="24"/>
          <w:szCs w:val="24"/>
          <w:lang w:val="es-MX"/>
        </w:rPr>
        <w:t xml:space="preserve"> Comercialización </w:t>
      </w:r>
      <w:r w:rsidRPr="40AD52C2">
        <w:rPr>
          <w:rFonts w:ascii="Arial" w:eastAsia="Arial" w:hAnsi="Arial" w:cs="Arial"/>
          <w:sz w:val="24"/>
          <w:szCs w:val="24"/>
        </w:rPr>
        <w:t xml:space="preserve"> </w:t>
      </w:r>
    </w:p>
    <w:p w14:paraId="4D7C8C05"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RM</w:t>
      </w:r>
      <w:r w:rsidRPr="40AD52C2">
        <w:rPr>
          <w:rFonts w:ascii="Arial" w:eastAsia="Arial" w:hAnsi="Arial" w:cs="Arial"/>
          <w:sz w:val="24"/>
          <w:szCs w:val="24"/>
          <w:vertAlign w:val="subscript"/>
          <w:lang w:val="es-MX"/>
        </w:rPr>
        <w:t xml:space="preserve">promed </w:t>
      </w:r>
      <w:r w:rsidRPr="40AD52C2">
        <w:rPr>
          <w:rFonts w:ascii="Arial" w:eastAsia="Arial" w:hAnsi="Arial" w:cs="Arial"/>
          <w:sz w:val="24"/>
          <w:szCs w:val="24"/>
          <w:lang w:val="es-MX"/>
        </w:rPr>
        <w:t>= (RM</w:t>
      </w:r>
      <w:r w:rsidRPr="40AD52C2">
        <w:rPr>
          <w:rFonts w:ascii="Arial" w:eastAsia="Arial" w:hAnsi="Arial" w:cs="Arial"/>
          <w:sz w:val="24"/>
          <w:szCs w:val="24"/>
          <w:vertAlign w:val="subscript"/>
          <w:lang w:val="es-MX"/>
        </w:rPr>
        <w:t xml:space="preserve">mes1 </w:t>
      </w:r>
      <w:r w:rsidRPr="40AD52C2">
        <w:rPr>
          <w:rFonts w:ascii="Arial" w:eastAsia="Arial" w:hAnsi="Arial" w:cs="Arial"/>
          <w:sz w:val="24"/>
          <w:szCs w:val="24"/>
          <w:lang w:val="es-MX"/>
        </w:rPr>
        <w:t>+RM</w:t>
      </w:r>
      <w:r w:rsidRPr="40AD52C2">
        <w:rPr>
          <w:rFonts w:ascii="Arial" w:eastAsia="Arial" w:hAnsi="Arial" w:cs="Arial"/>
          <w:sz w:val="24"/>
          <w:szCs w:val="24"/>
          <w:vertAlign w:val="subscript"/>
          <w:lang w:val="es-MX"/>
        </w:rPr>
        <w:t>mes2</w:t>
      </w:r>
      <w:r w:rsidRPr="40AD52C2">
        <w:rPr>
          <w:rFonts w:ascii="Arial" w:eastAsia="Arial" w:hAnsi="Arial" w:cs="Arial"/>
          <w:sz w:val="24"/>
          <w:szCs w:val="24"/>
          <w:lang w:val="es-MX"/>
        </w:rPr>
        <w:t xml:space="preserve"> +...+RM</w:t>
      </w:r>
      <w:r w:rsidRPr="40AD52C2">
        <w:rPr>
          <w:rFonts w:ascii="Arial" w:eastAsia="Arial" w:hAnsi="Arial" w:cs="Arial"/>
          <w:sz w:val="24"/>
          <w:szCs w:val="24"/>
          <w:vertAlign w:val="subscript"/>
          <w:lang w:val="es-MX"/>
        </w:rPr>
        <w:t xml:space="preserve">mesn </w:t>
      </w:r>
      <w:r w:rsidRPr="40AD52C2">
        <w:rPr>
          <w:rFonts w:ascii="Arial" w:eastAsia="Arial" w:hAnsi="Arial" w:cs="Arial"/>
          <w:sz w:val="24"/>
          <w:szCs w:val="24"/>
          <w:lang w:val="es-MX"/>
        </w:rPr>
        <w:t xml:space="preserve">)/n = </w:t>
      </w:r>
      <w:r w:rsidRPr="40AD52C2">
        <w:rPr>
          <w:rFonts w:ascii="Arial" w:eastAsia="Arial" w:hAnsi="Arial" w:cs="Arial"/>
          <w:sz w:val="24"/>
          <w:szCs w:val="24"/>
          <w:lang w:val="es"/>
        </w:rPr>
        <w:t>Promedio Costo</w:t>
      </w:r>
      <w:r w:rsidRPr="40AD52C2">
        <w:rPr>
          <w:rFonts w:ascii="Arial" w:eastAsia="Arial" w:hAnsi="Arial" w:cs="Arial"/>
          <w:sz w:val="24"/>
          <w:szCs w:val="24"/>
          <w:lang w:val="es-MX"/>
        </w:rPr>
        <w:t xml:space="preserve"> Restricciones</w:t>
      </w:r>
      <w:r w:rsidRPr="40AD52C2">
        <w:rPr>
          <w:rFonts w:ascii="Arial" w:eastAsia="Arial" w:hAnsi="Arial" w:cs="Arial"/>
          <w:sz w:val="24"/>
          <w:szCs w:val="24"/>
        </w:rPr>
        <w:t xml:space="preserve"> </w:t>
      </w:r>
    </w:p>
    <w:p w14:paraId="3E146FBD"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
        </w:rPr>
        <w:t>CU</w:t>
      </w:r>
      <w:r w:rsidRPr="40AD52C2">
        <w:rPr>
          <w:rFonts w:ascii="Arial" w:eastAsia="Arial" w:hAnsi="Arial" w:cs="Arial"/>
          <w:sz w:val="24"/>
          <w:szCs w:val="24"/>
          <w:vertAlign w:val="subscript"/>
          <w:lang w:val="es"/>
        </w:rPr>
        <w:t xml:space="preserve">promed </w:t>
      </w:r>
      <w:r w:rsidRPr="40AD52C2">
        <w:rPr>
          <w:rFonts w:ascii="Arial" w:eastAsia="Arial" w:hAnsi="Arial" w:cs="Arial"/>
          <w:sz w:val="24"/>
          <w:szCs w:val="24"/>
          <w:lang w:val="es"/>
        </w:rPr>
        <w:t>= (CU</w:t>
      </w:r>
      <w:r w:rsidRPr="40AD52C2">
        <w:rPr>
          <w:rFonts w:ascii="Arial" w:eastAsia="Arial" w:hAnsi="Arial" w:cs="Arial"/>
          <w:sz w:val="24"/>
          <w:szCs w:val="24"/>
          <w:vertAlign w:val="subscript"/>
          <w:lang w:val="es"/>
        </w:rPr>
        <w:t xml:space="preserve">mes1 </w:t>
      </w:r>
      <w:r w:rsidRPr="40AD52C2">
        <w:rPr>
          <w:rFonts w:ascii="Arial" w:eastAsia="Arial" w:hAnsi="Arial" w:cs="Arial"/>
          <w:sz w:val="24"/>
          <w:szCs w:val="24"/>
          <w:lang w:val="es"/>
        </w:rPr>
        <w:t>+CU</w:t>
      </w:r>
      <w:r w:rsidRPr="40AD52C2">
        <w:rPr>
          <w:rFonts w:ascii="Arial" w:eastAsia="Arial" w:hAnsi="Arial" w:cs="Arial"/>
          <w:sz w:val="24"/>
          <w:szCs w:val="24"/>
          <w:vertAlign w:val="subscript"/>
          <w:lang w:val="es"/>
        </w:rPr>
        <w:t>mes2</w:t>
      </w:r>
      <w:r w:rsidRPr="40AD52C2">
        <w:rPr>
          <w:rFonts w:ascii="Arial" w:eastAsia="Arial" w:hAnsi="Arial" w:cs="Arial"/>
          <w:sz w:val="24"/>
          <w:szCs w:val="24"/>
          <w:lang w:val="es"/>
        </w:rPr>
        <w:t xml:space="preserve"> +...+CU</w:t>
      </w:r>
      <w:r w:rsidRPr="40AD52C2">
        <w:rPr>
          <w:rFonts w:ascii="Arial" w:eastAsia="Arial" w:hAnsi="Arial" w:cs="Arial"/>
          <w:sz w:val="24"/>
          <w:szCs w:val="24"/>
          <w:vertAlign w:val="subscript"/>
          <w:lang w:val="es"/>
        </w:rPr>
        <w:t xml:space="preserve">mesn </w:t>
      </w:r>
      <w:r w:rsidRPr="40AD52C2">
        <w:rPr>
          <w:rFonts w:ascii="Arial" w:eastAsia="Arial" w:hAnsi="Arial" w:cs="Arial"/>
          <w:sz w:val="24"/>
          <w:szCs w:val="24"/>
          <w:lang w:val="es"/>
        </w:rPr>
        <w:t>)/n = Promedio Costo Unitario</w:t>
      </w:r>
      <w:r w:rsidRPr="40AD52C2">
        <w:rPr>
          <w:rFonts w:ascii="Arial" w:eastAsia="Arial" w:hAnsi="Arial" w:cs="Arial"/>
          <w:sz w:val="24"/>
          <w:szCs w:val="24"/>
        </w:rPr>
        <w:t xml:space="preserve"> </w:t>
      </w:r>
    </w:p>
    <w:p w14:paraId="375F486B"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 xml:space="preserve">El CU se obtiene finalmente como: </w:t>
      </w:r>
      <w:r w:rsidRPr="40AD52C2">
        <w:rPr>
          <w:rFonts w:ascii="Arial" w:eastAsia="Arial" w:hAnsi="Arial" w:cs="Arial"/>
          <w:sz w:val="24"/>
          <w:szCs w:val="24"/>
        </w:rPr>
        <w:t xml:space="preserve"> </w:t>
      </w:r>
    </w:p>
    <w:p w14:paraId="5D6A07DD"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rPr>
        <w:t>CU= CU</w:t>
      </w:r>
      <w:r w:rsidRPr="40AD52C2">
        <w:rPr>
          <w:rFonts w:ascii="Arial" w:eastAsia="Arial" w:hAnsi="Arial" w:cs="Arial"/>
          <w:sz w:val="24"/>
          <w:szCs w:val="24"/>
          <w:vertAlign w:val="subscript"/>
        </w:rPr>
        <w:t xml:space="preserve">promed </w:t>
      </w:r>
      <w:r w:rsidRPr="40AD52C2">
        <w:rPr>
          <w:rFonts w:ascii="Arial" w:eastAsia="Arial" w:hAnsi="Arial" w:cs="Arial"/>
          <w:sz w:val="24"/>
          <w:szCs w:val="24"/>
        </w:rPr>
        <w:t>= GM</w:t>
      </w:r>
      <w:r w:rsidRPr="40AD52C2">
        <w:rPr>
          <w:rFonts w:ascii="Arial" w:eastAsia="Arial" w:hAnsi="Arial" w:cs="Arial"/>
          <w:sz w:val="24"/>
          <w:szCs w:val="24"/>
          <w:vertAlign w:val="subscript"/>
        </w:rPr>
        <w:t>promed</w:t>
      </w:r>
      <w:r w:rsidRPr="40AD52C2">
        <w:rPr>
          <w:rFonts w:ascii="Arial" w:eastAsia="Arial" w:hAnsi="Arial" w:cs="Arial"/>
          <w:sz w:val="24"/>
          <w:szCs w:val="24"/>
        </w:rPr>
        <w:t xml:space="preserve"> +TM</w:t>
      </w:r>
      <w:r w:rsidRPr="40AD52C2">
        <w:rPr>
          <w:rFonts w:ascii="Arial" w:eastAsia="Arial" w:hAnsi="Arial" w:cs="Arial"/>
          <w:sz w:val="24"/>
          <w:szCs w:val="24"/>
          <w:vertAlign w:val="subscript"/>
        </w:rPr>
        <w:t>promed</w:t>
      </w:r>
      <w:r w:rsidRPr="40AD52C2">
        <w:rPr>
          <w:rFonts w:ascii="Arial" w:eastAsia="Arial" w:hAnsi="Arial" w:cs="Arial"/>
          <w:sz w:val="24"/>
          <w:szCs w:val="24"/>
        </w:rPr>
        <w:t xml:space="preserve"> +PR</w:t>
      </w:r>
      <w:r w:rsidRPr="40AD52C2">
        <w:rPr>
          <w:rFonts w:ascii="Arial" w:eastAsia="Arial" w:hAnsi="Arial" w:cs="Arial"/>
          <w:sz w:val="24"/>
          <w:szCs w:val="24"/>
          <w:vertAlign w:val="subscript"/>
        </w:rPr>
        <w:t>promed</w:t>
      </w:r>
      <w:r w:rsidRPr="40AD52C2">
        <w:rPr>
          <w:rFonts w:ascii="Arial" w:eastAsia="Arial" w:hAnsi="Arial" w:cs="Arial"/>
          <w:sz w:val="24"/>
          <w:szCs w:val="24"/>
        </w:rPr>
        <w:t xml:space="preserve"> +D</w:t>
      </w:r>
      <w:r w:rsidRPr="40AD52C2">
        <w:rPr>
          <w:rFonts w:ascii="Arial" w:eastAsia="Arial" w:hAnsi="Arial" w:cs="Arial"/>
          <w:sz w:val="24"/>
          <w:szCs w:val="24"/>
          <w:vertAlign w:val="subscript"/>
        </w:rPr>
        <w:t>promed</w:t>
      </w:r>
      <w:r w:rsidRPr="40AD52C2">
        <w:rPr>
          <w:rFonts w:ascii="Arial" w:eastAsia="Arial" w:hAnsi="Arial" w:cs="Arial"/>
          <w:sz w:val="24"/>
          <w:szCs w:val="24"/>
        </w:rPr>
        <w:t xml:space="preserve"> +CV</w:t>
      </w:r>
      <w:r w:rsidRPr="40AD52C2">
        <w:rPr>
          <w:rFonts w:ascii="Arial" w:eastAsia="Arial" w:hAnsi="Arial" w:cs="Arial"/>
          <w:sz w:val="24"/>
          <w:szCs w:val="24"/>
          <w:vertAlign w:val="subscript"/>
        </w:rPr>
        <w:t>promed</w:t>
      </w:r>
      <w:r w:rsidRPr="40AD52C2">
        <w:rPr>
          <w:rFonts w:ascii="Arial" w:eastAsia="Arial" w:hAnsi="Arial" w:cs="Arial"/>
          <w:sz w:val="24"/>
          <w:szCs w:val="24"/>
        </w:rPr>
        <w:t xml:space="preserve"> +RM</w:t>
      </w:r>
      <w:r w:rsidRPr="40AD52C2">
        <w:rPr>
          <w:rFonts w:ascii="Arial" w:eastAsia="Arial" w:hAnsi="Arial" w:cs="Arial"/>
          <w:sz w:val="24"/>
          <w:szCs w:val="24"/>
          <w:vertAlign w:val="subscript"/>
        </w:rPr>
        <w:t>promed</w:t>
      </w:r>
      <w:r w:rsidRPr="40AD52C2">
        <w:rPr>
          <w:rFonts w:ascii="Arial" w:eastAsia="Arial" w:hAnsi="Arial" w:cs="Arial"/>
          <w:sz w:val="24"/>
          <w:szCs w:val="24"/>
        </w:rPr>
        <w:t xml:space="preserve"> </w:t>
      </w:r>
    </w:p>
    <w:p w14:paraId="47BC7EB4"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Para el cálculo del Puntaje del Costo Unitario Del Servicio De Energía Eléctrica (PCU), se realiza la asignación de un valor de 1 a 5 asociado de forma directa a la posición del costo unitario dentro de un rango definido como se muestra a continuación:</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65"/>
        <w:gridCol w:w="4710"/>
      </w:tblGrid>
      <w:tr w:rsidR="002849EC" w14:paraId="54164F43"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25559BE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Rango</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604BB97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Puntuación (PCU)</w:t>
            </w:r>
            <w:r w:rsidRPr="40AD52C2">
              <w:rPr>
                <w:rFonts w:ascii="Arial" w:eastAsia="Arial" w:hAnsi="Arial" w:cs="Arial"/>
                <w:color w:val="000000" w:themeColor="text1"/>
                <w:sz w:val="24"/>
                <w:szCs w:val="24"/>
              </w:rPr>
              <w:t xml:space="preserve"> </w:t>
            </w:r>
          </w:p>
        </w:tc>
      </w:tr>
      <w:tr w:rsidR="002849EC" w14:paraId="199D8D56"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76EB990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5</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475B6E2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5</w:t>
            </w:r>
            <w:r w:rsidRPr="40AD52C2">
              <w:rPr>
                <w:rFonts w:ascii="Arial" w:eastAsia="Arial" w:hAnsi="Arial" w:cs="Arial"/>
                <w:color w:val="000000" w:themeColor="text1"/>
                <w:sz w:val="24"/>
                <w:szCs w:val="24"/>
              </w:rPr>
              <w:t xml:space="preserve"> </w:t>
            </w:r>
          </w:p>
        </w:tc>
      </w:tr>
      <w:tr w:rsidR="002849EC" w14:paraId="7D098B73"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4C43D47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4</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6139AF5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4</w:t>
            </w:r>
            <w:r w:rsidRPr="40AD52C2">
              <w:rPr>
                <w:rFonts w:ascii="Arial" w:eastAsia="Arial" w:hAnsi="Arial" w:cs="Arial"/>
                <w:color w:val="000000" w:themeColor="text1"/>
                <w:sz w:val="24"/>
                <w:szCs w:val="24"/>
              </w:rPr>
              <w:t xml:space="preserve"> </w:t>
            </w:r>
          </w:p>
        </w:tc>
      </w:tr>
      <w:tr w:rsidR="002849EC" w14:paraId="7CEBB965"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7237C6F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3</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60D8EC3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3</w:t>
            </w:r>
            <w:r w:rsidRPr="40AD52C2">
              <w:rPr>
                <w:rFonts w:ascii="Arial" w:eastAsia="Arial" w:hAnsi="Arial" w:cs="Arial"/>
                <w:color w:val="000000" w:themeColor="text1"/>
                <w:sz w:val="24"/>
                <w:szCs w:val="24"/>
              </w:rPr>
              <w:t xml:space="preserve"> </w:t>
            </w:r>
          </w:p>
        </w:tc>
      </w:tr>
      <w:tr w:rsidR="002849EC" w14:paraId="23BB1BCC"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7A3464B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2</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470847E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2</w:t>
            </w:r>
            <w:r w:rsidRPr="40AD52C2">
              <w:rPr>
                <w:rFonts w:ascii="Arial" w:eastAsia="Arial" w:hAnsi="Arial" w:cs="Arial"/>
                <w:color w:val="000000" w:themeColor="text1"/>
                <w:sz w:val="24"/>
                <w:szCs w:val="24"/>
              </w:rPr>
              <w:t xml:space="preserve"> </w:t>
            </w:r>
          </w:p>
        </w:tc>
      </w:tr>
      <w:tr w:rsidR="002849EC" w14:paraId="3FE02FF3"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5C26216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1</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3DDC1A0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1</w:t>
            </w:r>
            <w:r w:rsidRPr="40AD52C2">
              <w:rPr>
                <w:rFonts w:ascii="Arial" w:eastAsia="Arial" w:hAnsi="Arial" w:cs="Arial"/>
                <w:color w:val="000000" w:themeColor="text1"/>
                <w:sz w:val="24"/>
                <w:szCs w:val="24"/>
              </w:rPr>
              <w:t xml:space="preserve"> </w:t>
            </w:r>
          </w:p>
        </w:tc>
      </w:tr>
    </w:tbl>
    <w:p w14:paraId="4109393E" w14:textId="77777777" w:rsidR="006F1069" w:rsidRDefault="006F1069" w:rsidP="002849EC">
      <w:pPr>
        <w:spacing w:after="160"/>
        <w:jc w:val="both"/>
        <w:rPr>
          <w:rFonts w:ascii="Arial" w:eastAsia="Arial" w:hAnsi="Arial" w:cs="Arial"/>
          <w:sz w:val="24"/>
          <w:szCs w:val="24"/>
        </w:rPr>
      </w:pPr>
    </w:p>
    <w:p w14:paraId="08E35343" w14:textId="705D2960"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Donde</w:t>
      </w:r>
      <w:r w:rsidR="006F1069">
        <w:rPr>
          <w:rFonts w:ascii="Arial" w:eastAsia="Arial" w:hAnsi="Arial" w:cs="Arial"/>
          <w:sz w:val="24"/>
          <w:szCs w:val="24"/>
          <w:lang w:val="es-MX"/>
        </w:rPr>
        <w:t>:</w:t>
      </w:r>
      <w:r w:rsidRPr="40AD52C2">
        <w:rPr>
          <w:rFonts w:ascii="Arial" w:eastAsia="Arial" w:hAnsi="Arial" w:cs="Arial"/>
          <w:sz w:val="24"/>
          <w:szCs w:val="24"/>
          <w:lang w:val="es-MX"/>
        </w:rPr>
        <w:t xml:space="preserve"> </w:t>
      </w:r>
      <w:r w:rsidRPr="40AD52C2">
        <w:rPr>
          <w:rFonts w:ascii="Arial" w:eastAsia="Arial" w:hAnsi="Arial" w:cs="Arial"/>
          <w:sz w:val="24"/>
          <w:szCs w:val="24"/>
        </w:rPr>
        <w:t xml:space="preserve"> </w:t>
      </w:r>
    </w:p>
    <w:p w14:paraId="13FDDCE0" w14:textId="77777777" w:rsidR="002849EC" w:rsidRPr="00B67968" w:rsidRDefault="002849EC" w:rsidP="002849EC">
      <w:pPr>
        <w:spacing w:after="160"/>
        <w:jc w:val="both"/>
        <w:rPr>
          <w:rFonts w:ascii="Arial" w:eastAsia="Arial" w:hAnsi="Arial" w:cs="Arial"/>
          <w:sz w:val="24"/>
          <w:szCs w:val="24"/>
          <w:lang w:val="pt-PT"/>
        </w:rPr>
      </w:pPr>
      <w:r w:rsidRPr="00B67968">
        <w:rPr>
          <w:rFonts w:ascii="Arial" w:eastAsia="Arial" w:hAnsi="Arial" w:cs="Arial"/>
          <w:sz w:val="24"/>
          <w:szCs w:val="24"/>
          <w:lang w:val="pt-PT"/>
        </w:rPr>
        <w:t xml:space="preserve">Rango 1 &lt; Rango 2 &lt; Rango 3 &lt; Rango 4 &lt; Rango 5 </w:t>
      </w:r>
    </w:p>
    <w:p w14:paraId="0D0F454F"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Es decir que, un puntaje más alto representa un mayor costo del servicio de energía eléctrica.</w:t>
      </w:r>
      <w:r w:rsidRPr="40AD52C2">
        <w:rPr>
          <w:rFonts w:ascii="Arial" w:eastAsia="Arial" w:hAnsi="Arial" w:cs="Arial"/>
          <w:sz w:val="24"/>
          <w:szCs w:val="24"/>
        </w:rPr>
        <w:t xml:space="preserve"> </w:t>
      </w:r>
    </w:p>
    <w:p w14:paraId="1B8FC631" w14:textId="77777777" w:rsidR="002849EC" w:rsidRDefault="002849EC" w:rsidP="0053367F">
      <w:pPr>
        <w:tabs>
          <w:tab w:val="left" w:pos="4474"/>
        </w:tabs>
        <w:spacing w:after="0"/>
        <w:jc w:val="both"/>
        <w:rPr>
          <w:rFonts w:ascii="Arial" w:eastAsia="Arial" w:hAnsi="Arial" w:cs="Arial"/>
          <w:b/>
          <w:bCs/>
          <w:sz w:val="24"/>
          <w:szCs w:val="24"/>
        </w:rPr>
      </w:pPr>
      <w:r w:rsidRPr="0053367F">
        <w:rPr>
          <w:rFonts w:ascii="Arial" w:eastAsia="Arial" w:hAnsi="Arial" w:cs="Arial"/>
          <w:b/>
          <w:bCs/>
          <w:sz w:val="24"/>
          <w:szCs w:val="24"/>
        </w:rPr>
        <w:t xml:space="preserve">Porcentaje de Participación de Usuarios (%PTU) </w:t>
      </w:r>
    </w:p>
    <w:p w14:paraId="28F3AE61" w14:textId="77777777" w:rsidR="0053367F" w:rsidRPr="0053367F" w:rsidRDefault="0053367F" w:rsidP="0053367F">
      <w:pPr>
        <w:tabs>
          <w:tab w:val="left" w:pos="4474"/>
        </w:tabs>
        <w:spacing w:after="0"/>
        <w:jc w:val="both"/>
        <w:rPr>
          <w:rFonts w:ascii="Arial" w:eastAsia="Arial" w:hAnsi="Arial" w:cs="Arial"/>
          <w:b/>
          <w:bCs/>
          <w:sz w:val="24"/>
          <w:szCs w:val="24"/>
        </w:rPr>
      </w:pPr>
    </w:p>
    <w:p w14:paraId="75B30736"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Valor indicativo de la proporción de usuarios conectados al SIN por departamento a través de un operador de red (OR) en relación con el total de usuarios evaluados conectados al SIN con una fecha de actualización no mayor a dos meses atrás de la fecha de revisión. Su valor se expresa en términos de porcentaje y se obtiene a partir de los datos publicados por la Superintendencia de Servicios Públicos Domiciliarios (SSPD) a través del Sistema Único de Información (SUI), el cual es el sistema oficial que recoge, almacena, procesa y publica la información reportada por parte de las empresas prestados de servicio y entidades territoriales. Se concentran los valores asociados a los usuarios de estratos 1, 2, 3 conforme a los objetivos del programa Colombia Solar a nivel departamental para posteriormente ser sumados de forma lineal por estrato.  Así, el valor final por departamento se encontrará teniendo en cuenta la siguiente información:</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753"/>
        <w:gridCol w:w="1483"/>
        <w:gridCol w:w="1537"/>
        <w:gridCol w:w="1510"/>
        <w:gridCol w:w="3111"/>
      </w:tblGrid>
      <w:tr w:rsidR="002849EC" w14:paraId="7EFCBD2A" w14:textId="77777777" w:rsidTr="00C14EF5">
        <w:trPr>
          <w:trHeight w:val="285"/>
        </w:trPr>
        <w:tc>
          <w:tcPr>
            <w:tcW w:w="1755" w:type="dxa"/>
            <w:vMerge w:val="restart"/>
            <w:tcBorders>
              <w:top w:val="single" w:sz="4" w:space="0" w:color="auto"/>
              <w:left w:val="single" w:sz="4" w:space="0" w:color="auto"/>
              <w:bottom w:val="single" w:sz="4" w:space="0" w:color="auto"/>
              <w:right w:val="single" w:sz="4" w:space="0" w:color="auto"/>
            </w:tcBorders>
            <w:vAlign w:val="center"/>
          </w:tcPr>
          <w:p w14:paraId="7028926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Departamento (Dpto)</w:t>
            </w:r>
            <w:r w:rsidRPr="40AD52C2">
              <w:rPr>
                <w:rFonts w:ascii="Arial" w:eastAsia="Arial" w:hAnsi="Arial" w:cs="Arial"/>
                <w:color w:val="000000" w:themeColor="text1"/>
                <w:sz w:val="24"/>
                <w:szCs w:val="24"/>
              </w:rPr>
              <w:t xml:space="preserve"> </w:t>
            </w:r>
          </w:p>
        </w:tc>
        <w:tc>
          <w:tcPr>
            <w:tcW w:w="4635" w:type="dxa"/>
            <w:gridSpan w:val="3"/>
            <w:tcBorders>
              <w:top w:val="single" w:sz="4" w:space="0" w:color="auto"/>
              <w:left w:val="single" w:sz="4" w:space="0" w:color="auto"/>
              <w:bottom w:val="single" w:sz="4" w:space="0" w:color="auto"/>
              <w:right w:val="single" w:sz="4" w:space="0" w:color="auto"/>
            </w:tcBorders>
            <w:vAlign w:val="center"/>
          </w:tcPr>
          <w:p w14:paraId="5F85A04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Usuarios Residenciales Regulados</w:t>
            </w:r>
            <w:r w:rsidRPr="40AD52C2">
              <w:rPr>
                <w:rFonts w:ascii="Arial" w:eastAsia="Arial" w:hAnsi="Arial" w:cs="Arial"/>
                <w:color w:val="000000" w:themeColor="text1"/>
                <w:sz w:val="24"/>
                <w:szCs w:val="24"/>
              </w:rPr>
              <w:t xml:space="preserve"> </w:t>
            </w:r>
          </w:p>
        </w:tc>
        <w:tc>
          <w:tcPr>
            <w:tcW w:w="3120" w:type="dxa"/>
            <w:vMerge w:val="restart"/>
            <w:tcBorders>
              <w:top w:val="single" w:sz="4" w:space="0" w:color="auto"/>
              <w:left w:val="nil"/>
              <w:bottom w:val="single" w:sz="4" w:space="0" w:color="auto"/>
              <w:right w:val="single" w:sz="4" w:space="0" w:color="auto"/>
            </w:tcBorders>
            <w:vAlign w:val="center"/>
          </w:tcPr>
          <w:p w14:paraId="2462D7C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Total</w:t>
            </w:r>
            <w:r w:rsidRPr="40AD52C2">
              <w:rPr>
                <w:rFonts w:ascii="Arial" w:eastAsia="Arial" w:hAnsi="Arial" w:cs="Arial"/>
                <w:color w:val="000000" w:themeColor="text1"/>
                <w:sz w:val="24"/>
                <w:szCs w:val="24"/>
              </w:rPr>
              <w:t xml:space="preserve"> </w:t>
            </w:r>
          </w:p>
        </w:tc>
      </w:tr>
      <w:tr w:rsidR="002849EC" w14:paraId="15D11D65" w14:textId="77777777" w:rsidTr="00C14EF5">
        <w:trPr>
          <w:trHeight w:val="285"/>
        </w:trPr>
        <w:tc>
          <w:tcPr>
            <w:tcW w:w="1755" w:type="dxa"/>
            <w:vMerge/>
            <w:tcBorders>
              <w:left w:val="single" w:sz="0" w:space="0" w:color="auto"/>
              <w:bottom w:val="single" w:sz="0" w:space="0" w:color="auto"/>
              <w:right w:val="single" w:sz="0" w:space="0" w:color="auto"/>
            </w:tcBorders>
            <w:vAlign w:val="center"/>
          </w:tcPr>
          <w:p w14:paraId="40F1E639" w14:textId="77777777" w:rsidR="002849EC" w:rsidRDefault="002849EC" w:rsidP="00C14EF5"/>
        </w:tc>
        <w:tc>
          <w:tcPr>
            <w:tcW w:w="1515" w:type="dxa"/>
            <w:tcBorders>
              <w:top w:val="single" w:sz="4" w:space="0" w:color="auto"/>
              <w:left w:val="nil"/>
              <w:bottom w:val="single" w:sz="4" w:space="0" w:color="auto"/>
              <w:right w:val="single" w:sz="4" w:space="0" w:color="auto"/>
            </w:tcBorders>
            <w:vAlign w:val="center"/>
          </w:tcPr>
          <w:p w14:paraId="1B19FD3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Estrato 1</w:t>
            </w:r>
            <w:r w:rsidRPr="40AD52C2">
              <w:rPr>
                <w:rFonts w:ascii="Arial" w:eastAsia="Arial" w:hAnsi="Arial" w:cs="Arial"/>
                <w:color w:val="000000" w:themeColor="text1"/>
                <w:sz w:val="24"/>
                <w:szCs w:val="24"/>
              </w:rPr>
              <w:t xml:space="preserve"> </w:t>
            </w:r>
          </w:p>
        </w:tc>
        <w:tc>
          <w:tcPr>
            <w:tcW w:w="1575" w:type="dxa"/>
            <w:tcBorders>
              <w:top w:val="nil"/>
              <w:left w:val="single" w:sz="4" w:space="0" w:color="auto"/>
              <w:bottom w:val="single" w:sz="4" w:space="0" w:color="auto"/>
              <w:right w:val="single" w:sz="4" w:space="0" w:color="auto"/>
            </w:tcBorders>
            <w:vAlign w:val="center"/>
          </w:tcPr>
          <w:p w14:paraId="4F12E42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Estrato 2</w:t>
            </w:r>
            <w:r w:rsidRPr="40AD52C2">
              <w:rPr>
                <w:rFonts w:ascii="Arial" w:eastAsia="Arial" w:hAnsi="Arial" w:cs="Arial"/>
                <w:color w:val="000000" w:themeColor="text1"/>
                <w:sz w:val="24"/>
                <w:szCs w:val="24"/>
              </w:rPr>
              <w:t xml:space="preserve"> </w:t>
            </w:r>
          </w:p>
        </w:tc>
        <w:tc>
          <w:tcPr>
            <w:tcW w:w="1545" w:type="dxa"/>
            <w:tcBorders>
              <w:top w:val="nil"/>
              <w:left w:val="single" w:sz="4" w:space="0" w:color="auto"/>
              <w:bottom w:val="single" w:sz="4" w:space="0" w:color="auto"/>
              <w:right w:val="single" w:sz="4" w:space="0" w:color="auto"/>
            </w:tcBorders>
            <w:vAlign w:val="center"/>
          </w:tcPr>
          <w:p w14:paraId="22C8154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Estrato 3</w:t>
            </w:r>
            <w:r w:rsidRPr="40AD52C2">
              <w:rPr>
                <w:rFonts w:ascii="Arial" w:eastAsia="Arial" w:hAnsi="Arial" w:cs="Arial"/>
                <w:color w:val="000000" w:themeColor="text1"/>
                <w:sz w:val="24"/>
                <w:szCs w:val="24"/>
              </w:rPr>
              <w:t xml:space="preserve"> </w:t>
            </w:r>
          </w:p>
        </w:tc>
        <w:tc>
          <w:tcPr>
            <w:tcW w:w="3120" w:type="dxa"/>
            <w:vMerge/>
            <w:tcBorders>
              <w:left w:val="nil"/>
              <w:bottom w:val="single" w:sz="0" w:space="0" w:color="auto"/>
              <w:right w:val="single" w:sz="0" w:space="0" w:color="auto"/>
            </w:tcBorders>
            <w:vAlign w:val="center"/>
          </w:tcPr>
          <w:p w14:paraId="70E4D520" w14:textId="77777777" w:rsidR="002849EC" w:rsidRDefault="002849EC" w:rsidP="00C14EF5"/>
        </w:tc>
      </w:tr>
      <w:tr w:rsidR="002849EC" w14:paraId="2365E0CB" w14:textId="77777777" w:rsidTr="00C14EF5">
        <w:trPr>
          <w:trHeight w:val="495"/>
        </w:trPr>
        <w:tc>
          <w:tcPr>
            <w:tcW w:w="1755" w:type="dxa"/>
            <w:tcBorders>
              <w:top w:val="nil"/>
              <w:left w:val="single" w:sz="4" w:space="0" w:color="auto"/>
              <w:bottom w:val="single" w:sz="4" w:space="0" w:color="auto"/>
              <w:right w:val="single" w:sz="4" w:space="0" w:color="auto"/>
            </w:tcBorders>
            <w:vAlign w:val="center"/>
          </w:tcPr>
          <w:p w14:paraId="12616D6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lastRenderedPageBreak/>
              <w:t>Dpto 1</w:t>
            </w:r>
            <w:r w:rsidRPr="40AD52C2">
              <w:rPr>
                <w:rFonts w:ascii="Arial" w:eastAsia="Arial" w:hAnsi="Arial" w:cs="Arial"/>
                <w:color w:val="000000" w:themeColor="text1"/>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3EAEEDB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vAlign w:val="center"/>
          </w:tcPr>
          <w:p w14:paraId="57E29BD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1545" w:type="dxa"/>
            <w:tcBorders>
              <w:top w:val="single" w:sz="4" w:space="0" w:color="auto"/>
              <w:left w:val="single" w:sz="4" w:space="0" w:color="auto"/>
              <w:bottom w:val="single" w:sz="4" w:space="0" w:color="auto"/>
              <w:right w:val="single" w:sz="4" w:space="0" w:color="auto"/>
            </w:tcBorders>
            <w:vAlign w:val="center"/>
          </w:tcPr>
          <w:p w14:paraId="2B8235F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3120" w:type="dxa"/>
            <w:tcBorders>
              <w:top w:val="nil"/>
              <w:left w:val="single" w:sz="4" w:space="0" w:color="auto"/>
              <w:bottom w:val="single" w:sz="4" w:space="0" w:color="auto"/>
              <w:right w:val="single" w:sz="4" w:space="0" w:color="auto"/>
            </w:tcBorders>
            <w:vAlign w:val="center"/>
          </w:tcPr>
          <w:p w14:paraId="3D5D25E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rPr>
              <w:t xml:space="preserve"> </w:t>
            </w:r>
          </w:p>
          <w:p w14:paraId="39844C0A" w14:textId="77777777" w:rsidR="002849EC" w:rsidRDefault="002849EC" w:rsidP="00C14EF5">
            <w:pPr>
              <w:spacing w:after="160"/>
              <w:jc w:val="center"/>
              <w:rPr>
                <w:rFonts w:ascii="Arial" w:eastAsia="Arial" w:hAnsi="Arial" w:cs="Arial"/>
                <w:color w:val="000000" w:themeColor="text1"/>
                <w:sz w:val="24"/>
                <w:szCs w:val="24"/>
              </w:rPr>
            </w:pPr>
            <w:r>
              <w:rPr>
                <w:noProof/>
              </w:rPr>
              <w:drawing>
                <wp:inline distT="0" distB="0" distL="0" distR="0" wp14:anchorId="5241DEDF" wp14:editId="440FDFC3">
                  <wp:extent cx="1781175" cy="504825"/>
                  <wp:effectExtent l="0" t="0" r="0" b="0"/>
                  <wp:docPr id="3658284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828418" name="Picture 365828418"/>
                          <pic:cNvPicPr/>
                        </pic:nvPicPr>
                        <pic:blipFill>
                          <a:blip r:embed="rId29">
                            <a:extLst>
                              <a:ext uri="{28A0092B-C50C-407E-A947-70E740481C1C}">
                                <a14:useLocalDpi xmlns:a14="http://schemas.microsoft.com/office/drawing/2010/main"/>
                              </a:ext>
                            </a:extLst>
                          </a:blip>
                          <a:stretch>
                            <a:fillRect/>
                          </a:stretch>
                        </pic:blipFill>
                        <pic:spPr>
                          <a:xfrm>
                            <a:off x="0" y="0"/>
                            <a:ext cx="1781175" cy="504825"/>
                          </a:xfrm>
                          <a:prstGeom prst="rect">
                            <a:avLst/>
                          </a:prstGeom>
                        </pic:spPr>
                      </pic:pic>
                    </a:graphicData>
                  </a:graphic>
                </wp:inline>
              </w:drawing>
            </w:r>
            <w:r w:rsidRPr="40AD52C2">
              <w:rPr>
                <w:rFonts w:ascii="Arial" w:eastAsia="Arial" w:hAnsi="Arial" w:cs="Arial"/>
                <w:color w:val="000000" w:themeColor="text1"/>
                <w:sz w:val="24"/>
                <w:szCs w:val="24"/>
              </w:rPr>
              <w:t xml:space="preserve"> </w:t>
            </w:r>
          </w:p>
        </w:tc>
      </w:tr>
      <w:tr w:rsidR="002849EC" w14:paraId="68A7388E" w14:textId="77777777" w:rsidTr="00C14EF5">
        <w:trPr>
          <w:trHeight w:val="285"/>
        </w:trPr>
        <w:tc>
          <w:tcPr>
            <w:tcW w:w="1755" w:type="dxa"/>
            <w:tcBorders>
              <w:top w:val="single" w:sz="4" w:space="0" w:color="auto"/>
              <w:left w:val="single" w:sz="4" w:space="0" w:color="auto"/>
              <w:bottom w:val="single" w:sz="4" w:space="0" w:color="auto"/>
              <w:right w:val="single" w:sz="4" w:space="0" w:color="auto"/>
            </w:tcBorders>
            <w:vAlign w:val="center"/>
          </w:tcPr>
          <w:p w14:paraId="166D985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Dpto 2</w:t>
            </w:r>
            <w:r w:rsidRPr="40AD52C2">
              <w:rPr>
                <w:rFonts w:ascii="Arial" w:eastAsia="Arial" w:hAnsi="Arial" w:cs="Arial"/>
                <w:color w:val="000000" w:themeColor="text1"/>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0579740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vAlign w:val="center"/>
          </w:tcPr>
          <w:p w14:paraId="1F66170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1545" w:type="dxa"/>
            <w:tcBorders>
              <w:top w:val="single" w:sz="4" w:space="0" w:color="auto"/>
              <w:left w:val="single" w:sz="4" w:space="0" w:color="auto"/>
              <w:bottom w:val="single" w:sz="4" w:space="0" w:color="auto"/>
              <w:right w:val="single" w:sz="4" w:space="0" w:color="auto"/>
            </w:tcBorders>
            <w:vAlign w:val="center"/>
          </w:tcPr>
          <w:p w14:paraId="2A8D33A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3120" w:type="dxa"/>
            <w:tcBorders>
              <w:top w:val="single" w:sz="4" w:space="0" w:color="auto"/>
              <w:left w:val="single" w:sz="4" w:space="0" w:color="auto"/>
              <w:bottom w:val="single" w:sz="4" w:space="0" w:color="auto"/>
              <w:right w:val="single" w:sz="4" w:space="0" w:color="auto"/>
            </w:tcBorders>
            <w:vAlign w:val="center"/>
          </w:tcPr>
          <w:p w14:paraId="0602EFD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rPr>
              <w:t xml:space="preserve"> </w:t>
            </w:r>
          </w:p>
          <w:p w14:paraId="39B8266F" w14:textId="77777777" w:rsidR="002849EC" w:rsidRDefault="002849EC" w:rsidP="00C14EF5">
            <w:pPr>
              <w:spacing w:after="160"/>
              <w:jc w:val="center"/>
              <w:rPr>
                <w:rFonts w:ascii="Arial" w:eastAsia="Arial" w:hAnsi="Arial" w:cs="Arial"/>
                <w:color w:val="000000" w:themeColor="text1"/>
                <w:sz w:val="24"/>
                <w:szCs w:val="24"/>
              </w:rPr>
            </w:pPr>
            <w:r>
              <w:rPr>
                <w:noProof/>
              </w:rPr>
              <w:drawing>
                <wp:inline distT="0" distB="0" distL="0" distR="0" wp14:anchorId="30081202" wp14:editId="40A7AC38">
                  <wp:extent cx="1781175" cy="495300"/>
                  <wp:effectExtent l="0" t="0" r="0" b="0"/>
                  <wp:docPr id="19518009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800976" name="Picture 1951800976"/>
                          <pic:cNvPicPr/>
                        </pic:nvPicPr>
                        <pic:blipFill>
                          <a:blip r:embed="rId30">
                            <a:extLst>
                              <a:ext uri="{28A0092B-C50C-407E-A947-70E740481C1C}">
                                <a14:useLocalDpi xmlns:a14="http://schemas.microsoft.com/office/drawing/2010/main"/>
                              </a:ext>
                            </a:extLst>
                          </a:blip>
                          <a:stretch>
                            <a:fillRect/>
                          </a:stretch>
                        </pic:blipFill>
                        <pic:spPr>
                          <a:xfrm>
                            <a:off x="0" y="0"/>
                            <a:ext cx="1781175" cy="495300"/>
                          </a:xfrm>
                          <a:prstGeom prst="rect">
                            <a:avLst/>
                          </a:prstGeom>
                        </pic:spPr>
                      </pic:pic>
                    </a:graphicData>
                  </a:graphic>
                </wp:inline>
              </w:drawing>
            </w:r>
            <w:r w:rsidRPr="40AD52C2">
              <w:rPr>
                <w:rFonts w:ascii="Arial" w:eastAsia="Arial" w:hAnsi="Arial" w:cs="Arial"/>
                <w:color w:val="000000" w:themeColor="text1"/>
                <w:sz w:val="24"/>
                <w:szCs w:val="24"/>
              </w:rPr>
              <w:t xml:space="preserve"> </w:t>
            </w:r>
          </w:p>
        </w:tc>
      </w:tr>
      <w:tr w:rsidR="002849EC" w14:paraId="1BDBF8E6" w14:textId="77777777" w:rsidTr="00C14EF5">
        <w:trPr>
          <w:trHeight w:val="285"/>
        </w:trPr>
        <w:tc>
          <w:tcPr>
            <w:tcW w:w="1755" w:type="dxa"/>
            <w:tcBorders>
              <w:top w:val="single" w:sz="4" w:space="0" w:color="auto"/>
              <w:left w:val="single" w:sz="4" w:space="0" w:color="auto"/>
              <w:bottom w:val="single" w:sz="4" w:space="0" w:color="auto"/>
              <w:right w:val="single" w:sz="4" w:space="0" w:color="auto"/>
            </w:tcBorders>
            <w:vAlign w:val="center"/>
          </w:tcPr>
          <w:p w14:paraId="72317D5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6FA1958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24F2DEE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145ECD1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13EEBE8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49100C5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07B67AD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vAlign w:val="center"/>
          </w:tcPr>
          <w:p w14:paraId="7E94438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18EF8AA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38A7F9C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1F25DC2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rPr>
              <w:t xml:space="preserve"> </w:t>
            </w:r>
          </w:p>
        </w:tc>
        <w:tc>
          <w:tcPr>
            <w:tcW w:w="1545" w:type="dxa"/>
            <w:tcBorders>
              <w:top w:val="single" w:sz="4" w:space="0" w:color="auto"/>
              <w:left w:val="single" w:sz="4" w:space="0" w:color="auto"/>
              <w:bottom w:val="single" w:sz="4" w:space="0" w:color="auto"/>
              <w:right w:val="single" w:sz="4" w:space="0" w:color="auto"/>
            </w:tcBorders>
            <w:vAlign w:val="center"/>
          </w:tcPr>
          <w:p w14:paraId="0A7A7E2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1845B54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4547E68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7263369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rPr>
              <w:t xml:space="preserve"> </w:t>
            </w:r>
          </w:p>
        </w:tc>
        <w:tc>
          <w:tcPr>
            <w:tcW w:w="3120" w:type="dxa"/>
            <w:tcBorders>
              <w:top w:val="single" w:sz="4" w:space="0" w:color="auto"/>
              <w:left w:val="single" w:sz="4" w:space="0" w:color="auto"/>
              <w:bottom w:val="single" w:sz="4" w:space="0" w:color="auto"/>
              <w:right w:val="single" w:sz="4" w:space="0" w:color="auto"/>
            </w:tcBorders>
            <w:vAlign w:val="center"/>
          </w:tcPr>
          <w:p w14:paraId="6332E4A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327A966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23E824E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r>
      <w:tr w:rsidR="002849EC" w14:paraId="75249109" w14:textId="77777777" w:rsidTr="00C14EF5">
        <w:trPr>
          <w:trHeight w:val="285"/>
        </w:trPr>
        <w:tc>
          <w:tcPr>
            <w:tcW w:w="1755" w:type="dxa"/>
            <w:tcBorders>
              <w:top w:val="single" w:sz="4" w:space="0" w:color="auto"/>
              <w:left w:val="single" w:sz="4" w:space="0" w:color="auto"/>
              <w:bottom w:val="single" w:sz="4" w:space="0" w:color="auto"/>
              <w:right w:val="single" w:sz="4" w:space="0" w:color="auto"/>
            </w:tcBorders>
            <w:vAlign w:val="center"/>
          </w:tcPr>
          <w:p w14:paraId="60E860A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Dpto n</w:t>
            </w:r>
            <w:r w:rsidRPr="40AD52C2">
              <w:rPr>
                <w:rFonts w:ascii="Arial" w:eastAsia="Arial" w:hAnsi="Arial" w:cs="Arial"/>
                <w:color w:val="000000" w:themeColor="text1"/>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4DCFC87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vAlign w:val="center"/>
          </w:tcPr>
          <w:p w14:paraId="374B78F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1545" w:type="dxa"/>
            <w:tcBorders>
              <w:top w:val="single" w:sz="4" w:space="0" w:color="auto"/>
              <w:left w:val="single" w:sz="4" w:space="0" w:color="auto"/>
              <w:bottom w:val="single" w:sz="4" w:space="0" w:color="auto"/>
              <w:right w:val="single" w:sz="4" w:space="0" w:color="auto"/>
            </w:tcBorders>
            <w:vAlign w:val="center"/>
          </w:tcPr>
          <w:p w14:paraId="656C8AD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 Usuarios</w:t>
            </w:r>
            <w:r w:rsidRPr="40AD52C2">
              <w:rPr>
                <w:rFonts w:ascii="Arial" w:eastAsia="Arial" w:hAnsi="Arial" w:cs="Arial"/>
                <w:color w:val="000000" w:themeColor="text1"/>
                <w:sz w:val="24"/>
                <w:szCs w:val="24"/>
              </w:rPr>
              <w:t xml:space="preserve"> </w:t>
            </w:r>
          </w:p>
        </w:tc>
        <w:tc>
          <w:tcPr>
            <w:tcW w:w="3120" w:type="dxa"/>
            <w:tcBorders>
              <w:top w:val="single" w:sz="4" w:space="0" w:color="auto"/>
              <w:left w:val="single" w:sz="4" w:space="0" w:color="auto"/>
              <w:bottom w:val="single" w:sz="4" w:space="0" w:color="auto"/>
              <w:right w:val="single" w:sz="4" w:space="0" w:color="auto"/>
            </w:tcBorders>
            <w:vAlign w:val="center"/>
          </w:tcPr>
          <w:p w14:paraId="10178EF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rPr>
              <w:t xml:space="preserve"> </w:t>
            </w:r>
          </w:p>
          <w:p w14:paraId="72D51F74" w14:textId="77777777" w:rsidR="002849EC" w:rsidRDefault="002849EC" w:rsidP="00C14EF5">
            <w:pPr>
              <w:spacing w:after="160"/>
              <w:jc w:val="center"/>
              <w:rPr>
                <w:rFonts w:ascii="Arial" w:eastAsia="Arial" w:hAnsi="Arial" w:cs="Arial"/>
                <w:color w:val="000000" w:themeColor="text1"/>
                <w:sz w:val="24"/>
                <w:szCs w:val="24"/>
              </w:rPr>
            </w:pPr>
            <w:r>
              <w:rPr>
                <w:noProof/>
              </w:rPr>
              <w:drawing>
                <wp:inline distT="0" distB="0" distL="0" distR="0" wp14:anchorId="7B86C3D8" wp14:editId="7C143E0F">
                  <wp:extent cx="1781175" cy="514350"/>
                  <wp:effectExtent l="0" t="0" r="0" b="0"/>
                  <wp:docPr id="21046716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671610" name="Picture 2104671610"/>
                          <pic:cNvPicPr/>
                        </pic:nvPicPr>
                        <pic:blipFill>
                          <a:blip r:embed="rId31">
                            <a:extLst>
                              <a:ext uri="{28A0092B-C50C-407E-A947-70E740481C1C}">
                                <a14:useLocalDpi xmlns:a14="http://schemas.microsoft.com/office/drawing/2010/main"/>
                              </a:ext>
                            </a:extLst>
                          </a:blip>
                          <a:stretch>
                            <a:fillRect/>
                          </a:stretch>
                        </pic:blipFill>
                        <pic:spPr>
                          <a:xfrm>
                            <a:off x="0" y="0"/>
                            <a:ext cx="1781175" cy="514350"/>
                          </a:xfrm>
                          <a:prstGeom prst="rect">
                            <a:avLst/>
                          </a:prstGeom>
                        </pic:spPr>
                      </pic:pic>
                    </a:graphicData>
                  </a:graphic>
                </wp:inline>
              </w:drawing>
            </w:r>
            <w:r w:rsidRPr="40AD52C2">
              <w:rPr>
                <w:rFonts w:ascii="Arial" w:eastAsia="Arial" w:hAnsi="Arial" w:cs="Arial"/>
                <w:color w:val="000000" w:themeColor="text1"/>
                <w:sz w:val="24"/>
                <w:szCs w:val="24"/>
              </w:rPr>
              <w:t xml:space="preserve"> </w:t>
            </w:r>
          </w:p>
        </w:tc>
      </w:tr>
    </w:tbl>
    <w:p w14:paraId="16DCF5B1"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rPr>
        <w:t xml:space="preserve"> </w:t>
      </w:r>
    </w:p>
    <w:p w14:paraId="35CA3EAC"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Así,</w:t>
      </w:r>
      <w:r w:rsidRPr="40AD52C2">
        <w:rPr>
          <w:rFonts w:ascii="Arial" w:eastAsia="Arial" w:hAnsi="Arial" w:cs="Arial"/>
          <w:sz w:val="24"/>
          <w:szCs w:val="24"/>
        </w:rPr>
        <w:t xml:space="preserve"> </w:t>
      </w:r>
    </w:p>
    <w:p w14:paraId="2AD32F3E" w14:textId="77777777" w:rsidR="002849EC" w:rsidRDefault="002849EC" w:rsidP="002849EC">
      <w:pPr>
        <w:spacing w:after="160"/>
        <w:jc w:val="both"/>
        <w:rPr>
          <w:rFonts w:ascii="Arial" w:eastAsia="Arial" w:hAnsi="Arial" w:cs="Arial"/>
          <w:sz w:val="24"/>
          <w:szCs w:val="24"/>
        </w:rPr>
      </w:pPr>
      <w:r>
        <w:rPr>
          <w:noProof/>
        </w:rPr>
        <w:drawing>
          <wp:inline distT="0" distB="0" distL="0" distR="0" wp14:anchorId="2F9DCABF" wp14:editId="5377E09F">
            <wp:extent cx="4425274" cy="538976"/>
            <wp:effectExtent l="0" t="0" r="0" b="0"/>
            <wp:docPr id="9665517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51712" name="Picture 966551712"/>
                    <pic:cNvPicPr/>
                  </pic:nvPicPr>
                  <pic:blipFill>
                    <a:blip r:embed="rId32">
                      <a:extLst>
                        <a:ext uri="{28A0092B-C50C-407E-A947-70E740481C1C}">
                          <a14:useLocalDpi xmlns:a14="http://schemas.microsoft.com/office/drawing/2010/main"/>
                        </a:ext>
                      </a:extLst>
                    </a:blip>
                    <a:stretch>
                      <a:fillRect/>
                    </a:stretch>
                  </pic:blipFill>
                  <pic:spPr>
                    <a:xfrm>
                      <a:off x="0" y="0"/>
                      <a:ext cx="4425274" cy="538976"/>
                    </a:xfrm>
                    <a:prstGeom prst="rect">
                      <a:avLst/>
                    </a:prstGeom>
                  </pic:spPr>
                </pic:pic>
              </a:graphicData>
            </a:graphic>
          </wp:inline>
        </w:drawing>
      </w:r>
      <w:r w:rsidRPr="40AD52C2">
        <w:rPr>
          <w:rFonts w:ascii="Arial" w:eastAsia="Arial" w:hAnsi="Arial" w:cs="Arial"/>
          <w:sz w:val="24"/>
          <w:szCs w:val="24"/>
        </w:rPr>
        <w:t xml:space="preserve"> </w:t>
      </w:r>
    </w:p>
    <w:p w14:paraId="02C82070"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 xml:space="preserve">Donde, </w:t>
      </w:r>
      <w:r w:rsidRPr="40AD52C2">
        <w:rPr>
          <w:rFonts w:ascii="Arial" w:eastAsia="Arial" w:hAnsi="Arial" w:cs="Arial"/>
          <w:sz w:val="24"/>
          <w:szCs w:val="24"/>
        </w:rPr>
        <w:t xml:space="preserve"> </w:t>
      </w:r>
    </w:p>
    <w:p w14:paraId="52912408" w14:textId="77777777" w:rsidR="002849EC" w:rsidRDefault="002849EC" w:rsidP="002849EC">
      <w:pPr>
        <w:spacing w:after="160"/>
        <w:jc w:val="both"/>
        <w:rPr>
          <w:rFonts w:ascii="Arial" w:eastAsia="Arial" w:hAnsi="Arial" w:cs="Arial"/>
          <w:sz w:val="24"/>
          <w:szCs w:val="24"/>
        </w:rPr>
      </w:pPr>
      <w:r>
        <w:rPr>
          <w:noProof/>
        </w:rPr>
        <w:drawing>
          <wp:inline distT="0" distB="0" distL="0" distR="0" wp14:anchorId="38F1086E" wp14:editId="11DD478B">
            <wp:extent cx="6372225" cy="828491"/>
            <wp:effectExtent l="0" t="0" r="0" b="0"/>
            <wp:docPr id="484022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2232" name="Picture 48402232"/>
                    <pic:cNvPicPr/>
                  </pic:nvPicPr>
                  <pic:blipFill>
                    <a:blip r:embed="rId33">
                      <a:extLst>
                        <a:ext uri="{28A0092B-C50C-407E-A947-70E740481C1C}">
                          <a14:useLocalDpi xmlns:a14="http://schemas.microsoft.com/office/drawing/2010/main"/>
                        </a:ext>
                      </a:extLst>
                    </a:blip>
                    <a:stretch>
                      <a:fillRect/>
                    </a:stretch>
                  </pic:blipFill>
                  <pic:spPr>
                    <a:xfrm>
                      <a:off x="0" y="0"/>
                      <a:ext cx="6372225" cy="828491"/>
                    </a:xfrm>
                    <a:prstGeom prst="rect">
                      <a:avLst/>
                    </a:prstGeom>
                  </pic:spPr>
                </pic:pic>
              </a:graphicData>
            </a:graphic>
          </wp:inline>
        </w:drawing>
      </w:r>
      <w:r w:rsidRPr="40AD52C2">
        <w:rPr>
          <w:rFonts w:ascii="Arial" w:eastAsia="Arial" w:hAnsi="Arial" w:cs="Arial"/>
          <w:sz w:val="24"/>
          <w:szCs w:val="24"/>
        </w:rPr>
        <w:t xml:space="preserve"> </w:t>
      </w:r>
    </w:p>
    <w:p w14:paraId="25201B5B"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Para el cálculo del Puntaje del Porcentaje de Participación de Usuarios Atendidos por un operador de Red (PPTU), se realiza la asignación de un valor de 1 a 5 asociado de forma directa a la posición del %PTU de un departamento específico dentro de un rango definido como se muestra a continuación:</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65"/>
        <w:gridCol w:w="4710"/>
      </w:tblGrid>
      <w:tr w:rsidR="002849EC" w14:paraId="6BCA852A"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5BC6315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Rango</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5D60F60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Puntuación (PPTU)</w:t>
            </w:r>
            <w:r w:rsidRPr="40AD52C2">
              <w:rPr>
                <w:rFonts w:ascii="Arial" w:eastAsia="Arial" w:hAnsi="Arial" w:cs="Arial"/>
                <w:color w:val="000000" w:themeColor="text1"/>
                <w:sz w:val="24"/>
                <w:szCs w:val="24"/>
              </w:rPr>
              <w:t xml:space="preserve"> </w:t>
            </w:r>
          </w:p>
        </w:tc>
      </w:tr>
      <w:tr w:rsidR="002849EC" w14:paraId="529E5BCB"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53637F5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5</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2B17FF0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5</w:t>
            </w:r>
            <w:r w:rsidRPr="40AD52C2">
              <w:rPr>
                <w:rFonts w:ascii="Arial" w:eastAsia="Arial" w:hAnsi="Arial" w:cs="Arial"/>
                <w:color w:val="000000" w:themeColor="text1"/>
                <w:sz w:val="24"/>
                <w:szCs w:val="24"/>
              </w:rPr>
              <w:t xml:space="preserve"> </w:t>
            </w:r>
          </w:p>
        </w:tc>
      </w:tr>
      <w:tr w:rsidR="002849EC" w14:paraId="0F8C7A62"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20346ED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4</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168BE2E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4</w:t>
            </w:r>
            <w:r w:rsidRPr="40AD52C2">
              <w:rPr>
                <w:rFonts w:ascii="Arial" w:eastAsia="Arial" w:hAnsi="Arial" w:cs="Arial"/>
                <w:color w:val="000000" w:themeColor="text1"/>
                <w:sz w:val="24"/>
                <w:szCs w:val="24"/>
              </w:rPr>
              <w:t xml:space="preserve"> </w:t>
            </w:r>
          </w:p>
        </w:tc>
      </w:tr>
      <w:tr w:rsidR="002849EC" w14:paraId="2BAFE521"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1B3FB98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3</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76BC2A4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3</w:t>
            </w:r>
            <w:r w:rsidRPr="40AD52C2">
              <w:rPr>
                <w:rFonts w:ascii="Arial" w:eastAsia="Arial" w:hAnsi="Arial" w:cs="Arial"/>
                <w:color w:val="000000" w:themeColor="text1"/>
                <w:sz w:val="24"/>
                <w:szCs w:val="24"/>
              </w:rPr>
              <w:t xml:space="preserve"> </w:t>
            </w:r>
          </w:p>
        </w:tc>
      </w:tr>
      <w:tr w:rsidR="002849EC" w14:paraId="377AB400"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15F5E0F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2</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14C3D2C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2</w:t>
            </w:r>
            <w:r w:rsidRPr="40AD52C2">
              <w:rPr>
                <w:rFonts w:ascii="Arial" w:eastAsia="Arial" w:hAnsi="Arial" w:cs="Arial"/>
                <w:color w:val="000000" w:themeColor="text1"/>
                <w:sz w:val="24"/>
                <w:szCs w:val="24"/>
              </w:rPr>
              <w:t xml:space="preserve"> </w:t>
            </w:r>
          </w:p>
        </w:tc>
      </w:tr>
      <w:tr w:rsidR="002849EC" w14:paraId="4F417C26"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7958404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1</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49A80E8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1</w:t>
            </w:r>
            <w:r w:rsidRPr="40AD52C2">
              <w:rPr>
                <w:rFonts w:ascii="Arial" w:eastAsia="Arial" w:hAnsi="Arial" w:cs="Arial"/>
                <w:color w:val="000000" w:themeColor="text1"/>
                <w:sz w:val="24"/>
                <w:szCs w:val="24"/>
              </w:rPr>
              <w:t xml:space="preserve"> </w:t>
            </w:r>
          </w:p>
        </w:tc>
      </w:tr>
    </w:tbl>
    <w:p w14:paraId="1E449F5D" w14:textId="77777777" w:rsidR="002849EC" w:rsidRDefault="002849EC" w:rsidP="002849EC">
      <w:pPr>
        <w:spacing w:after="160"/>
        <w:jc w:val="both"/>
        <w:rPr>
          <w:rFonts w:ascii="Arial" w:eastAsia="Arial" w:hAnsi="Arial" w:cs="Arial"/>
          <w:sz w:val="24"/>
          <w:szCs w:val="24"/>
          <w:lang w:val="es-MX"/>
        </w:rPr>
      </w:pPr>
    </w:p>
    <w:p w14:paraId="49A2794B"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lastRenderedPageBreak/>
        <w:t xml:space="preserve">Donde, </w:t>
      </w:r>
      <w:r w:rsidRPr="40AD52C2">
        <w:rPr>
          <w:rFonts w:ascii="Arial" w:eastAsia="Arial" w:hAnsi="Arial" w:cs="Arial"/>
          <w:sz w:val="24"/>
          <w:szCs w:val="24"/>
        </w:rPr>
        <w:t xml:space="preserve"> </w:t>
      </w:r>
    </w:p>
    <w:p w14:paraId="79140929" w14:textId="77777777" w:rsidR="002849EC" w:rsidRPr="00B67968" w:rsidRDefault="002849EC" w:rsidP="002849EC">
      <w:pPr>
        <w:spacing w:after="160"/>
        <w:jc w:val="both"/>
        <w:rPr>
          <w:rFonts w:ascii="Arial" w:eastAsia="Arial" w:hAnsi="Arial" w:cs="Arial"/>
          <w:sz w:val="24"/>
          <w:szCs w:val="24"/>
          <w:lang w:val="pt-PT"/>
        </w:rPr>
      </w:pPr>
      <w:r w:rsidRPr="00B67968">
        <w:rPr>
          <w:rFonts w:ascii="Arial" w:eastAsia="Arial" w:hAnsi="Arial" w:cs="Arial"/>
          <w:sz w:val="24"/>
          <w:szCs w:val="24"/>
          <w:lang w:val="pt-PT"/>
        </w:rPr>
        <w:t xml:space="preserve">Rango 1 &lt; Rango 2 &lt; Rango 3 &lt; Rango 4 &lt; Rango 5 </w:t>
      </w:r>
    </w:p>
    <w:p w14:paraId="10B05EB6"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Es decir que, un puntaje más alto representa una mayor participación de usuarios dentro de un departamento.</w:t>
      </w:r>
      <w:r w:rsidRPr="40AD52C2">
        <w:rPr>
          <w:rFonts w:ascii="Arial" w:eastAsia="Arial" w:hAnsi="Arial" w:cs="Arial"/>
          <w:sz w:val="24"/>
          <w:szCs w:val="24"/>
        </w:rPr>
        <w:t xml:space="preserve"> </w:t>
      </w:r>
    </w:p>
    <w:p w14:paraId="7FBB8048" w14:textId="77777777" w:rsidR="00A75A6F" w:rsidRDefault="002849EC" w:rsidP="00A75A6F">
      <w:pPr>
        <w:tabs>
          <w:tab w:val="left" w:pos="4474"/>
        </w:tabs>
        <w:spacing w:after="0"/>
        <w:jc w:val="both"/>
        <w:rPr>
          <w:rFonts w:ascii="Arial" w:eastAsia="Arial" w:hAnsi="Arial" w:cs="Arial"/>
          <w:b/>
          <w:bCs/>
          <w:sz w:val="24"/>
          <w:szCs w:val="24"/>
        </w:rPr>
      </w:pPr>
      <w:r w:rsidRPr="00A75A6F">
        <w:rPr>
          <w:rFonts w:ascii="Arial" w:eastAsia="Arial" w:hAnsi="Arial" w:cs="Arial"/>
          <w:b/>
          <w:bCs/>
          <w:sz w:val="24"/>
          <w:szCs w:val="24"/>
        </w:rPr>
        <w:t>Horas Solares Pico (HSP)</w:t>
      </w:r>
    </w:p>
    <w:p w14:paraId="5A874FFE" w14:textId="19702EAE" w:rsidR="002849EC" w:rsidRPr="00A75A6F" w:rsidRDefault="002849EC" w:rsidP="00A75A6F">
      <w:pPr>
        <w:tabs>
          <w:tab w:val="left" w:pos="4474"/>
        </w:tabs>
        <w:spacing w:after="0"/>
        <w:jc w:val="both"/>
        <w:rPr>
          <w:rFonts w:ascii="Arial" w:eastAsia="Arial" w:hAnsi="Arial" w:cs="Arial"/>
          <w:b/>
          <w:bCs/>
          <w:sz w:val="24"/>
          <w:szCs w:val="24"/>
        </w:rPr>
      </w:pPr>
      <w:r w:rsidRPr="00A75A6F">
        <w:rPr>
          <w:rFonts w:ascii="Arial" w:eastAsia="Arial" w:hAnsi="Arial" w:cs="Arial"/>
          <w:b/>
          <w:bCs/>
          <w:sz w:val="24"/>
          <w:szCs w:val="24"/>
        </w:rPr>
        <w:t xml:space="preserve"> </w:t>
      </w:r>
    </w:p>
    <w:p w14:paraId="1414A129"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 xml:space="preserve">Valor que mide las horas en el día durante las cuales se percibe un mínimo de radiación solar (1000W/m2) en un lugar específico, permitiendo una estimación de producción de energía a partir de un SSFV específico. Su valor se expresa en términos de horas y se obtiene a partir de los datos publicados por el Instituto de Hidrología, Meteorología y Estudios Ambientales (IDEAM) y la Unidad de Planeación Minero-Energética (UPME).  </w:t>
      </w:r>
      <w:r w:rsidRPr="40AD52C2">
        <w:rPr>
          <w:rFonts w:ascii="Arial" w:eastAsia="Arial" w:hAnsi="Arial" w:cs="Arial"/>
          <w:sz w:val="24"/>
          <w:szCs w:val="24"/>
        </w:rPr>
        <w:t xml:space="preserve"> </w:t>
      </w:r>
    </w:p>
    <w:p w14:paraId="76776C38"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Para el cálculo del Puntaje del criterio de Horas solares Pico (PHSP), se realiza la asignación de un valor de 1 a 5 asociado de forma directa a la posición del HSP de un departamento específico dentro de un rango definido como se muestra a continuación:</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65"/>
        <w:gridCol w:w="4710"/>
      </w:tblGrid>
      <w:tr w:rsidR="002849EC" w14:paraId="206F8C2C"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5E7FA7B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Rango</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6252E03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Puntuación (PHSP)</w:t>
            </w:r>
            <w:r w:rsidRPr="40AD52C2">
              <w:rPr>
                <w:rFonts w:ascii="Arial" w:eastAsia="Arial" w:hAnsi="Arial" w:cs="Arial"/>
                <w:color w:val="000000" w:themeColor="text1"/>
                <w:sz w:val="24"/>
                <w:szCs w:val="24"/>
              </w:rPr>
              <w:t xml:space="preserve"> </w:t>
            </w:r>
          </w:p>
        </w:tc>
      </w:tr>
      <w:tr w:rsidR="002849EC" w14:paraId="6B8C5500"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72613BB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5</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173BC8A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5</w:t>
            </w:r>
            <w:r w:rsidRPr="40AD52C2">
              <w:rPr>
                <w:rFonts w:ascii="Arial" w:eastAsia="Arial" w:hAnsi="Arial" w:cs="Arial"/>
                <w:color w:val="000000" w:themeColor="text1"/>
                <w:sz w:val="24"/>
                <w:szCs w:val="24"/>
              </w:rPr>
              <w:t xml:space="preserve"> </w:t>
            </w:r>
          </w:p>
        </w:tc>
      </w:tr>
      <w:tr w:rsidR="002849EC" w14:paraId="3E5C75BB"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01A5C7A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4</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4FE925D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4</w:t>
            </w:r>
            <w:r w:rsidRPr="40AD52C2">
              <w:rPr>
                <w:rFonts w:ascii="Arial" w:eastAsia="Arial" w:hAnsi="Arial" w:cs="Arial"/>
                <w:color w:val="000000" w:themeColor="text1"/>
                <w:sz w:val="24"/>
                <w:szCs w:val="24"/>
              </w:rPr>
              <w:t xml:space="preserve"> </w:t>
            </w:r>
          </w:p>
        </w:tc>
      </w:tr>
      <w:tr w:rsidR="002849EC" w14:paraId="7FC77B21"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7C1D4BB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3</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0AEEA1F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3</w:t>
            </w:r>
            <w:r w:rsidRPr="40AD52C2">
              <w:rPr>
                <w:rFonts w:ascii="Arial" w:eastAsia="Arial" w:hAnsi="Arial" w:cs="Arial"/>
                <w:color w:val="000000" w:themeColor="text1"/>
                <w:sz w:val="24"/>
                <w:szCs w:val="24"/>
              </w:rPr>
              <w:t xml:space="preserve"> </w:t>
            </w:r>
          </w:p>
        </w:tc>
      </w:tr>
      <w:tr w:rsidR="002849EC" w14:paraId="6F40D3CD"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22CBA65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2</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79B9FD8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2</w:t>
            </w:r>
            <w:r w:rsidRPr="40AD52C2">
              <w:rPr>
                <w:rFonts w:ascii="Arial" w:eastAsia="Arial" w:hAnsi="Arial" w:cs="Arial"/>
                <w:color w:val="000000" w:themeColor="text1"/>
                <w:sz w:val="24"/>
                <w:szCs w:val="24"/>
              </w:rPr>
              <w:t xml:space="preserve"> </w:t>
            </w:r>
          </w:p>
        </w:tc>
      </w:tr>
      <w:tr w:rsidR="002849EC" w14:paraId="7EADE790"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250A47B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Rango 1</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166D6AF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1</w:t>
            </w:r>
            <w:r w:rsidRPr="40AD52C2">
              <w:rPr>
                <w:rFonts w:ascii="Arial" w:eastAsia="Arial" w:hAnsi="Arial" w:cs="Arial"/>
                <w:color w:val="000000" w:themeColor="text1"/>
                <w:sz w:val="24"/>
                <w:szCs w:val="24"/>
              </w:rPr>
              <w:t xml:space="preserve"> </w:t>
            </w:r>
          </w:p>
        </w:tc>
      </w:tr>
    </w:tbl>
    <w:p w14:paraId="70996AFB" w14:textId="77777777" w:rsidR="002849EC" w:rsidRDefault="002849EC" w:rsidP="002849EC">
      <w:pPr>
        <w:spacing w:after="160"/>
        <w:jc w:val="both"/>
        <w:rPr>
          <w:rFonts w:ascii="Arial" w:eastAsia="Arial" w:hAnsi="Arial" w:cs="Arial"/>
          <w:sz w:val="24"/>
          <w:szCs w:val="24"/>
          <w:lang w:val="es-MX"/>
        </w:rPr>
      </w:pPr>
    </w:p>
    <w:p w14:paraId="419FA96B" w14:textId="2309CB75"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Donde</w:t>
      </w:r>
      <w:r w:rsidR="00A75A6F">
        <w:rPr>
          <w:rFonts w:ascii="Arial" w:eastAsia="Arial" w:hAnsi="Arial" w:cs="Arial"/>
          <w:sz w:val="24"/>
          <w:szCs w:val="24"/>
          <w:lang w:val="es-MX"/>
        </w:rPr>
        <w:t>:</w:t>
      </w:r>
      <w:r w:rsidRPr="40AD52C2">
        <w:rPr>
          <w:rFonts w:ascii="Arial" w:eastAsia="Arial" w:hAnsi="Arial" w:cs="Arial"/>
          <w:sz w:val="24"/>
          <w:szCs w:val="24"/>
        </w:rPr>
        <w:t xml:space="preserve"> </w:t>
      </w:r>
    </w:p>
    <w:p w14:paraId="25334B62" w14:textId="77777777" w:rsidR="002849EC" w:rsidRPr="00B67968" w:rsidRDefault="002849EC" w:rsidP="002849EC">
      <w:pPr>
        <w:spacing w:after="160"/>
        <w:jc w:val="both"/>
        <w:rPr>
          <w:rFonts w:ascii="Arial" w:eastAsia="Arial" w:hAnsi="Arial" w:cs="Arial"/>
          <w:sz w:val="24"/>
          <w:szCs w:val="24"/>
          <w:lang w:val="pt-PT"/>
        </w:rPr>
      </w:pPr>
      <w:r w:rsidRPr="00B67968">
        <w:rPr>
          <w:rFonts w:ascii="Arial" w:eastAsia="Arial" w:hAnsi="Arial" w:cs="Arial"/>
          <w:sz w:val="24"/>
          <w:szCs w:val="24"/>
          <w:lang w:val="pt-PT"/>
        </w:rPr>
        <w:t xml:space="preserve">Rango 1 &lt; Rango 2 &lt; Rango 3 &lt; Rango 4 &lt; Rango 5 </w:t>
      </w:r>
    </w:p>
    <w:p w14:paraId="1A20DE5E" w14:textId="77777777" w:rsidR="00A75A6F" w:rsidRDefault="002849EC" w:rsidP="00A75A6F">
      <w:pPr>
        <w:spacing w:after="0"/>
        <w:jc w:val="both"/>
        <w:rPr>
          <w:rFonts w:ascii="Arial" w:eastAsia="Arial" w:hAnsi="Arial" w:cs="Arial"/>
          <w:sz w:val="24"/>
          <w:szCs w:val="24"/>
          <w:lang w:val="es-MX"/>
        </w:rPr>
      </w:pPr>
      <w:r w:rsidRPr="40AD52C2">
        <w:rPr>
          <w:rFonts w:ascii="Arial" w:eastAsia="Arial" w:hAnsi="Arial" w:cs="Arial"/>
          <w:sz w:val="24"/>
          <w:szCs w:val="24"/>
          <w:lang w:val="es-MX"/>
        </w:rPr>
        <w:t>Es decir que, un puntaje más alto representa, más horas diarias solares cuyo aprovechamiento implica una mayor producción de energía eléctrica.</w:t>
      </w:r>
    </w:p>
    <w:p w14:paraId="3BDFBC74" w14:textId="1ADFE354" w:rsidR="002849EC" w:rsidRDefault="002849EC" w:rsidP="00A75A6F">
      <w:pPr>
        <w:spacing w:after="0"/>
        <w:jc w:val="both"/>
        <w:rPr>
          <w:rFonts w:ascii="Arial" w:eastAsia="Arial" w:hAnsi="Arial" w:cs="Arial"/>
          <w:sz w:val="24"/>
          <w:szCs w:val="24"/>
        </w:rPr>
      </w:pPr>
      <w:r w:rsidRPr="40AD52C2">
        <w:rPr>
          <w:rFonts w:ascii="Arial" w:eastAsia="Arial" w:hAnsi="Arial" w:cs="Arial"/>
          <w:sz w:val="24"/>
          <w:szCs w:val="24"/>
          <w:lang w:val="es-MX"/>
        </w:rPr>
        <w:t xml:space="preserve"> </w:t>
      </w:r>
      <w:r w:rsidRPr="40AD52C2">
        <w:rPr>
          <w:rFonts w:ascii="Arial" w:eastAsia="Arial" w:hAnsi="Arial" w:cs="Arial"/>
          <w:sz w:val="24"/>
          <w:szCs w:val="24"/>
        </w:rPr>
        <w:t xml:space="preserve"> </w:t>
      </w:r>
    </w:p>
    <w:p w14:paraId="64D12C17" w14:textId="77777777" w:rsidR="002849EC" w:rsidRDefault="002849EC" w:rsidP="00A75A6F">
      <w:pPr>
        <w:tabs>
          <w:tab w:val="left" w:pos="4474"/>
        </w:tabs>
        <w:spacing w:after="0"/>
        <w:jc w:val="both"/>
        <w:rPr>
          <w:rFonts w:ascii="Arial" w:eastAsia="Arial" w:hAnsi="Arial" w:cs="Arial"/>
          <w:b/>
          <w:bCs/>
          <w:sz w:val="24"/>
          <w:szCs w:val="24"/>
        </w:rPr>
      </w:pPr>
      <w:r w:rsidRPr="00A75A6F">
        <w:rPr>
          <w:rFonts w:ascii="Arial" w:eastAsia="Arial" w:hAnsi="Arial" w:cs="Arial"/>
          <w:b/>
          <w:bCs/>
          <w:sz w:val="24"/>
          <w:szCs w:val="24"/>
        </w:rPr>
        <w:t xml:space="preserve">Peso de Criterios </w:t>
      </w:r>
    </w:p>
    <w:p w14:paraId="5F38A35C" w14:textId="77777777" w:rsidR="00A75A6F" w:rsidRPr="00A75A6F" w:rsidRDefault="00A75A6F" w:rsidP="00A75A6F">
      <w:pPr>
        <w:tabs>
          <w:tab w:val="left" w:pos="4474"/>
        </w:tabs>
        <w:spacing w:after="0"/>
        <w:jc w:val="both"/>
        <w:rPr>
          <w:rFonts w:ascii="Arial" w:eastAsia="Arial" w:hAnsi="Arial" w:cs="Arial"/>
          <w:b/>
          <w:bCs/>
          <w:sz w:val="24"/>
          <w:szCs w:val="24"/>
        </w:rPr>
      </w:pPr>
    </w:p>
    <w:p w14:paraId="47954D5D"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Se asignaron unos pesos porcentuales para cada criterio con el fin evaluar y definir un valor ponderado para cada departamento:</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65"/>
        <w:gridCol w:w="4710"/>
      </w:tblGrid>
      <w:tr w:rsidR="002849EC" w14:paraId="19465292"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45C5CEE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CRITERIO</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509FB09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PESO PORCENTUAL</w:t>
            </w:r>
            <w:r w:rsidRPr="40AD52C2">
              <w:rPr>
                <w:rFonts w:ascii="Arial" w:eastAsia="Arial" w:hAnsi="Arial" w:cs="Arial"/>
                <w:color w:val="000000" w:themeColor="text1"/>
                <w:sz w:val="24"/>
                <w:szCs w:val="24"/>
              </w:rPr>
              <w:t xml:space="preserve"> </w:t>
            </w:r>
          </w:p>
        </w:tc>
      </w:tr>
      <w:tr w:rsidR="002849EC" w14:paraId="7AA17FC8"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39DA69F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IPM</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0B208BD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ΔIPM</w:t>
            </w:r>
            <w:r w:rsidRPr="40AD52C2">
              <w:rPr>
                <w:rFonts w:ascii="Arial" w:eastAsia="Arial" w:hAnsi="Arial" w:cs="Arial"/>
                <w:color w:val="000000" w:themeColor="text1"/>
                <w:sz w:val="24"/>
                <w:szCs w:val="24"/>
              </w:rPr>
              <w:t xml:space="preserve"> </w:t>
            </w:r>
          </w:p>
        </w:tc>
      </w:tr>
      <w:tr w:rsidR="002849EC" w14:paraId="50C741C3"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20B0233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IPEM</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20434BF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ΔIPEM</w:t>
            </w:r>
            <w:r w:rsidRPr="40AD52C2">
              <w:rPr>
                <w:rFonts w:ascii="Arial" w:eastAsia="Arial" w:hAnsi="Arial" w:cs="Arial"/>
                <w:color w:val="000000" w:themeColor="text1"/>
                <w:sz w:val="24"/>
                <w:szCs w:val="24"/>
              </w:rPr>
              <w:t xml:space="preserve"> </w:t>
            </w:r>
          </w:p>
        </w:tc>
      </w:tr>
      <w:tr w:rsidR="002849EC" w14:paraId="7E29C3E0"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0732C4A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CU</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41AF53A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ΔCU</w:t>
            </w:r>
            <w:r w:rsidRPr="40AD52C2">
              <w:rPr>
                <w:rFonts w:ascii="Arial" w:eastAsia="Arial" w:hAnsi="Arial" w:cs="Arial"/>
                <w:color w:val="000000" w:themeColor="text1"/>
                <w:sz w:val="24"/>
                <w:szCs w:val="24"/>
              </w:rPr>
              <w:t xml:space="preserve"> </w:t>
            </w:r>
          </w:p>
        </w:tc>
      </w:tr>
      <w:tr w:rsidR="002849EC" w14:paraId="06698EE6"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234C52C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HSP</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42104D1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Δ%PTU</w:t>
            </w:r>
            <w:r w:rsidRPr="40AD52C2">
              <w:rPr>
                <w:rFonts w:ascii="Arial" w:eastAsia="Arial" w:hAnsi="Arial" w:cs="Arial"/>
                <w:color w:val="000000" w:themeColor="text1"/>
                <w:sz w:val="24"/>
                <w:szCs w:val="24"/>
              </w:rPr>
              <w:t xml:space="preserve"> </w:t>
            </w:r>
          </w:p>
        </w:tc>
      </w:tr>
      <w:tr w:rsidR="002849EC" w14:paraId="043F6840" w14:textId="77777777" w:rsidTr="00C14EF5">
        <w:trPr>
          <w:trHeight w:val="285"/>
        </w:trPr>
        <w:tc>
          <w:tcPr>
            <w:tcW w:w="4665" w:type="dxa"/>
            <w:tcBorders>
              <w:top w:val="single" w:sz="4" w:space="0" w:color="auto"/>
              <w:left w:val="single" w:sz="4" w:space="0" w:color="auto"/>
              <w:bottom w:val="single" w:sz="4" w:space="0" w:color="auto"/>
              <w:right w:val="single" w:sz="4" w:space="0" w:color="auto"/>
            </w:tcBorders>
            <w:vAlign w:val="center"/>
          </w:tcPr>
          <w:p w14:paraId="1A9BBB7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%PTU</w:t>
            </w:r>
            <w:r w:rsidRPr="40AD52C2">
              <w:rPr>
                <w:rFonts w:ascii="Arial" w:eastAsia="Arial" w:hAnsi="Arial" w:cs="Arial"/>
                <w:color w:val="000000" w:themeColor="text1"/>
                <w:sz w:val="24"/>
                <w:szCs w:val="24"/>
              </w:rPr>
              <w:t xml:space="preserve"> </w:t>
            </w:r>
          </w:p>
        </w:tc>
        <w:tc>
          <w:tcPr>
            <w:tcW w:w="4710" w:type="dxa"/>
            <w:tcBorders>
              <w:top w:val="single" w:sz="4" w:space="0" w:color="auto"/>
              <w:left w:val="single" w:sz="4" w:space="0" w:color="auto"/>
              <w:bottom w:val="single" w:sz="4" w:space="0" w:color="auto"/>
              <w:right w:val="single" w:sz="4" w:space="0" w:color="auto"/>
            </w:tcBorders>
            <w:vAlign w:val="center"/>
          </w:tcPr>
          <w:p w14:paraId="63746B25"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ΔHSP</w:t>
            </w:r>
            <w:r w:rsidRPr="40AD52C2">
              <w:rPr>
                <w:rFonts w:ascii="Arial" w:eastAsia="Arial" w:hAnsi="Arial" w:cs="Arial"/>
                <w:color w:val="000000" w:themeColor="text1"/>
                <w:sz w:val="24"/>
                <w:szCs w:val="24"/>
              </w:rPr>
              <w:t xml:space="preserve"> </w:t>
            </w:r>
          </w:p>
        </w:tc>
      </w:tr>
    </w:tbl>
    <w:p w14:paraId="0F8F11C1" w14:textId="77777777" w:rsidR="002849EC" w:rsidRDefault="002849EC" w:rsidP="002849EC">
      <w:pPr>
        <w:spacing w:after="160"/>
        <w:jc w:val="both"/>
        <w:rPr>
          <w:rFonts w:ascii="Arial" w:eastAsia="Arial" w:hAnsi="Arial" w:cs="Arial"/>
          <w:sz w:val="24"/>
          <w:szCs w:val="24"/>
          <w:lang w:val="es-MX"/>
        </w:rPr>
      </w:pPr>
    </w:p>
    <w:p w14:paraId="7EA8DCEB"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lastRenderedPageBreak/>
        <w:t xml:space="preserve">Cada uno de los pesos se encuentran definidos a través de una evaluación integral, verificando la relevancia de cada criterio comparado con los demás dentro del proceso de focalización, considerando aspectos como la equidad social, el acceso y la calidad del servicio eléctrico, el costo de la energía, la cobertura actual de energía, parámetros técnicos que permitan la aplicación eficiente de las soluciones o sistemas solares y demás que permitan la distribución adecuada de los recursos del programa Colombia Solar. </w:t>
      </w:r>
      <w:r w:rsidRPr="40AD52C2">
        <w:rPr>
          <w:rFonts w:ascii="Arial" w:eastAsia="Arial" w:hAnsi="Arial" w:cs="Arial"/>
          <w:sz w:val="24"/>
          <w:szCs w:val="24"/>
        </w:rPr>
        <w:t xml:space="preserve"> </w:t>
      </w:r>
    </w:p>
    <w:p w14:paraId="2F303256"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 xml:space="preserve">El resultado entregado posterior a la aplicación de la fórmula de Focalización se traduce en la siguiente tabla de consolidación de resultados: </w:t>
      </w:r>
      <w:r w:rsidRPr="40AD52C2">
        <w:rPr>
          <w:rFonts w:ascii="Arial" w:eastAsia="Arial" w:hAnsi="Arial" w:cs="Arial"/>
          <w:sz w:val="24"/>
          <w:szCs w:val="24"/>
        </w:rP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90"/>
        <w:gridCol w:w="1110"/>
        <w:gridCol w:w="1110"/>
        <w:gridCol w:w="1110"/>
        <w:gridCol w:w="1110"/>
        <w:gridCol w:w="1110"/>
        <w:gridCol w:w="1110"/>
      </w:tblGrid>
      <w:tr w:rsidR="002849EC" w14:paraId="23ED020C" w14:textId="77777777" w:rsidTr="00C14EF5">
        <w:trPr>
          <w:trHeight w:val="285"/>
        </w:trPr>
        <w:tc>
          <w:tcPr>
            <w:tcW w:w="1890" w:type="dxa"/>
            <w:tcBorders>
              <w:top w:val="single" w:sz="4" w:space="0" w:color="auto"/>
              <w:left w:val="single" w:sz="4" w:space="0" w:color="auto"/>
              <w:bottom w:val="single" w:sz="4" w:space="0" w:color="auto"/>
              <w:right w:val="single" w:sz="4" w:space="0" w:color="auto"/>
            </w:tcBorders>
            <w:vAlign w:val="center"/>
          </w:tcPr>
          <w:p w14:paraId="6707D69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Departamento (DPTO)</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2C07EC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PIPM</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1DCB7D6B"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PIPEM</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22973A6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PCU</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1EA854A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PHSP</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AC4D00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PTD</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2B6D875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b/>
                <w:bCs/>
                <w:color w:val="000000" w:themeColor="text1"/>
                <w:sz w:val="24"/>
                <w:szCs w:val="24"/>
                <w:lang w:val="es-MX"/>
              </w:rPr>
              <w:t>ΦPTD</w:t>
            </w:r>
            <w:r w:rsidRPr="40AD52C2">
              <w:rPr>
                <w:rFonts w:ascii="Arial" w:eastAsia="Arial" w:hAnsi="Arial" w:cs="Arial"/>
                <w:color w:val="000000" w:themeColor="text1"/>
                <w:sz w:val="24"/>
                <w:szCs w:val="24"/>
              </w:rPr>
              <w:t xml:space="preserve"> </w:t>
            </w:r>
          </w:p>
        </w:tc>
      </w:tr>
      <w:tr w:rsidR="002849EC" w14:paraId="3A9BD5F9" w14:textId="77777777" w:rsidTr="00C14EF5">
        <w:trPr>
          <w:trHeight w:val="285"/>
        </w:trPr>
        <w:tc>
          <w:tcPr>
            <w:tcW w:w="1890" w:type="dxa"/>
            <w:tcBorders>
              <w:top w:val="single" w:sz="4" w:space="0" w:color="auto"/>
              <w:left w:val="single" w:sz="4" w:space="0" w:color="auto"/>
              <w:bottom w:val="single" w:sz="4" w:space="0" w:color="auto"/>
              <w:right w:val="single" w:sz="4" w:space="0" w:color="auto"/>
            </w:tcBorders>
            <w:vAlign w:val="center"/>
          </w:tcPr>
          <w:p w14:paraId="5674551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DPTO 1</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47F1E95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PIPM</w:t>
            </w:r>
            <w:r w:rsidRPr="40AD52C2">
              <w:rPr>
                <w:rFonts w:ascii="Arial" w:eastAsia="Arial" w:hAnsi="Arial" w:cs="Arial"/>
                <w:color w:val="000000" w:themeColor="text1"/>
                <w:sz w:val="24"/>
                <w:szCs w:val="24"/>
                <w:vertAlign w:val="subscript"/>
                <w:lang w:val="es-MX"/>
              </w:rPr>
              <w:t>1</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2691841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PIPEM</w:t>
            </w:r>
            <w:r w:rsidRPr="40AD52C2">
              <w:rPr>
                <w:rFonts w:ascii="Arial" w:eastAsia="Arial" w:hAnsi="Arial" w:cs="Arial"/>
                <w:color w:val="000000" w:themeColor="text1"/>
                <w:sz w:val="24"/>
                <w:szCs w:val="24"/>
                <w:vertAlign w:val="subscript"/>
                <w:lang w:val="es-MX"/>
              </w:rPr>
              <w:t>1</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785969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PCU</w:t>
            </w:r>
            <w:r w:rsidRPr="40AD52C2">
              <w:rPr>
                <w:rFonts w:ascii="Arial" w:eastAsia="Arial" w:hAnsi="Arial" w:cs="Arial"/>
                <w:color w:val="000000" w:themeColor="text1"/>
                <w:sz w:val="24"/>
                <w:szCs w:val="24"/>
                <w:vertAlign w:val="subscript"/>
                <w:lang w:val="es-MX"/>
              </w:rPr>
              <w:t>1</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1AEEDABA"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PHSP</w:t>
            </w:r>
            <w:r w:rsidRPr="40AD52C2">
              <w:rPr>
                <w:rFonts w:ascii="Arial" w:eastAsia="Arial" w:hAnsi="Arial" w:cs="Arial"/>
                <w:color w:val="000000" w:themeColor="text1"/>
                <w:sz w:val="24"/>
                <w:szCs w:val="24"/>
                <w:vertAlign w:val="subscript"/>
                <w:lang w:val="es-MX"/>
              </w:rPr>
              <w:t>1</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5849CA1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PTD</w:t>
            </w:r>
            <w:r w:rsidRPr="40AD52C2">
              <w:rPr>
                <w:rFonts w:ascii="Arial" w:eastAsia="Arial" w:hAnsi="Arial" w:cs="Arial"/>
                <w:color w:val="000000" w:themeColor="text1"/>
                <w:sz w:val="24"/>
                <w:szCs w:val="24"/>
                <w:vertAlign w:val="subscript"/>
                <w:lang w:val="es-MX"/>
              </w:rPr>
              <w:t>1</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21D9C65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ΦPTD</w:t>
            </w:r>
            <w:r w:rsidRPr="40AD52C2">
              <w:rPr>
                <w:rFonts w:ascii="Arial" w:eastAsia="Arial" w:hAnsi="Arial" w:cs="Arial"/>
                <w:color w:val="000000" w:themeColor="text1"/>
                <w:sz w:val="24"/>
                <w:szCs w:val="24"/>
                <w:vertAlign w:val="subscript"/>
                <w:lang w:val="es-MX"/>
              </w:rPr>
              <w:t>1</w:t>
            </w:r>
            <w:r w:rsidRPr="40AD52C2">
              <w:rPr>
                <w:rFonts w:ascii="Arial" w:eastAsia="Arial" w:hAnsi="Arial" w:cs="Arial"/>
                <w:color w:val="000000" w:themeColor="text1"/>
                <w:sz w:val="24"/>
                <w:szCs w:val="24"/>
              </w:rPr>
              <w:t xml:space="preserve"> </w:t>
            </w:r>
          </w:p>
        </w:tc>
      </w:tr>
      <w:tr w:rsidR="002849EC" w14:paraId="6E858BE9" w14:textId="77777777" w:rsidTr="00C14EF5">
        <w:trPr>
          <w:trHeight w:val="285"/>
        </w:trPr>
        <w:tc>
          <w:tcPr>
            <w:tcW w:w="1890" w:type="dxa"/>
            <w:tcBorders>
              <w:top w:val="single" w:sz="4" w:space="0" w:color="auto"/>
              <w:left w:val="single" w:sz="4" w:space="0" w:color="auto"/>
              <w:bottom w:val="single" w:sz="4" w:space="0" w:color="auto"/>
              <w:right w:val="single" w:sz="4" w:space="0" w:color="auto"/>
            </w:tcBorders>
            <w:vAlign w:val="center"/>
          </w:tcPr>
          <w:p w14:paraId="076C726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DPTO 2</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666E5F3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PIPM</w:t>
            </w:r>
            <w:r w:rsidRPr="40AD52C2">
              <w:rPr>
                <w:rFonts w:ascii="Arial" w:eastAsia="Arial" w:hAnsi="Arial" w:cs="Arial"/>
                <w:color w:val="000000" w:themeColor="text1"/>
                <w:sz w:val="24"/>
                <w:szCs w:val="24"/>
                <w:vertAlign w:val="subscript"/>
                <w:lang w:val="es-MX"/>
              </w:rPr>
              <w:t>2</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347B3D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PIPEM</w:t>
            </w:r>
            <w:r w:rsidRPr="40AD52C2">
              <w:rPr>
                <w:rFonts w:ascii="Arial" w:eastAsia="Arial" w:hAnsi="Arial" w:cs="Arial"/>
                <w:color w:val="000000" w:themeColor="text1"/>
                <w:sz w:val="24"/>
                <w:szCs w:val="24"/>
                <w:vertAlign w:val="subscript"/>
                <w:lang w:val="es-MX"/>
              </w:rPr>
              <w:t>2</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60CB50C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PCU</w:t>
            </w:r>
            <w:r w:rsidRPr="40AD52C2">
              <w:rPr>
                <w:rFonts w:ascii="Arial" w:eastAsia="Arial" w:hAnsi="Arial" w:cs="Arial"/>
                <w:color w:val="000000" w:themeColor="text1"/>
                <w:sz w:val="24"/>
                <w:szCs w:val="24"/>
                <w:vertAlign w:val="subscript"/>
                <w:lang w:val="es-MX"/>
              </w:rPr>
              <w:t>2</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72E64D3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PHSP</w:t>
            </w:r>
            <w:r w:rsidRPr="40AD52C2">
              <w:rPr>
                <w:rFonts w:ascii="Arial" w:eastAsia="Arial" w:hAnsi="Arial" w:cs="Arial"/>
                <w:color w:val="000000" w:themeColor="text1"/>
                <w:sz w:val="24"/>
                <w:szCs w:val="24"/>
                <w:vertAlign w:val="subscript"/>
                <w:lang w:val="es-MX"/>
              </w:rPr>
              <w:t>2</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082DF56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PTD</w:t>
            </w:r>
            <w:r w:rsidRPr="40AD52C2">
              <w:rPr>
                <w:rFonts w:ascii="Arial" w:eastAsia="Arial" w:hAnsi="Arial" w:cs="Arial"/>
                <w:color w:val="000000" w:themeColor="text1"/>
                <w:sz w:val="24"/>
                <w:szCs w:val="24"/>
                <w:vertAlign w:val="subscript"/>
                <w:lang w:val="es-MX"/>
              </w:rPr>
              <w:t>2</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662D2F8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ΦPTD</w:t>
            </w:r>
            <w:r w:rsidRPr="40AD52C2">
              <w:rPr>
                <w:rFonts w:ascii="Arial" w:eastAsia="Arial" w:hAnsi="Arial" w:cs="Arial"/>
                <w:color w:val="000000" w:themeColor="text1"/>
                <w:sz w:val="24"/>
                <w:szCs w:val="24"/>
                <w:vertAlign w:val="subscript"/>
                <w:lang w:val="es-MX"/>
              </w:rPr>
              <w:t>2</w:t>
            </w:r>
            <w:r w:rsidRPr="40AD52C2">
              <w:rPr>
                <w:rFonts w:ascii="Arial" w:eastAsia="Arial" w:hAnsi="Arial" w:cs="Arial"/>
                <w:color w:val="000000" w:themeColor="text1"/>
                <w:sz w:val="24"/>
                <w:szCs w:val="24"/>
              </w:rPr>
              <w:t xml:space="preserve"> </w:t>
            </w:r>
          </w:p>
        </w:tc>
      </w:tr>
      <w:tr w:rsidR="002849EC" w14:paraId="2ABA3AE0" w14:textId="77777777" w:rsidTr="00C14EF5">
        <w:trPr>
          <w:trHeight w:val="285"/>
        </w:trPr>
        <w:tc>
          <w:tcPr>
            <w:tcW w:w="1890" w:type="dxa"/>
            <w:tcBorders>
              <w:top w:val="single" w:sz="4" w:space="0" w:color="auto"/>
              <w:left w:val="single" w:sz="4" w:space="0" w:color="auto"/>
              <w:bottom w:val="single" w:sz="4" w:space="0" w:color="auto"/>
              <w:right w:val="single" w:sz="4" w:space="0" w:color="auto"/>
            </w:tcBorders>
            <w:vAlign w:val="center"/>
          </w:tcPr>
          <w:p w14:paraId="14554E20"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27A2EB6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302EB194"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0A5F53B6"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061B118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577C72E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5C50383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0C88A5D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714DF99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576E398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3AA1D81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6DECDC3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2C8808C"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50F8439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5F46C62F"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92DE559"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30C44CDE"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75C5A9B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3B0C3C0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5F689AA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p w14:paraId="4B021A5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w:t>
            </w:r>
            <w:r w:rsidRPr="40AD52C2">
              <w:rPr>
                <w:rFonts w:ascii="Arial" w:eastAsia="Arial" w:hAnsi="Arial" w:cs="Arial"/>
                <w:color w:val="000000" w:themeColor="text1"/>
                <w:sz w:val="24"/>
                <w:szCs w:val="24"/>
              </w:rPr>
              <w:t xml:space="preserve"> </w:t>
            </w:r>
          </w:p>
        </w:tc>
      </w:tr>
      <w:tr w:rsidR="002849EC" w14:paraId="16786114" w14:textId="77777777" w:rsidTr="00C14EF5">
        <w:trPr>
          <w:trHeight w:val="285"/>
        </w:trPr>
        <w:tc>
          <w:tcPr>
            <w:tcW w:w="1890" w:type="dxa"/>
            <w:tcBorders>
              <w:top w:val="single" w:sz="4" w:space="0" w:color="auto"/>
              <w:left w:val="single" w:sz="4" w:space="0" w:color="auto"/>
              <w:bottom w:val="single" w:sz="4" w:space="0" w:color="auto"/>
              <w:right w:val="single" w:sz="4" w:space="0" w:color="auto"/>
            </w:tcBorders>
            <w:vAlign w:val="center"/>
          </w:tcPr>
          <w:p w14:paraId="45717C17"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DPTO n</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2DB25A98"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PIPM</w:t>
            </w:r>
            <w:r w:rsidRPr="40AD52C2">
              <w:rPr>
                <w:rFonts w:ascii="Arial" w:eastAsia="Arial" w:hAnsi="Arial" w:cs="Arial"/>
                <w:color w:val="000000" w:themeColor="text1"/>
                <w:sz w:val="24"/>
                <w:szCs w:val="24"/>
                <w:vertAlign w:val="subscript"/>
                <w:lang w:val="es-MX"/>
              </w:rPr>
              <w:t>n</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2E4A43B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PIPEM</w:t>
            </w:r>
            <w:r w:rsidRPr="40AD52C2">
              <w:rPr>
                <w:rFonts w:ascii="Arial" w:eastAsia="Arial" w:hAnsi="Arial" w:cs="Arial"/>
                <w:color w:val="000000" w:themeColor="text1"/>
                <w:sz w:val="24"/>
                <w:szCs w:val="24"/>
                <w:vertAlign w:val="subscript"/>
                <w:lang w:val="es-MX"/>
              </w:rPr>
              <w:t>n</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7213F2A1"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PCU</w:t>
            </w:r>
            <w:r w:rsidRPr="40AD52C2">
              <w:rPr>
                <w:rFonts w:ascii="Arial" w:eastAsia="Arial" w:hAnsi="Arial" w:cs="Arial"/>
                <w:color w:val="000000" w:themeColor="text1"/>
                <w:sz w:val="24"/>
                <w:szCs w:val="24"/>
                <w:vertAlign w:val="subscript"/>
                <w:lang w:val="es-MX"/>
              </w:rPr>
              <w:t>n</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02500B12"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PHSP</w:t>
            </w:r>
            <w:r w:rsidRPr="40AD52C2">
              <w:rPr>
                <w:rFonts w:ascii="Arial" w:eastAsia="Arial" w:hAnsi="Arial" w:cs="Arial"/>
                <w:color w:val="000000" w:themeColor="text1"/>
                <w:sz w:val="24"/>
                <w:szCs w:val="24"/>
                <w:vertAlign w:val="subscript"/>
                <w:lang w:val="es-MX"/>
              </w:rPr>
              <w:t>n</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53C55953"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PTD</w:t>
            </w:r>
            <w:r w:rsidRPr="40AD52C2">
              <w:rPr>
                <w:rFonts w:ascii="Arial" w:eastAsia="Arial" w:hAnsi="Arial" w:cs="Arial"/>
                <w:color w:val="000000" w:themeColor="text1"/>
                <w:sz w:val="24"/>
                <w:szCs w:val="24"/>
                <w:vertAlign w:val="subscript"/>
                <w:lang w:val="es-MX"/>
              </w:rPr>
              <w:t>n</w:t>
            </w:r>
            <w:r w:rsidRPr="40AD52C2">
              <w:rPr>
                <w:rFonts w:ascii="Arial" w:eastAsia="Arial" w:hAnsi="Arial" w:cs="Arial"/>
                <w:color w:val="000000" w:themeColor="text1"/>
                <w:sz w:val="24"/>
                <w:szCs w:val="24"/>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14:paraId="5500B04D" w14:textId="77777777" w:rsidR="002849EC" w:rsidRDefault="002849EC" w:rsidP="00C14EF5">
            <w:pPr>
              <w:spacing w:after="160"/>
              <w:jc w:val="center"/>
              <w:rPr>
                <w:rFonts w:ascii="Arial" w:eastAsia="Arial" w:hAnsi="Arial" w:cs="Arial"/>
                <w:color w:val="000000" w:themeColor="text1"/>
                <w:sz w:val="24"/>
                <w:szCs w:val="24"/>
              </w:rPr>
            </w:pPr>
            <w:r w:rsidRPr="40AD52C2">
              <w:rPr>
                <w:rFonts w:ascii="Arial" w:eastAsia="Arial" w:hAnsi="Arial" w:cs="Arial"/>
                <w:color w:val="000000" w:themeColor="text1"/>
                <w:sz w:val="24"/>
                <w:szCs w:val="24"/>
                <w:lang w:val="es-MX"/>
              </w:rPr>
              <w:t>ΦPTDn</w:t>
            </w:r>
            <w:r w:rsidRPr="40AD52C2">
              <w:rPr>
                <w:rFonts w:ascii="Arial" w:eastAsia="Arial" w:hAnsi="Arial" w:cs="Arial"/>
                <w:color w:val="000000" w:themeColor="text1"/>
                <w:sz w:val="24"/>
                <w:szCs w:val="24"/>
              </w:rPr>
              <w:t xml:space="preserve"> </w:t>
            </w:r>
          </w:p>
        </w:tc>
      </w:tr>
    </w:tbl>
    <w:p w14:paraId="2330ED59"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rPr>
        <w:t xml:space="preserve"> </w:t>
      </w:r>
    </w:p>
    <w:p w14:paraId="270E21D6"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Donde,</w:t>
      </w:r>
      <w:r w:rsidRPr="40AD52C2">
        <w:rPr>
          <w:rFonts w:ascii="Arial" w:eastAsia="Arial" w:hAnsi="Arial" w:cs="Arial"/>
          <w:sz w:val="24"/>
          <w:szCs w:val="24"/>
        </w:rPr>
        <w:t xml:space="preserve"> </w:t>
      </w:r>
    </w:p>
    <w:p w14:paraId="6434D28D"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lang w:val="es-MX"/>
        </w:rPr>
        <w:t>ΦPTD</w:t>
      </w:r>
      <w:r w:rsidRPr="40AD52C2">
        <w:rPr>
          <w:rFonts w:ascii="Arial" w:eastAsia="Arial" w:hAnsi="Arial" w:cs="Arial"/>
          <w:sz w:val="24"/>
          <w:szCs w:val="24"/>
          <w:vertAlign w:val="subscript"/>
          <w:lang w:val="es-MX"/>
        </w:rPr>
        <w:t>1</w:t>
      </w:r>
      <w:r w:rsidRPr="40AD52C2">
        <w:rPr>
          <w:rFonts w:ascii="Arial" w:eastAsia="Arial" w:hAnsi="Arial" w:cs="Arial"/>
          <w:b/>
          <w:bCs/>
          <w:sz w:val="24"/>
          <w:szCs w:val="24"/>
          <w:lang w:val="es-MX"/>
        </w:rPr>
        <w:t xml:space="preserve"> &gt;</w:t>
      </w:r>
      <w:r w:rsidRPr="40AD52C2">
        <w:rPr>
          <w:rFonts w:ascii="Arial" w:eastAsia="Arial" w:hAnsi="Arial" w:cs="Arial"/>
          <w:sz w:val="24"/>
          <w:szCs w:val="24"/>
          <w:lang w:val="es-MX"/>
        </w:rPr>
        <w:t xml:space="preserve"> ΦPTD</w:t>
      </w:r>
      <w:r w:rsidRPr="40AD52C2">
        <w:rPr>
          <w:rFonts w:ascii="Arial" w:eastAsia="Arial" w:hAnsi="Arial" w:cs="Arial"/>
          <w:sz w:val="24"/>
          <w:szCs w:val="24"/>
          <w:vertAlign w:val="subscript"/>
          <w:lang w:val="es-MX"/>
        </w:rPr>
        <w:t>2</w:t>
      </w:r>
      <w:r w:rsidRPr="40AD52C2">
        <w:rPr>
          <w:rFonts w:ascii="Arial" w:eastAsia="Arial" w:hAnsi="Arial" w:cs="Arial"/>
          <w:b/>
          <w:bCs/>
          <w:sz w:val="24"/>
          <w:szCs w:val="24"/>
          <w:lang w:val="es-MX"/>
        </w:rPr>
        <w:t xml:space="preserve"> &gt;</w:t>
      </w:r>
      <w:r w:rsidRPr="40AD52C2">
        <w:rPr>
          <w:rFonts w:ascii="Arial" w:eastAsia="Arial" w:hAnsi="Arial" w:cs="Arial"/>
          <w:sz w:val="24"/>
          <w:szCs w:val="24"/>
          <w:lang w:val="es-MX"/>
        </w:rPr>
        <w:t xml:space="preserve"> ...</w:t>
      </w:r>
      <w:r w:rsidRPr="40AD52C2">
        <w:rPr>
          <w:rFonts w:ascii="Arial" w:eastAsia="Arial" w:hAnsi="Arial" w:cs="Arial"/>
          <w:b/>
          <w:bCs/>
          <w:sz w:val="24"/>
          <w:szCs w:val="24"/>
          <w:lang w:val="es-MX"/>
        </w:rPr>
        <w:t>&gt;</w:t>
      </w:r>
      <w:r w:rsidRPr="40AD52C2">
        <w:rPr>
          <w:rFonts w:ascii="Arial" w:eastAsia="Arial" w:hAnsi="Arial" w:cs="Arial"/>
          <w:sz w:val="24"/>
          <w:szCs w:val="24"/>
          <w:lang w:val="es-MX"/>
        </w:rPr>
        <w:t xml:space="preserve"> ΦPTD</w:t>
      </w:r>
      <w:r w:rsidRPr="40AD52C2">
        <w:rPr>
          <w:rFonts w:ascii="Arial" w:eastAsia="Arial" w:hAnsi="Arial" w:cs="Arial"/>
          <w:sz w:val="24"/>
          <w:szCs w:val="24"/>
          <w:vertAlign w:val="subscript"/>
          <w:lang w:val="es-MX"/>
        </w:rPr>
        <w:t>n</w:t>
      </w:r>
      <w:r w:rsidRPr="40AD52C2">
        <w:rPr>
          <w:rFonts w:ascii="Arial" w:eastAsia="Arial" w:hAnsi="Arial" w:cs="Arial"/>
          <w:b/>
          <w:bCs/>
          <w:sz w:val="24"/>
          <w:szCs w:val="24"/>
          <w:lang w:val="es-MX"/>
        </w:rPr>
        <w:t xml:space="preserve"> </w:t>
      </w:r>
      <w:r w:rsidRPr="40AD52C2">
        <w:rPr>
          <w:rFonts w:ascii="Arial" w:eastAsia="Arial" w:hAnsi="Arial" w:cs="Arial"/>
          <w:sz w:val="24"/>
          <w:szCs w:val="24"/>
        </w:rPr>
        <w:t xml:space="preserve"> </w:t>
      </w:r>
    </w:p>
    <w:p w14:paraId="597E53D2" w14:textId="77777777" w:rsidR="002849EC" w:rsidRDefault="002849EC" w:rsidP="002849EC">
      <w:pPr>
        <w:spacing w:after="160"/>
        <w:jc w:val="both"/>
        <w:rPr>
          <w:rFonts w:ascii="Arial" w:eastAsia="Arial" w:hAnsi="Arial" w:cs="Arial"/>
          <w:sz w:val="24"/>
          <w:szCs w:val="24"/>
        </w:rPr>
      </w:pPr>
      <w:r w:rsidRPr="40AD52C2">
        <w:rPr>
          <w:rFonts w:ascii="Arial" w:eastAsia="Arial" w:hAnsi="Arial" w:cs="Arial"/>
          <w:sz w:val="24"/>
          <w:szCs w:val="24"/>
        </w:rPr>
        <w:t xml:space="preserve"> </w:t>
      </w:r>
    </w:p>
    <w:p w14:paraId="5E628F01" w14:textId="77777777" w:rsidR="002849EC" w:rsidRDefault="002849EC" w:rsidP="00C663FF">
      <w:pPr>
        <w:spacing w:after="0"/>
        <w:jc w:val="both"/>
        <w:rPr>
          <w:rFonts w:ascii="Arial" w:eastAsia="Arial" w:hAnsi="Arial" w:cs="Arial"/>
          <w:sz w:val="24"/>
          <w:szCs w:val="24"/>
        </w:rPr>
      </w:pPr>
      <w:r w:rsidRPr="40AD52C2">
        <w:rPr>
          <w:rFonts w:ascii="Arial" w:eastAsia="Arial" w:hAnsi="Arial" w:cs="Arial"/>
          <w:sz w:val="24"/>
          <w:szCs w:val="24"/>
          <w:lang w:val="es-MX"/>
        </w:rPr>
        <w:t xml:space="preserve">Es decir que, la ponderación asociada al proceso de Focalización permite determinar una adecuada distribución de recursos del programa Colombia Solar. </w:t>
      </w:r>
      <w:r w:rsidRPr="40AD52C2">
        <w:rPr>
          <w:rFonts w:ascii="Arial" w:eastAsia="Arial" w:hAnsi="Arial" w:cs="Arial"/>
          <w:sz w:val="24"/>
          <w:szCs w:val="24"/>
        </w:rPr>
        <w:t xml:space="preserve"> </w:t>
      </w:r>
    </w:p>
    <w:p w14:paraId="061512E7" w14:textId="77777777" w:rsidR="002849EC" w:rsidRDefault="002849EC" w:rsidP="00C663FF">
      <w:pPr>
        <w:spacing w:after="0"/>
        <w:rPr>
          <w:rFonts w:eastAsiaTheme="majorEastAsia" w:cstheme="majorBidi"/>
          <w:b/>
          <w:bCs/>
          <w:color w:val="000000" w:themeColor="text1"/>
          <w:sz w:val="24"/>
          <w:szCs w:val="24"/>
        </w:rPr>
      </w:pPr>
    </w:p>
    <w:p w14:paraId="7182CCDB" w14:textId="5EE01E23" w:rsidR="002849EC" w:rsidRDefault="002849EC" w:rsidP="005677A9">
      <w:pPr>
        <w:tabs>
          <w:tab w:val="left" w:pos="4474"/>
        </w:tabs>
        <w:spacing w:after="0"/>
        <w:jc w:val="both"/>
        <w:rPr>
          <w:rFonts w:ascii="Arial" w:eastAsia="Arial" w:hAnsi="Arial" w:cs="Arial"/>
          <w:b/>
          <w:bCs/>
          <w:sz w:val="24"/>
          <w:szCs w:val="24"/>
        </w:rPr>
      </w:pPr>
      <w:r w:rsidRPr="005677A9">
        <w:rPr>
          <w:rFonts w:ascii="Arial" w:eastAsia="Arial" w:hAnsi="Arial" w:cs="Arial"/>
          <w:b/>
          <w:bCs/>
          <w:sz w:val="24"/>
          <w:szCs w:val="24"/>
        </w:rPr>
        <w:t>IV-</w:t>
      </w:r>
      <w:r w:rsidR="00E819DA">
        <w:rPr>
          <w:rFonts w:ascii="Arial" w:eastAsia="Arial" w:hAnsi="Arial" w:cs="Arial"/>
          <w:b/>
          <w:bCs/>
          <w:sz w:val="24"/>
          <w:szCs w:val="24"/>
        </w:rPr>
        <w:t>4.5</w:t>
      </w:r>
      <w:r w:rsidRPr="005677A9">
        <w:rPr>
          <w:rFonts w:ascii="Arial" w:eastAsia="Arial" w:hAnsi="Arial" w:cs="Arial"/>
          <w:b/>
          <w:bCs/>
          <w:sz w:val="24"/>
          <w:szCs w:val="24"/>
        </w:rPr>
        <w:t>.2 Focalización y priorización de usuarios</w:t>
      </w:r>
    </w:p>
    <w:p w14:paraId="557EC54A" w14:textId="77777777" w:rsidR="005677A9" w:rsidRPr="005677A9" w:rsidRDefault="005677A9" w:rsidP="005677A9">
      <w:pPr>
        <w:tabs>
          <w:tab w:val="left" w:pos="4474"/>
        </w:tabs>
        <w:spacing w:after="0"/>
        <w:jc w:val="both"/>
        <w:rPr>
          <w:rFonts w:ascii="Arial" w:eastAsia="Arial" w:hAnsi="Arial" w:cs="Arial"/>
          <w:b/>
          <w:bCs/>
          <w:sz w:val="24"/>
          <w:szCs w:val="24"/>
        </w:rPr>
      </w:pPr>
    </w:p>
    <w:p w14:paraId="41F9DC74" w14:textId="77777777" w:rsidR="002849EC" w:rsidRDefault="002849EC" w:rsidP="002849EC">
      <w:pPr>
        <w:jc w:val="both"/>
        <w:rPr>
          <w:rFonts w:ascii="Arial" w:hAnsi="Arial" w:cs="Arial"/>
          <w:sz w:val="24"/>
          <w:szCs w:val="24"/>
        </w:rPr>
      </w:pPr>
      <w:r w:rsidRPr="40AD52C2">
        <w:rPr>
          <w:rFonts w:ascii="Arial" w:hAnsi="Arial" w:cs="Arial"/>
          <w:sz w:val="24"/>
          <w:szCs w:val="24"/>
        </w:rPr>
        <w:t>La focalización y priorización de usuarios en el marco del Programa Colombia Solar se fundamenta en un proceso metodológico estructurado, orientado a identificar, clasificar y jerarquizar a los potenciales beneficiarios a partir de información técnica, geográfica y energética. Este proceso integra y depura múltiples fuentes de información, con el fin de construir una base consolidada que permita aplicar criterios objetivos de elegibilidad, evaluación y priorización. A partir de esta base, se desarrolla el siguiente modelo analítico que incorpora variables de identificación, elegibilidad y ponderación que permite ordenar los usuarios según su nivel de prioridad.</w:t>
      </w:r>
    </w:p>
    <w:p w14:paraId="598CA53C" w14:textId="41783659" w:rsidR="002849EC" w:rsidRDefault="002849EC" w:rsidP="005677A9">
      <w:pPr>
        <w:tabs>
          <w:tab w:val="left" w:pos="4474"/>
        </w:tabs>
        <w:spacing w:after="0"/>
        <w:jc w:val="both"/>
        <w:rPr>
          <w:rFonts w:ascii="Arial" w:eastAsia="Arial" w:hAnsi="Arial" w:cs="Arial"/>
          <w:b/>
          <w:bCs/>
          <w:sz w:val="24"/>
          <w:szCs w:val="24"/>
        </w:rPr>
      </w:pPr>
      <w:r w:rsidRPr="005677A9">
        <w:rPr>
          <w:rFonts w:ascii="Arial" w:eastAsia="Arial" w:hAnsi="Arial" w:cs="Arial"/>
          <w:b/>
          <w:bCs/>
          <w:sz w:val="24"/>
          <w:szCs w:val="24"/>
        </w:rPr>
        <w:t>IV-</w:t>
      </w:r>
      <w:r w:rsidR="00E819DA">
        <w:rPr>
          <w:rFonts w:ascii="Arial" w:eastAsia="Arial" w:hAnsi="Arial" w:cs="Arial"/>
          <w:b/>
          <w:bCs/>
          <w:sz w:val="24"/>
          <w:szCs w:val="24"/>
        </w:rPr>
        <w:t>4.5</w:t>
      </w:r>
      <w:r w:rsidRPr="005677A9">
        <w:rPr>
          <w:rFonts w:ascii="Arial" w:eastAsia="Arial" w:hAnsi="Arial" w:cs="Arial"/>
          <w:b/>
          <w:bCs/>
          <w:sz w:val="24"/>
          <w:szCs w:val="24"/>
        </w:rPr>
        <w:t>.2.1 Introducción metodológica</w:t>
      </w:r>
    </w:p>
    <w:p w14:paraId="49FDC639" w14:textId="77777777" w:rsidR="00C663FF" w:rsidRPr="005677A9" w:rsidRDefault="00C663FF" w:rsidP="005677A9">
      <w:pPr>
        <w:tabs>
          <w:tab w:val="left" w:pos="4474"/>
        </w:tabs>
        <w:spacing w:after="0"/>
        <w:jc w:val="both"/>
        <w:rPr>
          <w:rFonts w:ascii="Arial" w:eastAsia="Arial" w:hAnsi="Arial" w:cs="Arial"/>
          <w:b/>
          <w:bCs/>
          <w:sz w:val="24"/>
          <w:szCs w:val="24"/>
        </w:rPr>
      </w:pPr>
    </w:p>
    <w:p w14:paraId="03ABD993" w14:textId="77777777" w:rsidR="002849EC" w:rsidRDefault="002849EC" w:rsidP="002849EC">
      <w:pPr>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rPr>
        <w:t>La selección muestral corresponde al proceso metodológico de identificación y escogencia de un listado de usuarios del universo potencialmente elegible, basada en criterios previamente definidos (estadísticos, socioeconómicos, geográficos o técnicos) garantizando transparencia, trazabilidad y eficiencia en la asignación de recursos.</w:t>
      </w:r>
    </w:p>
    <w:p w14:paraId="72C689A8" w14:textId="77777777" w:rsidR="002849EC" w:rsidRDefault="002849EC" w:rsidP="00C663FF">
      <w:pPr>
        <w:tabs>
          <w:tab w:val="left" w:pos="4474"/>
        </w:tabs>
        <w:spacing w:after="0"/>
        <w:jc w:val="both"/>
        <w:rPr>
          <w:rFonts w:ascii="Arial" w:eastAsia="Arial" w:hAnsi="Arial" w:cs="Arial"/>
          <w:b/>
          <w:bCs/>
          <w:sz w:val="24"/>
          <w:szCs w:val="24"/>
        </w:rPr>
      </w:pPr>
      <w:r w:rsidRPr="00C663FF">
        <w:rPr>
          <w:rFonts w:ascii="Arial" w:eastAsia="Arial" w:hAnsi="Arial" w:cs="Arial"/>
          <w:b/>
          <w:bCs/>
          <w:sz w:val="24"/>
          <w:szCs w:val="24"/>
        </w:rPr>
        <w:lastRenderedPageBreak/>
        <w:t>Enfoque metodológico</w:t>
      </w:r>
    </w:p>
    <w:p w14:paraId="0AE05EB2" w14:textId="77777777" w:rsidR="00C663FF" w:rsidRPr="00C663FF" w:rsidRDefault="00C663FF" w:rsidP="00C663FF">
      <w:pPr>
        <w:tabs>
          <w:tab w:val="left" w:pos="4474"/>
        </w:tabs>
        <w:spacing w:after="0"/>
        <w:jc w:val="both"/>
        <w:rPr>
          <w:rFonts w:ascii="Arial" w:eastAsia="Arial" w:hAnsi="Arial" w:cs="Arial"/>
          <w:b/>
          <w:bCs/>
          <w:sz w:val="24"/>
          <w:szCs w:val="24"/>
        </w:rPr>
      </w:pPr>
    </w:p>
    <w:p w14:paraId="459BE725" w14:textId="77777777" w:rsidR="002849EC" w:rsidRDefault="002849EC" w:rsidP="002849EC">
      <w:pPr>
        <w:jc w:val="both"/>
      </w:pPr>
      <w:r w:rsidRPr="40AD52C2">
        <w:rPr>
          <w:rFonts w:ascii="Arial" w:eastAsia="Arial" w:hAnsi="Arial" w:cs="Arial"/>
          <w:color w:val="000000" w:themeColor="text1"/>
          <w:sz w:val="24"/>
          <w:szCs w:val="24"/>
        </w:rPr>
        <w:t>El proceso de construcción de la selección muestral se desarrolla mediante una estrategia sistemática de integración, depuración y análisis de bases de datos provenientes de diferentes fuentes institucionales. Este procedimiento tiene como objetivo consolidar información heterogénea, garantizar su consistencia y generar criterios analíticos que permitan seleccionar las unidades de observación de acuerdo con variables relevantes para el estudio.</w:t>
      </w:r>
    </w:p>
    <w:p w14:paraId="08FF4CB0" w14:textId="77777777" w:rsidR="002849EC" w:rsidRDefault="002849EC" w:rsidP="002849EC">
      <w:pPr>
        <w:jc w:val="both"/>
      </w:pPr>
      <w:r w:rsidRPr="40AD52C2">
        <w:rPr>
          <w:rFonts w:ascii="Arial" w:eastAsia="Arial" w:hAnsi="Arial" w:cs="Arial"/>
          <w:color w:val="000000" w:themeColor="text1"/>
          <w:sz w:val="24"/>
          <w:szCs w:val="24"/>
        </w:rPr>
        <w:t>Este tipo de procesos corresponde a lo que la literatura metodológica denomina etapas de preparación y transformación de datos, necesarias para convertir registros administrativos o técnicos en insumos analíticos confiables para la toma de decisiones.</w:t>
      </w:r>
    </w:p>
    <w:p w14:paraId="452DB209" w14:textId="77777777" w:rsidR="002849EC" w:rsidRDefault="002849EC" w:rsidP="00C663FF">
      <w:pPr>
        <w:tabs>
          <w:tab w:val="left" w:pos="4474"/>
        </w:tabs>
        <w:spacing w:after="0"/>
        <w:jc w:val="both"/>
        <w:rPr>
          <w:rFonts w:ascii="Arial" w:eastAsia="Arial" w:hAnsi="Arial" w:cs="Arial"/>
          <w:b/>
          <w:bCs/>
          <w:sz w:val="24"/>
          <w:szCs w:val="24"/>
        </w:rPr>
      </w:pPr>
      <w:r w:rsidRPr="00C663FF">
        <w:rPr>
          <w:rFonts w:ascii="Arial" w:eastAsia="Arial" w:hAnsi="Arial" w:cs="Arial"/>
          <w:b/>
          <w:bCs/>
          <w:sz w:val="24"/>
          <w:szCs w:val="24"/>
        </w:rPr>
        <w:t>Integración de fuentes de información</w:t>
      </w:r>
    </w:p>
    <w:p w14:paraId="320D82D5" w14:textId="77777777" w:rsidR="00C663FF" w:rsidRPr="00C663FF" w:rsidRDefault="00C663FF" w:rsidP="00C663FF">
      <w:pPr>
        <w:tabs>
          <w:tab w:val="left" w:pos="4474"/>
        </w:tabs>
        <w:spacing w:after="0"/>
        <w:jc w:val="both"/>
        <w:rPr>
          <w:rFonts w:ascii="Arial" w:eastAsia="Arial" w:hAnsi="Arial" w:cs="Arial"/>
          <w:b/>
          <w:bCs/>
          <w:sz w:val="24"/>
          <w:szCs w:val="24"/>
        </w:rPr>
      </w:pPr>
    </w:p>
    <w:p w14:paraId="0513E2A8" w14:textId="77777777" w:rsidR="002849EC" w:rsidRDefault="002849EC" w:rsidP="002849EC">
      <w:pPr>
        <w:jc w:val="both"/>
      </w:pPr>
      <w:r w:rsidRPr="40AD52C2">
        <w:rPr>
          <w:rFonts w:ascii="Arial" w:eastAsia="Arial" w:hAnsi="Arial" w:cs="Arial"/>
          <w:color w:val="000000" w:themeColor="text1"/>
          <w:sz w:val="24"/>
          <w:szCs w:val="24"/>
        </w:rPr>
        <w:t>En una primera fase se realiza la recopilación de las bases de datos disponibles que contienen información relevante sobre las unidades de análisis. Estas fuentes incluyen registros administrativos y bases técnicas generadas con diferentes finalidades operativas.</w:t>
      </w:r>
    </w:p>
    <w:p w14:paraId="66EB0346" w14:textId="77777777" w:rsidR="002849EC" w:rsidRDefault="002849EC" w:rsidP="002849EC">
      <w:pPr>
        <w:jc w:val="both"/>
      </w:pPr>
      <w:r w:rsidRPr="40AD52C2">
        <w:rPr>
          <w:rFonts w:ascii="Arial" w:eastAsia="Arial" w:hAnsi="Arial" w:cs="Arial"/>
          <w:color w:val="000000" w:themeColor="text1"/>
          <w:sz w:val="24"/>
          <w:szCs w:val="24"/>
        </w:rPr>
        <w:t>Es necesario integrar las siguientes fuentes de información:</w:t>
      </w:r>
    </w:p>
    <w:p w14:paraId="60E96FC4" w14:textId="77777777" w:rsidR="002849EC" w:rsidRDefault="002849EC" w:rsidP="002849EC">
      <w:pPr>
        <w:jc w:val="both"/>
      </w:pPr>
      <w:r w:rsidRPr="40AD52C2">
        <w:rPr>
          <w:rFonts w:ascii="Arial" w:eastAsia="Arial" w:hAnsi="Arial" w:cs="Arial"/>
          <w:color w:val="000000" w:themeColor="text1"/>
          <w:sz w:val="24"/>
          <w:szCs w:val="24"/>
        </w:rPr>
        <w:t>1. Registros TC1 y TC2 correspondientes al año 2025.</w:t>
      </w:r>
    </w:p>
    <w:p w14:paraId="76719C26" w14:textId="77777777" w:rsidR="002849EC" w:rsidRDefault="002849EC" w:rsidP="002849EC">
      <w:pPr>
        <w:jc w:val="both"/>
      </w:pPr>
      <w:r w:rsidRPr="40AD52C2">
        <w:rPr>
          <w:rFonts w:ascii="Arial" w:eastAsia="Arial" w:hAnsi="Arial" w:cs="Arial"/>
          <w:color w:val="000000" w:themeColor="text1"/>
          <w:sz w:val="24"/>
          <w:szCs w:val="24"/>
        </w:rPr>
        <w:t>2. Registros TC1 y TC2 correspondientes al corte de diciembre.</w:t>
      </w:r>
    </w:p>
    <w:p w14:paraId="7F8057DC" w14:textId="77777777" w:rsidR="002849EC" w:rsidRDefault="002849EC" w:rsidP="002849EC">
      <w:pPr>
        <w:jc w:val="both"/>
      </w:pPr>
      <w:r w:rsidRPr="40AD52C2">
        <w:rPr>
          <w:rFonts w:ascii="Arial" w:eastAsia="Arial" w:hAnsi="Arial" w:cs="Arial"/>
          <w:color w:val="000000" w:themeColor="text1"/>
          <w:sz w:val="24"/>
          <w:szCs w:val="24"/>
        </w:rPr>
        <w:t>3. Información técnica asociada a los transformadores existentes dentro de la zona en referencia</w:t>
      </w:r>
    </w:p>
    <w:p w14:paraId="79B78F13" w14:textId="77777777" w:rsidR="002849EC" w:rsidRDefault="002849EC" w:rsidP="002849EC">
      <w:pPr>
        <w:jc w:val="both"/>
      </w:pPr>
      <w:r w:rsidRPr="40AD52C2">
        <w:rPr>
          <w:rFonts w:ascii="Arial" w:eastAsia="Arial" w:hAnsi="Arial" w:cs="Arial"/>
          <w:color w:val="000000" w:themeColor="text1"/>
          <w:sz w:val="24"/>
          <w:szCs w:val="24"/>
        </w:rPr>
        <w:t>Una vez recopiladas las bases, se lleva a cabo un proceso de homologación estructural, que consiste en la estandarización de formatos, tipos de variables y nomenclaturas utilizadas en los diferentes conjuntos de datos. Este procedimiento permite garantizar la compatibilidad entre las fuentes y posibilitar su integración posterior.</w:t>
      </w:r>
    </w:p>
    <w:p w14:paraId="11F8CB5C" w14:textId="77777777" w:rsidR="002849EC" w:rsidRDefault="002849EC" w:rsidP="002849EC">
      <w:pPr>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rPr>
        <w:t>Posteriormente se efectúa un cruce de información entre las bases disponibles, mediante el uso de identificadores comunes o variables de enlace. De manera específica, se cruzan los registros correspondientes a las variables asociadas a posibles beneficiarios presentes en las bases TC1 y TC2, los cuales son posteriormente contrastados con la información proveniente de la base de transformadores de potencia.</w:t>
      </w:r>
    </w:p>
    <w:p w14:paraId="109E3ADA" w14:textId="77777777" w:rsidR="002849EC" w:rsidRDefault="002849EC" w:rsidP="002849EC">
      <w:pPr>
        <w:jc w:val="both"/>
      </w:pPr>
      <w:r w:rsidRPr="40AD52C2">
        <w:rPr>
          <w:rFonts w:ascii="Arial" w:eastAsia="Arial" w:hAnsi="Arial" w:cs="Arial"/>
          <w:sz w:val="24"/>
          <w:szCs w:val="24"/>
        </w:rPr>
        <w:t>Como resultado de este proceso se construye una base consolidada de registros potenciales, en la cual cada unidad de observación contiene la mayor cantidad posible de información proveniente de las distintas fuentes disponibles.</w:t>
      </w:r>
    </w:p>
    <w:p w14:paraId="5B0A97FD" w14:textId="36ACC68C" w:rsidR="002849EC" w:rsidRDefault="002849EC" w:rsidP="00BE18D6">
      <w:pPr>
        <w:tabs>
          <w:tab w:val="left" w:pos="4474"/>
        </w:tabs>
        <w:spacing w:after="0"/>
        <w:jc w:val="both"/>
        <w:rPr>
          <w:rFonts w:ascii="Arial" w:eastAsia="Arial" w:hAnsi="Arial" w:cs="Arial"/>
          <w:b/>
          <w:bCs/>
          <w:sz w:val="24"/>
          <w:szCs w:val="24"/>
        </w:rPr>
      </w:pPr>
      <w:r w:rsidRPr="00BE18D6">
        <w:rPr>
          <w:rFonts w:ascii="Arial" w:eastAsia="Arial" w:hAnsi="Arial" w:cs="Arial"/>
          <w:b/>
          <w:bCs/>
          <w:sz w:val="24"/>
          <w:szCs w:val="24"/>
        </w:rPr>
        <w:t>IV-</w:t>
      </w:r>
      <w:r w:rsidR="00643AD5">
        <w:rPr>
          <w:rFonts w:ascii="Arial" w:eastAsia="Arial" w:hAnsi="Arial" w:cs="Arial"/>
          <w:b/>
          <w:bCs/>
          <w:sz w:val="24"/>
          <w:szCs w:val="24"/>
        </w:rPr>
        <w:t>4.5</w:t>
      </w:r>
      <w:r w:rsidRPr="00BE18D6">
        <w:rPr>
          <w:rFonts w:ascii="Arial" w:eastAsia="Arial" w:hAnsi="Arial" w:cs="Arial"/>
          <w:b/>
          <w:bCs/>
          <w:sz w:val="24"/>
          <w:szCs w:val="24"/>
        </w:rPr>
        <w:t>.2.2 Variables de selección</w:t>
      </w:r>
    </w:p>
    <w:p w14:paraId="571D6CB9" w14:textId="77777777" w:rsidR="00BE18D6" w:rsidRPr="00BE18D6" w:rsidRDefault="00BE18D6" w:rsidP="00BE18D6">
      <w:pPr>
        <w:tabs>
          <w:tab w:val="left" w:pos="4474"/>
        </w:tabs>
        <w:spacing w:after="0"/>
        <w:jc w:val="both"/>
        <w:rPr>
          <w:rFonts w:ascii="Arial" w:eastAsia="Arial" w:hAnsi="Arial" w:cs="Arial"/>
          <w:b/>
          <w:bCs/>
          <w:sz w:val="24"/>
          <w:szCs w:val="24"/>
        </w:rPr>
      </w:pPr>
    </w:p>
    <w:p w14:paraId="4075B441" w14:textId="77777777" w:rsidR="002849EC" w:rsidRPr="00BE18D6" w:rsidRDefault="002849EC" w:rsidP="002849EC">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 xml:space="preserve">Se definen las variables de selección muestral como el conjunto estructurado de criterios que permiten consolidar y ejecutar el proceso metodológico de selección de los potenciales beneficiarios. Estas variables constituyen la base para la plena identificación y clasificación de los usuarios dentro del Sistema Interconectado Nacional (SIN) acorde con su información socioeconómica, energética, geográfica y técnica obtenida a través de la información reportada por los operadores de red ante la Superintendencia de </w:t>
      </w:r>
      <w:r w:rsidRPr="00BE18D6">
        <w:rPr>
          <w:rFonts w:ascii="Arial" w:eastAsia="Arial" w:hAnsi="Arial" w:cs="Arial"/>
          <w:color w:val="000000" w:themeColor="text1"/>
          <w:sz w:val="24"/>
          <w:szCs w:val="24"/>
        </w:rPr>
        <w:lastRenderedPageBreak/>
        <w:t>Servicios Públicos Domiciliarios (SSPD) en los Formatos “TC1. Caracterización de Usuarios”, “TC2. Facturación a Usuarios” y “TT2 Información de transformadores”</w:t>
      </w:r>
    </w:p>
    <w:p w14:paraId="7E90F84D" w14:textId="39C708F0" w:rsidR="002849EC" w:rsidRPr="00BE18D6" w:rsidRDefault="00BE18D6" w:rsidP="00BE18D6">
      <w:pPr>
        <w:tabs>
          <w:tab w:val="left" w:pos="4474"/>
        </w:tabs>
        <w:spacing w:after="0"/>
        <w:jc w:val="both"/>
        <w:rPr>
          <w:rFonts w:ascii="Arial" w:eastAsia="Arial" w:hAnsi="Arial" w:cs="Arial"/>
          <w:b/>
          <w:bCs/>
          <w:sz w:val="24"/>
          <w:szCs w:val="24"/>
        </w:rPr>
      </w:pPr>
      <w:r>
        <w:rPr>
          <w:rFonts w:ascii="Arial" w:eastAsia="Arial" w:hAnsi="Arial" w:cs="Arial"/>
          <w:b/>
          <w:bCs/>
          <w:sz w:val="24"/>
          <w:szCs w:val="24"/>
        </w:rPr>
        <w:t>i</w:t>
      </w:r>
      <w:r w:rsidRPr="00BE18D6">
        <w:rPr>
          <w:rFonts w:ascii="Arial" w:eastAsia="Arial" w:hAnsi="Arial" w:cs="Arial"/>
          <w:b/>
          <w:bCs/>
          <w:sz w:val="24"/>
          <w:szCs w:val="24"/>
        </w:rPr>
        <w:t>.</w:t>
      </w:r>
      <w:r>
        <w:rPr>
          <w:rFonts w:ascii="Arial" w:eastAsia="Arial" w:hAnsi="Arial" w:cs="Arial"/>
          <w:b/>
          <w:bCs/>
          <w:sz w:val="24"/>
          <w:szCs w:val="24"/>
        </w:rPr>
        <w:t xml:space="preserve"> </w:t>
      </w:r>
      <w:r w:rsidR="002849EC" w:rsidRPr="00BE18D6">
        <w:rPr>
          <w:rFonts w:ascii="Arial" w:eastAsia="Arial" w:hAnsi="Arial" w:cs="Arial"/>
          <w:b/>
          <w:bCs/>
          <w:sz w:val="24"/>
          <w:szCs w:val="24"/>
        </w:rPr>
        <w:t>Variables de identificación</w:t>
      </w:r>
    </w:p>
    <w:p w14:paraId="13FDEF3D" w14:textId="77777777" w:rsidR="00BE18D6" w:rsidRPr="00BE18D6" w:rsidRDefault="00BE18D6" w:rsidP="00BE18D6">
      <w:pPr>
        <w:tabs>
          <w:tab w:val="left" w:pos="4474"/>
        </w:tabs>
        <w:spacing w:after="0"/>
        <w:jc w:val="both"/>
        <w:rPr>
          <w:rFonts w:ascii="Arial" w:eastAsia="Arial" w:hAnsi="Arial" w:cs="Arial"/>
          <w:b/>
          <w:bCs/>
          <w:sz w:val="24"/>
          <w:szCs w:val="24"/>
        </w:rPr>
      </w:pPr>
    </w:p>
    <w:p w14:paraId="1A92A83F" w14:textId="77777777" w:rsidR="002849EC" w:rsidRPr="00BE18D6" w:rsidRDefault="002849EC" w:rsidP="002849EC">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Metodológicamente, estas variables cumplen dos objetivos: por una parte, permiten el perfilamiento general del usuario, entendido como la determinación de su ubicación, condición socioeconómica, condiciones técnicas básicas y particularidades del inmueble; y por otra, posibilitan la segmentación estratégica de la población objetivo, agrupando usuarios bajo criterios homogéneos que faciliten la focalización eficiente y técnicamente viable de las Soluciones Solares Fotovoltaicas (SSFV).</w:t>
      </w:r>
    </w:p>
    <w:p w14:paraId="074D3F8C" w14:textId="77777777" w:rsidR="002849EC" w:rsidRPr="00BE18D6" w:rsidRDefault="002849EC" w:rsidP="002849EC">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La integración de estas variables dentro del modelo de selección muestral permite estructurar un análisis multiobjetivo que articula:</w:t>
      </w:r>
    </w:p>
    <w:p w14:paraId="398B9C5A" w14:textId="77777777" w:rsidR="002849EC" w:rsidRPr="00BE18D6" w:rsidRDefault="002849EC" w:rsidP="00BE18D6">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 Localización geográfica</w:t>
      </w:r>
    </w:p>
    <w:p w14:paraId="3BF9EEE7" w14:textId="77777777" w:rsidR="002849EC" w:rsidRPr="00BE18D6" w:rsidRDefault="002849EC" w:rsidP="00BE18D6">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 Situación socioeconómica y territorial</w:t>
      </w:r>
    </w:p>
    <w:p w14:paraId="7E4EF552" w14:textId="77777777" w:rsidR="002849EC" w:rsidRPr="00BE18D6" w:rsidRDefault="002849EC" w:rsidP="00BE18D6">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 Condiciones regulatorias asociadas al subsidio del Consumo de Subsistencia</w:t>
      </w:r>
    </w:p>
    <w:p w14:paraId="36265016" w14:textId="77777777" w:rsidR="002849EC" w:rsidRPr="00BE18D6" w:rsidRDefault="002849EC" w:rsidP="00BE18D6">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 Condiciones técnicas de la infraestructura eléctrica</w:t>
      </w:r>
    </w:p>
    <w:p w14:paraId="76DB3B39" w14:textId="77777777" w:rsidR="002849EC" w:rsidRPr="00BE18D6" w:rsidRDefault="002849EC" w:rsidP="002849EC">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A continuación, se describen cada una de las variables que componen esta categoría:</w:t>
      </w:r>
    </w:p>
    <w:p w14:paraId="537BF4BD" w14:textId="77777777" w:rsidR="002849EC" w:rsidRPr="00BE18D6" w:rsidRDefault="002849EC" w:rsidP="00BE18D6">
      <w:pPr>
        <w:jc w:val="both"/>
        <w:rPr>
          <w:rFonts w:ascii="Arial" w:eastAsia="Arial" w:hAnsi="Arial" w:cs="Arial"/>
          <w:color w:val="000000" w:themeColor="text1"/>
          <w:sz w:val="24"/>
          <w:szCs w:val="24"/>
        </w:rPr>
      </w:pPr>
      <w:r w:rsidRPr="00EA5B57">
        <w:rPr>
          <w:rFonts w:ascii="Arial" w:eastAsia="Arial" w:hAnsi="Arial" w:cs="Arial"/>
          <w:b/>
          <w:bCs/>
          <w:color w:val="000000" w:themeColor="text1"/>
          <w:sz w:val="24"/>
          <w:szCs w:val="24"/>
        </w:rPr>
        <w:t>a. Código DANE:</w:t>
      </w:r>
      <w:r w:rsidRPr="00BE18D6">
        <w:rPr>
          <w:rFonts w:ascii="Arial" w:eastAsia="Arial" w:hAnsi="Arial" w:cs="Arial"/>
          <w:color w:val="000000" w:themeColor="text1"/>
          <w:sz w:val="24"/>
          <w:szCs w:val="24"/>
        </w:rPr>
        <w:t xml:space="preserve"> Identificación oficial de la división político-administrativa del territorio nacional asignada por el Departamento Administrativo Nacional de Estadística (DANE). Esta variable permite identificar el departamento, municipio y centro poblado en el cual se ubica el usuario, posibilitando la articulación con información estadística oficial relacionada con pobreza, vulnerabilidad socioeconómica y condiciones territoriales.</w:t>
      </w:r>
    </w:p>
    <w:p w14:paraId="5568DA64" w14:textId="77777777" w:rsidR="002849EC" w:rsidRPr="00BE18D6" w:rsidRDefault="002849EC" w:rsidP="00BE18D6">
      <w:pPr>
        <w:jc w:val="both"/>
        <w:rPr>
          <w:rFonts w:ascii="Arial" w:eastAsia="Arial" w:hAnsi="Arial" w:cs="Arial"/>
          <w:color w:val="000000" w:themeColor="text1"/>
          <w:sz w:val="24"/>
          <w:szCs w:val="24"/>
        </w:rPr>
      </w:pPr>
      <w:r w:rsidRPr="00EA5B57">
        <w:rPr>
          <w:rFonts w:ascii="Arial" w:eastAsia="Arial" w:hAnsi="Arial" w:cs="Arial"/>
          <w:b/>
          <w:bCs/>
          <w:color w:val="000000" w:themeColor="text1"/>
          <w:sz w:val="24"/>
          <w:szCs w:val="24"/>
        </w:rPr>
        <w:t>b. NIU – Número de Identificación del Usuario o Suscriptor</w:t>
      </w:r>
      <w:r w:rsidRPr="00BE18D6">
        <w:rPr>
          <w:rFonts w:ascii="Arial" w:eastAsia="Arial" w:hAnsi="Arial" w:cs="Arial"/>
          <w:color w:val="000000" w:themeColor="text1"/>
          <w:sz w:val="24"/>
          <w:szCs w:val="24"/>
        </w:rPr>
        <w:t>: Código único asignado por el Operador de Red a cada usuario conectado al sistema de distribución. Esta variable constituye el identificador técnico y administrativo primario dentro del Sistema Interconectado Nacional (SIN), permitiendo la individualización inequívoca del suscriptor para efectos de facturación, medición, control y seguimiento.</w:t>
      </w:r>
    </w:p>
    <w:p w14:paraId="328EFF1A" w14:textId="77777777" w:rsidR="002849EC" w:rsidRPr="00BE18D6" w:rsidRDefault="002849EC" w:rsidP="00BE18D6">
      <w:pPr>
        <w:jc w:val="both"/>
        <w:rPr>
          <w:rFonts w:ascii="Arial" w:eastAsia="Arial" w:hAnsi="Arial" w:cs="Arial"/>
          <w:color w:val="000000" w:themeColor="text1"/>
          <w:sz w:val="24"/>
          <w:szCs w:val="24"/>
        </w:rPr>
      </w:pPr>
      <w:r w:rsidRPr="00BE18D6">
        <w:rPr>
          <w:rFonts w:ascii="Arial" w:eastAsia="Arial" w:hAnsi="Arial" w:cs="Arial"/>
          <w:color w:val="000000" w:themeColor="text1"/>
          <w:sz w:val="24"/>
          <w:szCs w:val="24"/>
        </w:rPr>
        <w:t>Desde la perspectiva de la focalización del Programa Colombia Solar, el NIU representa la unidad básica de análisis y gestión, en tanto posibilita la trazabilidad integral del beneficiario desde la etapa de selección hasta la operación y verificación del beneficio. Su utilización garantiza la depuración de bases de datos, evita duplicidades en la asignación de recursos y permite la articulación entre la información técnica del Operador de Red, la información comercial y los registros administrativos asociados al subsidio vigente.</w:t>
      </w:r>
    </w:p>
    <w:p w14:paraId="32DD5AF1" w14:textId="77777777" w:rsidR="002849EC" w:rsidRPr="00BE18D6" w:rsidRDefault="002849EC" w:rsidP="00BE18D6">
      <w:pPr>
        <w:jc w:val="both"/>
        <w:rPr>
          <w:rFonts w:ascii="Arial" w:eastAsia="Arial" w:hAnsi="Arial" w:cs="Arial"/>
          <w:color w:val="000000" w:themeColor="text1"/>
          <w:sz w:val="24"/>
          <w:szCs w:val="24"/>
        </w:rPr>
      </w:pPr>
      <w:r w:rsidRPr="00EA5B57">
        <w:rPr>
          <w:rFonts w:ascii="Arial" w:eastAsia="Arial" w:hAnsi="Arial" w:cs="Arial"/>
          <w:b/>
          <w:bCs/>
          <w:color w:val="000000" w:themeColor="text1"/>
          <w:sz w:val="24"/>
          <w:szCs w:val="24"/>
        </w:rPr>
        <w:t>c. Ubicación:</w:t>
      </w:r>
      <w:r w:rsidRPr="00BE18D6">
        <w:rPr>
          <w:rFonts w:ascii="Arial" w:eastAsia="Arial" w:hAnsi="Arial" w:cs="Arial"/>
          <w:color w:val="000000" w:themeColor="text1"/>
          <w:sz w:val="24"/>
          <w:szCs w:val="24"/>
        </w:rPr>
        <w:t xml:space="preserve"> Indica la clasificación territorial del inmueble del usuario según su localización en urbano, centro poblado o área rural dispersa. Se consideran:</w:t>
      </w:r>
    </w:p>
    <w:p w14:paraId="41B913E8" w14:textId="77777777" w:rsidR="002849EC" w:rsidRDefault="002849EC" w:rsidP="002849EC">
      <w:pPr>
        <w:ind w:left="708"/>
        <w:jc w:val="both"/>
      </w:pPr>
      <w:r>
        <w:rPr>
          <w:noProof/>
        </w:rPr>
        <w:lastRenderedPageBreak/>
        <w:drawing>
          <wp:inline distT="0" distB="0" distL="0" distR="0" wp14:anchorId="710E6254" wp14:editId="0A403F3C">
            <wp:extent cx="5312410" cy="2085975"/>
            <wp:effectExtent l="0" t="0" r="2540" b="9525"/>
            <wp:docPr id="196513028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130284" name="Picture 1965130284"/>
                    <pic:cNvPicPr/>
                  </pic:nvPicPr>
                  <pic:blipFill>
                    <a:blip r:embed="rId34">
                      <a:extLst>
                        <a:ext uri="{28A0092B-C50C-407E-A947-70E740481C1C}">
                          <a14:useLocalDpi xmlns:a14="http://schemas.microsoft.com/office/drawing/2010/main"/>
                        </a:ext>
                      </a:extLst>
                    </a:blip>
                    <a:stretch>
                      <a:fillRect/>
                    </a:stretch>
                  </pic:blipFill>
                  <pic:spPr>
                    <a:xfrm>
                      <a:off x="0" y="0"/>
                      <a:ext cx="5312741" cy="2086105"/>
                    </a:xfrm>
                    <a:prstGeom prst="rect">
                      <a:avLst/>
                    </a:prstGeom>
                  </pic:spPr>
                </pic:pic>
              </a:graphicData>
            </a:graphic>
          </wp:inline>
        </w:drawing>
      </w:r>
    </w:p>
    <w:p w14:paraId="743D7B3A" w14:textId="77777777" w:rsidR="002849EC" w:rsidRPr="00EA5B57" w:rsidRDefault="002849EC" w:rsidP="00EA5B57">
      <w:pPr>
        <w:jc w:val="both"/>
        <w:rPr>
          <w:rFonts w:ascii="Arial" w:eastAsia="Arial" w:hAnsi="Arial" w:cs="Arial"/>
          <w:color w:val="000000" w:themeColor="text1"/>
          <w:sz w:val="24"/>
          <w:szCs w:val="24"/>
        </w:rPr>
      </w:pPr>
      <w:r w:rsidRPr="00EA5B57">
        <w:rPr>
          <w:rFonts w:ascii="Arial" w:eastAsia="Arial" w:hAnsi="Arial" w:cs="Arial"/>
          <w:color w:val="000000" w:themeColor="text1"/>
          <w:sz w:val="24"/>
          <w:szCs w:val="24"/>
        </w:rPr>
        <w:t>Esta variable permite prever particularidades en la prestación del servicio de energía eléctrica e implementación del programa asociadas a la dispersión geográfica, densidad poblacional y condiciones de infraestructura.</w:t>
      </w:r>
    </w:p>
    <w:p w14:paraId="75AD5900" w14:textId="77777777" w:rsidR="002849EC" w:rsidRPr="00EA5B57" w:rsidRDefault="002849EC" w:rsidP="00EA5B57">
      <w:pPr>
        <w:jc w:val="both"/>
        <w:rPr>
          <w:rFonts w:ascii="Arial" w:eastAsia="Arial" w:hAnsi="Arial" w:cs="Arial"/>
          <w:color w:val="000000" w:themeColor="text1"/>
          <w:sz w:val="24"/>
          <w:szCs w:val="24"/>
        </w:rPr>
      </w:pPr>
      <w:r w:rsidRPr="00EA5B57">
        <w:rPr>
          <w:rFonts w:ascii="Arial" w:eastAsia="Arial" w:hAnsi="Arial" w:cs="Arial"/>
          <w:b/>
          <w:bCs/>
          <w:color w:val="000000" w:themeColor="text1"/>
          <w:sz w:val="24"/>
          <w:szCs w:val="24"/>
        </w:rPr>
        <w:t>d. Altitud:</w:t>
      </w:r>
      <w:r w:rsidRPr="00EA5B57">
        <w:rPr>
          <w:rFonts w:ascii="Arial" w:eastAsia="Arial" w:hAnsi="Arial" w:cs="Arial"/>
          <w:color w:val="000000" w:themeColor="text1"/>
          <w:sz w:val="24"/>
          <w:szCs w:val="24"/>
        </w:rPr>
        <w:t xml:space="preserve"> Corresponde a la altura del inmueble sobre el nivel del mar, expresada en metros. Esta variable resulta relevante tanto para la determinación del Consumo Básico de Subsistencia aplicable, conforme a la regulación vigente, como para el análisis técnico del potencial de generación solar.</w:t>
      </w:r>
    </w:p>
    <w:p w14:paraId="163C5BCD" w14:textId="77777777" w:rsidR="002849EC" w:rsidRPr="00EA5B57" w:rsidRDefault="002849EC" w:rsidP="00EA5B57">
      <w:pPr>
        <w:jc w:val="both"/>
        <w:rPr>
          <w:rFonts w:ascii="Arial" w:eastAsia="Arial" w:hAnsi="Arial" w:cs="Arial"/>
          <w:color w:val="000000" w:themeColor="text1"/>
          <w:sz w:val="24"/>
          <w:szCs w:val="24"/>
        </w:rPr>
      </w:pPr>
      <w:r w:rsidRPr="00EA5B57">
        <w:rPr>
          <w:rFonts w:ascii="Arial" w:eastAsia="Arial" w:hAnsi="Arial" w:cs="Arial"/>
          <w:b/>
          <w:bCs/>
          <w:color w:val="000000" w:themeColor="text1"/>
          <w:sz w:val="24"/>
          <w:szCs w:val="24"/>
        </w:rPr>
        <w:t>e. Latitud y longitud:</w:t>
      </w:r>
      <w:r w:rsidRPr="00EA5B57">
        <w:rPr>
          <w:rFonts w:ascii="Arial" w:eastAsia="Arial" w:hAnsi="Arial" w:cs="Arial"/>
          <w:color w:val="000000" w:themeColor="text1"/>
          <w:sz w:val="24"/>
          <w:szCs w:val="24"/>
        </w:rPr>
        <w:t xml:space="preserve"> Corresponde a la coordenada geográfica expresada en grados decimales bajo el sistema de referencia MAGNA-SIRGAS oficial del Instituto Geográfico Agustín Codazzi. Permite la ubicación exacta del inmueble y la integración de información cartográfica y climática necesaria para el diseño técnico de las soluciones de autogeneración solar fotovoltaica.</w:t>
      </w:r>
    </w:p>
    <w:p w14:paraId="249A7242" w14:textId="77777777" w:rsidR="002849EC" w:rsidRPr="00EA5B57" w:rsidRDefault="002849EC" w:rsidP="00EA5B57">
      <w:pPr>
        <w:jc w:val="both"/>
        <w:rPr>
          <w:rFonts w:ascii="Arial" w:eastAsia="Arial" w:hAnsi="Arial" w:cs="Arial"/>
          <w:color w:val="000000" w:themeColor="text1"/>
          <w:sz w:val="24"/>
          <w:szCs w:val="24"/>
        </w:rPr>
      </w:pPr>
      <w:r w:rsidRPr="00EA5B57">
        <w:rPr>
          <w:rFonts w:ascii="Arial" w:eastAsia="Arial" w:hAnsi="Arial" w:cs="Arial"/>
          <w:b/>
          <w:bCs/>
          <w:color w:val="000000" w:themeColor="text1"/>
          <w:sz w:val="24"/>
          <w:szCs w:val="24"/>
        </w:rPr>
        <w:t>f. Localidad POT:</w:t>
      </w:r>
      <w:r w:rsidRPr="00EA5B57">
        <w:rPr>
          <w:rFonts w:ascii="Arial" w:eastAsia="Arial" w:hAnsi="Arial" w:cs="Arial"/>
          <w:color w:val="000000" w:themeColor="text1"/>
          <w:sz w:val="24"/>
          <w:szCs w:val="24"/>
        </w:rPr>
        <w:t xml:space="preserve"> Subdivisiones administrativas encargadas de la gestión territorial que suele funcionar como una unidad de convivencia y servicios.</w:t>
      </w:r>
    </w:p>
    <w:p w14:paraId="2249815A" w14:textId="7FA34E6E" w:rsidR="002849EC" w:rsidRDefault="002849EC" w:rsidP="00353438">
      <w:pPr>
        <w:jc w:val="both"/>
        <w:rPr>
          <w:rFonts w:eastAsiaTheme="majorEastAsia" w:cstheme="majorBidi"/>
          <w:color w:val="000000" w:themeColor="text1"/>
          <w:sz w:val="24"/>
          <w:szCs w:val="24"/>
        </w:rPr>
      </w:pPr>
      <w:r w:rsidRPr="00EA5B57">
        <w:rPr>
          <w:rFonts w:ascii="Arial" w:eastAsia="Arial" w:hAnsi="Arial" w:cs="Arial"/>
          <w:b/>
          <w:bCs/>
          <w:color w:val="000000" w:themeColor="text1"/>
          <w:sz w:val="24"/>
          <w:szCs w:val="24"/>
        </w:rPr>
        <w:t>g. Condiciones Especiales:</w:t>
      </w:r>
      <w:r w:rsidRPr="00EA5B57">
        <w:rPr>
          <w:rFonts w:ascii="Arial" w:eastAsia="Arial" w:hAnsi="Arial" w:cs="Arial"/>
          <w:color w:val="000000" w:themeColor="text1"/>
          <w:sz w:val="24"/>
          <w:szCs w:val="24"/>
        </w:rPr>
        <w:t xml:space="preserve"> Hace referencia a situaciones particulares en la prestación del servicio público de energía eléctrica que pueden incidir en la elegibilidad o tratamiento diferencial del usuario, tales como:</w:t>
      </w:r>
    </w:p>
    <w:tbl>
      <w:tblPr>
        <w:tblW w:w="0" w:type="auto"/>
        <w:jc w:val="right"/>
        <w:tblLook w:val="06A0" w:firstRow="1" w:lastRow="0" w:firstColumn="1" w:lastColumn="0" w:noHBand="1" w:noVBand="1"/>
      </w:tblPr>
      <w:tblGrid>
        <w:gridCol w:w="2050"/>
        <w:gridCol w:w="2145"/>
        <w:gridCol w:w="4515"/>
      </w:tblGrid>
      <w:tr w:rsidR="002849EC" w14:paraId="01A947EF" w14:textId="77777777" w:rsidTr="00C14EF5">
        <w:trPr>
          <w:trHeight w:val="555"/>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F422D2" w14:textId="77777777" w:rsidR="002849EC" w:rsidRDefault="002849EC" w:rsidP="00C14EF5">
            <w:pPr>
              <w:spacing w:after="0"/>
              <w:jc w:val="center"/>
            </w:pPr>
            <w:r w:rsidRPr="40AD52C2">
              <w:rPr>
                <w:rFonts w:ascii="Arial" w:eastAsia="Arial" w:hAnsi="Arial" w:cs="Arial"/>
                <w:b/>
                <w:bCs/>
                <w:color w:val="000000" w:themeColor="text1"/>
              </w:rPr>
              <w:t>Código reportado por la SSPD</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E8DD48" w14:textId="77777777" w:rsidR="002849EC" w:rsidRDefault="002849EC" w:rsidP="00C14EF5">
            <w:pPr>
              <w:spacing w:after="0"/>
              <w:jc w:val="center"/>
            </w:pPr>
            <w:r w:rsidRPr="40AD52C2">
              <w:rPr>
                <w:rFonts w:ascii="Arial" w:eastAsia="Arial" w:hAnsi="Arial" w:cs="Arial"/>
                <w:b/>
                <w:bCs/>
                <w:color w:val="000000" w:themeColor="text1"/>
              </w:rPr>
              <w:t>Tipo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7DEAE6" w14:textId="77777777" w:rsidR="002849EC" w:rsidRDefault="002849EC" w:rsidP="00C14EF5">
            <w:pPr>
              <w:spacing w:after="0"/>
              <w:jc w:val="center"/>
            </w:pPr>
            <w:r w:rsidRPr="40AD52C2">
              <w:rPr>
                <w:rFonts w:ascii="Arial" w:eastAsia="Arial" w:hAnsi="Arial" w:cs="Arial"/>
                <w:b/>
                <w:bCs/>
                <w:color w:val="000000" w:themeColor="text1"/>
              </w:rPr>
              <w:t>Descripción</w:t>
            </w:r>
          </w:p>
        </w:tc>
      </w:tr>
      <w:tr w:rsidR="002849EC" w14:paraId="3ED61BE9" w14:textId="77777777" w:rsidTr="00C14EF5">
        <w:trPr>
          <w:trHeight w:val="285"/>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394F26" w14:textId="77777777" w:rsidR="002849EC" w:rsidRDefault="002849EC" w:rsidP="00C14EF5">
            <w:pPr>
              <w:spacing w:after="0"/>
              <w:jc w:val="center"/>
            </w:pPr>
            <w:r w:rsidRPr="40AD52C2">
              <w:rPr>
                <w:rFonts w:ascii="Arial" w:eastAsia="Arial" w:hAnsi="Arial" w:cs="Arial"/>
                <w:color w:val="000000" w:themeColor="text1"/>
              </w:rPr>
              <w:t>0</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9E4EE7" w14:textId="77777777" w:rsidR="002849EC" w:rsidRDefault="002849EC" w:rsidP="00C14EF5">
            <w:pPr>
              <w:spacing w:after="0"/>
              <w:jc w:val="center"/>
            </w:pPr>
            <w:r w:rsidRPr="40AD52C2">
              <w:rPr>
                <w:rFonts w:ascii="Arial" w:eastAsia="Arial" w:hAnsi="Arial" w:cs="Arial"/>
                <w:color w:val="000000" w:themeColor="text1"/>
              </w:rPr>
              <w:t>Ninguna</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45E104" w14:textId="77777777" w:rsidR="002849EC" w:rsidRDefault="002849EC" w:rsidP="00C14EF5">
            <w:pPr>
              <w:spacing w:after="0"/>
              <w:jc w:val="center"/>
            </w:pPr>
            <w:r w:rsidRPr="40AD52C2">
              <w:rPr>
                <w:rFonts w:ascii="Arial" w:eastAsia="Arial" w:hAnsi="Arial" w:cs="Arial"/>
                <w:color w:val="000000" w:themeColor="text1"/>
              </w:rPr>
              <w:t>---</w:t>
            </w:r>
          </w:p>
        </w:tc>
      </w:tr>
      <w:tr w:rsidR="002849EC" w14:paraId="469B1490" w14:textId="77777777" w:rsidTr="00C14EF5">
        <w:trPr>
          <w:trHeight w:val="1125"/>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F9A218" w14:textId="77777777" w:rsidR="002849EC" w:rsidRDefault="002849EC" w:rsidP="00C14EF5">
            <w:pPr>
              <w:spacing w:after="0"/>
              <w:jc w:val="center"/>
            </w:pPr>
            <w:r w:rsidRPr="40AD52C2">
              <w:rPr>
                <w:rFonts w:ascii="Arial" w:eastAsia="Arial" w:hAnsi="Arial" w:cs="Arial"/>
                <w:color w:val="000000" w:themeColor="text1"/>
              </w:rPr>
              <w:t>1</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CC5481" w14:textId="77777777" w:rsidR="002849EC" w:rsidRDefault="002849EC" w:rsidP="00C14EF5">
            <w:pPr>
              <w:spacing w:after="0"/>
              <w:jc w:val="center"/>
            </w:pPr>
            <w:r w:rsidRPr="40AD52C2">
              <w:rPr>
                <w:rFonts w:ascii="Arial" w:eastAsia="Arial" w:hAnsi="Arial" w:cs="Arial"/>
                <w:color w:val="000000" w:themeColor="text1"/>
              </w:rPr>
              <w:t>Especial Asistencial</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D28DEA" w14:textId="77777777" w:rsidR="002849EC" w:rsidRDefault="002849EC" w:rsidP="00C14EF5">
            <w:pPr>
              <w:spacing w:after="0"/>
            </w:pPr>
            <w:r w:rsidRPr="40AD52C2">
              <w:rPr>
                <w:rFonts w:ascii="Arial" w:eastAsia="Arial" w:hAnsi="Arial" w:cs="Arial"/>
                <w:color w:val="000000" w:themeColor="text1"/>
              </w:rPr>
              <w:t>Hospitales, clínicas, puestos o centros de salud, y demás instituciones asistenciales exentas de pago de contribución conforme a lo dispuesto por la ley.</w:t>
            </w:r>
          </w:p>
        </w:tc>
      </w:tr>
      <w:tr w:rsidR="002849EC" w14:paraId="27DD4296" w14:textId="77777777" w:rsidTr="00C14EF5">
        <w:trPr>
          <w:trHeight w:val="1125"/>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70A7E3" w14:textId="77777777" w:rsidR="002849EC" w:rsidRDefault="002849EC" w:rsidP="00C14EF5">
            <w:pPr>
              <w:spacing w:after="0"/>
              <w:jc w:val="center"/>
            </w:pPr>
            <w:r w:rsidRPr="40AD52C2">
              <w:rPr>
                <w:rFonts w:ascii="Arial" w:eastAsia="Arial" w:hAnsi="Arial" w:cs="Arial"/>
                <w:color w:val="000000" w:themeColor="text1"/>
              </w:rPr>
              <w:t>2</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E5858E" w14:textId="77777777" w:rsidR="002849EC" w:rsidRDefault="002849EC" w:rsidP="00C14EF5">
            <w:pPr>
              <w:spacing w:after="0"/>
              <w:jc w:val="center"/>
            </w:pPr>
            <w:r w:rsidRPr="40AD52C2">
              <w:rPr>
                <w:rFonts w:ascii="Arial" w:eastAsia="Arial" w:hAnsi="Arial" w:cs="Arial"/>
                <w:color w:val="000000" w:themeColor="text1"/>
              </w:rPr>
              <w:t>Especial Educativo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418D7A" w14:textId="77777777" w:rsidR="002849EC" w:rsidRDefault="002849EC" w:rsidP="00C14EF5">
            <w:pPr>
              <w:spacing w:after="0"/>
            </w:pPr>
            <w:r w:rsidRPr="40AD52C2">
              <w:rPr>
                <w:rFonts w:ascii="Arial" w:eastAsia="Arial" w:hAnsi="Arial" w:cs="Arial"/>
                <w:color w:val="000000" w:themeColor="text1"/>
              </w:rPr>
              <w:t>Colegios, universidades y demás instituciones educativas exentas de pago de contribución conforme a lo dispuesto por la ley.</w:t>
            </w:r>
          </w:p>
        </w:tc>
      </w:tr>
      <w:tr w:rsidR="002849EC" w14:paraId="4DB64593" w14:textId="77777777" w:rsidTr="00C14EF5">
        <w:trPr>
          <w:trHeight w:val="168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502FFC" w14:textId="77777777" w:rsidR="002849EC" w:rsidRDefault="002849EC" w:rsidP="00C14EF5">
            <w:pPr>
              <w:spacing w:after="0"/>
              <w:jc w:val="center"/>
            </w:pPr>
            <w:r w:rsidRPr="40AD52C2">
              <w:rPr>
                <w:rFonts w:ascii="Arial" w:eastAsia="Arial" w:hAnsi="Arial" w:cs="Arial"/>
                <w:color w:val="000000" w:themeColor="text1"/>
              </w:rPr>
              <w:t>3</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4DCFEF" w14:textId="77777777" w:rsidR="002849EC" w:rsidRDefault="002849EC" w:rsidP="00C14EF5">
            <w:pPr>
              <w:spacing w:after="0"/>
              <w:jc w:val="center"/>
            </w:pPr>
            <w:r w:rsidRPr="40AD52C2">
              <w:rPr>
                <w:rFonts w:ascii="Arial" w:eastAsia="Arial" w:hAnsi="Arial" w:cs="Arial"/>
                <w:color w:val="000000" w:themeColor="text1"/>
              </w:rPr>
              <w:t>Áreas comunes</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2EC130" w14:textId="77777777" w:rsidR="002849EC" w:rsidRDefault="002849EC" w:rsidP="00C14EF5">
            <w:pPr>
              <w:spacing w:after="0"/>
            </w:pPr>
            <w:r w:rsidRPr="40AD52C2">
              <w:rPr>
                <w:rFonts w:ascii="Arial" w:eastAsia="Arial" w:hAnsi="Arial" w:cs="Arial"/>
                <w:color w:val="000000" w:themeColor="text1"/>
              </w:rPr>
              <w:t>Para efectos de facturación del servicio de energía, se consideran como un usuario único y sus consumos se liquidan en la misma forma que se liquidan los consumos de los usuarios del respectivo conjunto habitacional.</w:t>
            </w:r>
          </w:p>
        </w:tc>
      </w:tr>
      <w:tr w:rsidR="002849EC" w14:paraId="5048B2F0" w14:textId="77777777" w:rsidTr="00C14EF5">
        <w:trPr>
          <w:trHeight w:val="168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97EAE6" w14:textId="77777777" w:rsidR="002849EC" w:rsidRDefault="002849EC" w:rsidP="00C14EF5">
            <w:pPr>
              <w:spacing w:after="0"/>
              <w:jc w:val="center"/>
            </w:pPr>
            <w:r w:rsidRPr="40AD52C2">
              <w:rPr>
                <w:rFonts w:ascii="Arial" w:eastAsia="Arial" w:hAnsi="Arial" w:cs="Arial"/>
                <w:color w:val="000000" w:themeColor="text1"/>
              </w:rPr>
              <w:lastRenderedPageBreak/>
              <w:t>4</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1B52DF" w14:textId="77777777" w:rsidR="002849EC" w:rsidRDefault="002849EC" w:rsidP="00C14EF5">
            <w:pPr>
              <w:spacing w:after="0"/>
              <w:jc w:val="center"/>
            </w:pPr>
            <w:r w:rsidRPr="40AD52C2">
              <w:rPr>
                <w:rFonts w:ascii="Arial" w:eastAsia="Arial" w:hAnsi="Arial" w:cs="Arial"/>
                <w:color w:val="000000" w:themeColor="text1"/>
              </w:rPr>
              <w:t>Industrial bombeo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46FC45" w14:textId="77777777" w:rsidR="002849EC" w:rsidRDefault="002849EC" w:rsidP="00C14EF5">
            <w:pPr>
              <w:spacing w:after="0"/>
            </w:pPr>
            <w:r w:rsidRPr="40AD52C2">
              <w:rPr>
                <w:rFonts w:ascii="Arial" w:eastAsia="Arial" w:hAnsi="Arial" w:cs="Arial"/>
                <w:color w:val="000000" w:themeColor="text1"/>
              </w:rPr>
              <w:t>Hace referencia a las facturas correspondientes de usuarios cuyos consumos de energía son utilizados específicamente en las actividades operativas inherentes a la propia prestación del servicio de acueducto y/o alcantarillado.</w:t>
            </w:r>
          </w:p>
        </w:tc>
      </w:tr>
      <w:tr w:rsidR="002849EC" w14:paraId="4F27FC07" w14:textId="77777777" w:rsidTr="00C14EF5">
        <w:trPr>
          <w:trHeight w:val="1125"/>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059328" w14:textId="77777777" w:rsidR="002849EC" w:rsidRDefault="002849EC" w:rsidP="00C14EF5">
            <w:pPr>
              <w:spacing w:after="0"/>
              <w:jc w:val="center"/>
            </w:pPr>
            <w:r w:rsidRPr="40AD52C2">
              <w:rPr>
                <w:rFonts w:ascii="Arial" w:eastAsia="Arial" w:hAnsi="Arial" w:cs="Arial"/>
                <w:color w:val="000000" w:themeColor="text1"/>
              </w:rPr>
              <w:t>5</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EB2392" w14:textId="77777777" w:rsidR="002849EC" w:rsidRDefault="002849EC" w:rsidP="00C14EF5">
            <w:pPr>
              <w:spacing w:after="0"/>
              <w:jc w:val="center"/>
            </w:pPr>
            <w:r w:rsidRPr="40AD52C2">
              <w:rPr>
                <w:rFonts w:ascii="Arial" w:eastAsia="Arial" w:hAnsi="Arial" w:cs="Arial"/>
                <w:color w:val="000000" w:themeColor="text1"/>
              </w:rPr>
              <w:t>Distrito de Riego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C0812B" w14:textId="77777777" w:rsidR="002849EC" w:rsidRDefault="002849EC" w:rsidP="00C14EF5">
            <w:pPr>
              <w:spacing w:after="0"/>
            </w:pPr>
            <w:r w:rsidRPr="40AD52C2">
              <w:rPr>
                <w:rFonts w:ascii="Arial" w:eastAsia="Arial" w:hAnsi="Arial" w:cs="Arial"/>
                <w:color w:val="000000" w:themeColor="text1"/>
              </w:rPr>
              <w:t>Facturas correspondientes a usuarios de distritos de riego según artículo 70 de la Ley 1110 de 2006 o las que la modifiquen o sustituyan.</w:t>
            </w:r>
          </w:p>
        </w:tc>
      </w:tr>
      <w:tr w:rsidR="002849EC" w14:paraId="6791EF38" w14:textId="77777777" w:rsidTr="00C14EF5">
        <w:trPr>
          <w:trHeight w:val="1125"/>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FC753B" w14:textId="77777777" w:rsidR="002849EC" w:rsidRDefault="002849EC" w:rsidP="00C14EF5">
            <w:pPr>
              <w:spacing w:after="0"/>
              <w:jc w:val="center"/>
            </w:pPr>
            <w:r w:rsidRPr="40AD52C2">
              <w:rPr>
                <w:rFonts w:ascii="Arial" w:eastAsia="Arial" w:hAnsi="Arial" w:cs="Arial"/>
                <w:color w:val="000000" w:themeColor="text1"/>
              </w:rPr>
              <w:t>6</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2A265C" w14:textId="77777777" w:rsidR="002849EC" w:rsidRDefault="002849EC" w:rsidP="00C14EF5">
            <w:pPr>
              <w:spacing w:after="0"/>
              <w:jc w:val="center"/>
            </w:pPr>
            <w:r w:rsidRPr="40AD52C2">
              <w:rPr>
                <w:rFonts w:ascii="Arial" w:eastAsia="Arial" w:hAnsi="Arial" w:cs="Arial"/>
                <w:color w:val="000000" w:themeColor="text1"/>
              </w:rPr>
              <w:t>Hogar comunitario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0E6DA9" w14:textId="77777777" w:rsidR="002849EC" w:rsidRDefault="002849EC" w:rsidP="00C14EF5">
            <w:pPr>
              <w:spacing w:after="0"/>
            </w:pPr>
            <w:r w:rsidRPr="40AD52C2">
              <w:rPr>
                <w:rFonts w:ascii="Arial" w:eastAsia="Arial" w:hAnsi="Arial" w:cs="Arial"/>
                <w:color w:val="000000" w:themeColor="text1"/>
              </w:rPr>
              <w:t>Establecido en el artículo 127 de la Ley 1450. Para efectos del cálculo de tarifas, los inmuebles donde funcionan hogares comunitarios se consideran estrato 1.</w:t>
            </w:r>
          </w:p>
        </w:tc>
      </w:tr>
      <w:tr w:rsidR="002849EC" w14:paraId="0ADE1902" w14:textId="77777777" w:rsidTr="00C14EF5">
        <w:trPr>
          <w:trHeight w:val="84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9316E0" w14:textId="77777777" w:rsidR="002849EC" w:rsidRDefault="002849EC" w:rsidP="00C14EF5">
            <w:pPr>
              <w:spacing w:after="0"/>
              <w:jc w:val="center"/>
            </w:pPr>
            <w:r w:rsidRPr="40AD52C2">
              <w:rPr>
                <w:rFonts w:ascii="Arial" w:eastAsia="Arial" w:hAnsi="Arial" w:cs="Arial"/>
                <w:color w:val="000000" w:themeColor="text1"/>
              </w:rPr>
              <w:t>7</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E17FEA" w14:textId="77777777" w:rsidR="002849EC" w:rsidRDefault="002849EC" w:rsidP="00C14EF5">
            <w:pPr>
              <w:spacing w:after="0"/>
              <w:jc w:val="center"/>
            </w:pPr>
            <w:r w:rsidRPr="40AD52C2">
              <w:rPr>
                <w:rFonts w:ascii="Arial" w:eastAsia="Arial" w:hAnsi="Arial" w:cs="Arial"/>
                <w:color w:val="000000" w:themeColor="text1"/>
              </w:rPr>
              <w:t>Inquilinato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F52D77" w14:textId="77777777" w:rsidR="002849EC" w:rsidRDefault="002849EC" w:rsidP="00C14EF5">
            <w:pPr>
              <w:spacing w:after="0"/>
            </w:pPr>
            <w:r w:rsidRPr="40AD52C2">
              <w:rPr>
                <w:rFonts w:ascii="Arial" w:eastAsia="Arial" w:hAnsi="Arial" w:cs="Arial"/>
                <w:color w:val="000000" w:themeColor="text1"/>
              </w:rPr>
              <w:t>Edificación clasificada en estratos 1, 2 o 3 con una entrada común, que aloja tres o más hogares que comparten servicios públicos.</w:t>
            </w:r>
          </w:p>
        </w:tc>
      </w:tr>
      <w:tr w:rsidR="002849EC" w14:paraId="6A1644C9" w14:textId="77777777" w:rsidTr="00C14EF5">
        <w:trPr>
          <w:trHeight w:val="84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720EFD" w14:textId="77777777" w:rsidR="002849EC" w:rsidRDefault="002849EC" w:rsidP="00C14EF5">
            <w:pPr>
              <w:spacing w:after="0"/>
              <w:jc w:val="center"/>
            </w:pPr>
            <w:r w:rsidRPr="40AD52C2">
              <w:rPr>
                <w:rFonts w:ascii="Arial" w:eastAsia="Arial" w:hAnsi="Arial" w:cs="Arial"/>
                <w:color w:val="000000" w:themeColor="text1"/>
              </w:rPr>
              <w:t>8</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B5A84D" w14:textId="77777777" w:rsidR="002849EC" w:rsidRDefault="002849EC" w:rsidP="00C14EF5">
            <w:pPr>
              <w:spacing w:after="0"/>
              <w:jc w:val="center"/>
            </w:pPr>
            <w:r w:rsidRPr="40AD52C2">
              <w:rPr>
                <w:rFonts w:ascii="Arial" w:eastAsia="Arial" w:hAnsi="Arial" w:cs="Arial"/>
                <w:color w:val="000000" w:themeColor="text1"/>
              </w:rPr>
              <w:t>Asentamiento indígena</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0641C6" w14:textId="77777777" w:rsidR="002849EC" w:rsidRDefault="002849EC" w:rsidP="00C14EF5">
            <w:pPr>
              <w:spacing w:after="0"/>
            </w:pPr>
            <w:r w:rsidRPr="40AD52C2">
              <w:rPr>
                <w:rFonts w:ascii="Arial" w:eastAsia="Arial" w:hAnsi="Arial" w:cs="Arial"/>
                <w:color w:val="000000" w:themeColor="text1"/>
              </w:rPr>
              <w:t>Usuarios ubicados en zona rural dispersa con tratamiento especial en subsidios; se consideran estrato 1.</w:t>
            </w:r>
          </w:p>
        </w:tc>
      </w:tr>
      <w:tr w:rsidR="002849EC" w14:paraId="1C0E3642" w14:textId="77777777" w:rsidTr="00C14EF5">
        <w:trPr>
          <w:trHeight w:val="84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59B699" w14:textId="77777777" w:rsidR="002849EC" w:rsidRDefault="002849EC" w:rsidP="00C14EF5">
            <w:pPr>
              <w:spacing w:after="0"/>
              <w:jc w:val="center"/>
            </w:pPr>
            <w:r w:rsidRPr="40AD52C2">
              <w:rPr>
                <w:rFonts w:ascii="Arial" w:eastAsia="Arial" w:hAnsi="Arial" w:cs="Arial"/>
                <w:color w:val="000000" w:themeColor="text1"/>
              </w:rPr>
              <w:t>9</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BEF4C8" w14:textId="77777777" w:rsidR="002849EC" w:rsidRDefault="002849EC" w:rsidP="00C14EF5">
            <w:pPr>
              <w:spacing w:after="0"/>
              <w:jc w:val="center"/>
            </w:pPr>
            <w:r w:rsidRPr="40AD52C2">
              <w:rPr>
                <w:rFonts w:ascii="Arial" w:eastAsia="Arial" w:hAnsi="Arial" w:cs="Arial"/>
                <w:color w:val="000000" w:themeColor="text1"/>
              </w:rPr>
              <w:t>Contribuyente exento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C17765" w14:textId="77777777" w:rsidR="002849EC" w:rsidRDefault="002849EC" w:rsidP="00C14EF5">
            <w:pPr>
              <w:spacing w:after="0"/>
            </w:pPr>
            <w:r w:rsidRPr="40AD52C2">
              <w:rPr>
                <w:rFonts w:ascii="Arial" w:eastAsia="Arial" w:hAnsi="Arial" w:cs="Arial"/>
                <w:color w:val="000000" w:themeColor="text1"/>
              </w:rPr>
              <w:t>Usuarios que cumplen con lo establecido en el Artículo 89.7 de la Ley 142 de 1994 y el Decreto 2915 de 2011.</w:t>
            </w:r>
          </w:p>
        </w:tc>
      </w:tr>
      <w:tr w:rsidR="002849EC" w14:paraId="44990F75" w14:textId="77777777" w:rsidTr="00C14EF5">
        <w:trPr>
          <w:trHeight w:val="84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445046" w14:textId="77777777" w:rsidR="002849EC" w:rsidRDefault="002849EC" w:rsidP="00C14EF5">
            <w:pPr>
              <w:spacing w:after="0"/>
              <w:jc w:val="center"/>
            </w:pPr>
            <w:r w:rsidRPr="40AD52C2">
              <w:rPr>
                <w:rFonts w:ascii="Arial" w:eastAsia="Arial" w:hAnsi="Arial" w:cs="Arial"/>
                <w:color w:val="000000" w:themeColor="text1"/>
              </w:rPr>
              <w:t>10</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C88684" w14:textId="77777777" w:rsidR="002849EC" w:rsidRDefault="002849EC" w:rsidP="00C14EF5">
            <w:pPr>
              <w:spacing w:after="0"/>
              <w:jc w:val="center"/>
            </w:pPr>
            <w:r w:rsidRPr="40AD52C2">
              <w:rPr>
                <w:rFonts w:ascii="Arial" w:eastAsia="Arial" w:hAnsi="Arial" w:cs="Arial"/>
                <w:color w:val="000000" w:themeColor="text1"/>
              </w:rPr>
              <w:t>Vivienda de interés social o prioritario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DD3DCF" w14:textId="77777777" w:rsidR="002849EC" w:rsidRDefault="002849EC" w:rsidP="00C14EF5">
            <w:pPr>
              <w:spacing w:after="0"/>
            </w:pPr>
            <w:r w:rsidRPr="40AD52C2">
              <w:rPr>
                <w:rFonts w:ascii="Arial" w:eastAsia="Arial" w:hAnsi="Arial" w:cs="Arial"/>
                <w:color w:val="000000" w:themeColor="text1"/>
              </w:rPr>
              <w:t>Usuarios que hacen parte del programa VIS o VIP de acuerdo con el Decreto 1077 de 2015.</w:t>
            </w:r>
          </w:p>
        </w:tc>
      </w:tr>
      <w:tr w:rsidR="002849EC" w14:paraId="408BCECC" w14:textId="77777777" w:rsidTr="00C14EF5">
        <w:trPr>
          <w:trHeight w:val="84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F2CCA7" w14:textId="77777777" w:rsidR="002849EC" w:rsidRDefault="002849EC" w:rsidP="00C14EF5">
            <w:pPr>
              <w:spacing w:after="0"/>
              <w:jc w:val="center"/>
            </w:pPr>
            <w:r w:rsidRPr="40AD52C2">
              <w:rPr>
                <w:rFonts w:ascii="Arial" w:eastAsia="Arial" w:hAnsi="Arial" w:cs="Arial"/>
                <w:color w:val="000000" w:themeColor="text1"/>
              </w:rPr>
              <w:t>11</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A1F1A5" w14:textId="77777777" w:rsidR="002849EC" w:rsidRDefault="002849EC" w:rsidP="00C14EF5">
            <w:pPr>
              <w:spacing w:after="0"/>
              <w:jc w:val="center"/>
            </w:pPr>
            <w:r w:rsidRPr="40AD52C2">
              <w:rPr>
                <w:rFonts w:ascii="Arial" w:eastAsia="Arial" w:hAnsi="Arial" w:cs="Arial"/>
                <w:color w:val="000000" w:themeColor="text1"/>
              </w:rPr>
              <w:t>Patrimonio histórico</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C00BA6" w14:textId="77777777" w:rsidR="002849EC" w:rsidRDefault="002849EC" w:rsidP="00C14EF5">
            <w:pPr>
              <w:spacing w:after="0"/>
            </w:pPr>
            <w:r w:rsidRPr="40AD52C2">
              <w:rPr>
                <w:rFonts w:ascii="Arial" w:eastAsia="Arial" w:hAnsi="Arial" w:cs="Arial"/>
                <w:color w:val="000000" w:themeColor="text1"/>
              </w:rPr>
              <w:t>Predios declarados monumentos nacionales o de interés cultural con beneficio de equiparación al estrato 1.</w:t>
            </w:r>
          </w:p>
        </w:tc>
      </w:tr>
      <w:tr w:rsidR="002849EC" w14:paraId="34977A8C" w14:textId="77777777" w:rsidTr="00C14EF5">
        <w:trPr>
          <w:trHeight w:val="840"/>
          <w:jc w:val="right"/>
        </w:trPr>
        <w:tc>
          <w:tcPr>
            <w:tcW w:w="20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894CBD" w14:textId="77777777" w:rsidR="002849EC" w:rsidRDefault="002849EC" w:rsidP="00C14EF5">
            <w:pPr>
              <w:spacing w:after="0"/>
              <w:jc w:val="center"/>
            </w:pPr>
            <w:r w:rsidRPr="40AD52C2">
              <w:rPr>
                <w:rFonts w:ascii="Arial" w:eastAsia="Arial" w:hAnsi="Arial" w:cs="Arial"/>
                <w:color w:val="000000" w:themeColor="text1"/>
              </w:rPr>
              <w:t>12</w:t>
            </w:r>
          </w:p>
        </w:tc>
        <w:tc>
          <w:tcPr>
            <w:tcW w:w="21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51C655" w14:textId="77777777" w:rsidR="002849EC" w:rsidRDefault="002849EC" w:rsidP="00C14EF5">
            <w:pPr>
              <w:spacing w:after="0"/>
              <w:jc w:val="center"/>
            </w:pPr>
            <w:r w:rsidRPr="40AD52C2">
              <w:rPr>
                <w:rFonts w:ascii="Arial" w:eastAsia="Arial" w:hAnsi="Arial" w:cs="Arial"/>
                <w:color w:val="000000" w:themeColor="text1"/>
              </w:rPr>
              <w:t>Pequeños productores rurales</w:t>
            </w:r>
          </w:p>
        </w:tc>
        <w:tc>
          <w:tcPr>
            <w:tcW w:w="45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324BEC" w14:textId="77777777" w:rsidR="002849EC" w:rsidRDefault="002849EC" w:rsidP="00C14EF5">
            <w:pPr>
              <w:spacing w:after="0"/>
            </w:pPr>
            <w:r w:rsidRPr="40AD52C2">
              <w:rPr>
                <w:rFonts w:ascii="Arial" w:eastAsia="Arial" w:hAnsi="Arial" w:cs="Arial"/>
                <w:color w:val="000000" w:themeColor="text1"/>
              </w:rPr>
              <w:t>Facturas correspondientes a pequeños productores rurales según la normatividad vigente.</w:t>
            </w:r>
          </w:p>
        </w:tc>
      </w:tr>
    </w:tbl>
    <w:p w14:paraId="32451039" w14:textId="77777777" w:rsidR="002849EC" w:rsidRDefault="002849EC" w:rsidP="002849EC">
      <w:pPr>
        <w:ind w:left="708"/>
        <w:jc w:val="both"/>
        <w:rPr>
          <w:rFonts w:eastAsiaTheme="majorEastAsia" w:cstheme="majorBidi"/>
          <w:color w:val="000000" w:themeColor="text1"/>
          <w:sz w:val="24"/>
          <w:szCs w:val="24"/>
        </w:rPr>
      </w:pPr>
    </w:p>
    <w:p w14:paraId="1E8C1980" w14:textId="77777777" w:rsidR="002849EC" w:rsidRPr="00353438" w:rsidRDefault="002849EC" w:rsidP="00353438">
      <w:pPr>
        <w:jc w:val="both"/>
        <w:rPr>
          <w:rFonts w:ascii="Arial" w:eastAsia="Arial" w:hAnsi="Arial" w:cs="Arial"/>
          <w:color w:val="000000" w:themeColor="text1"/>
          <w:sz w:val="24"/>
          <w:szCs w:val="24"/>
        </w:rPr>
      </w:pPr>
      <w:r w:rsidRPr="00353438">
        <w:rPr>
          <w:rFonts w:ascii="Arial" w:eastAsia="Arial" w:hAnsi="Arial" w:cs="Arial"/>
          <w:color w:val="000000" w:themeColor="text1"/>
          <w:sz w:val="24"/>
          <w:szCs w:val="24"/>
        </w:rPr>
        <w:t>Esta variable permite identificar contextos que requieren análisis específico dentro del proceso de focalización, garantizando que la asignación de soluciones energéticas considere las características reales de ocupación y uso del inmueble.</w:t>
      </w:r>
    </w:p>
    <w:p w14:paraId="7FBAFF37" w14:textId="77777777" w:rsidR="002849EC" w:rsidRPr="00353438" w:rsidRDefault="002849EC" w:rsidP="00353438">
      <w:pPr>
        <w:jc w:val="both"/>
        <w:rPr>
          <w:rFonts w:ascii="Arial" w:eastAsia="Arial" w:hAnsi="Arial" w:cs="Arial"/>
          <w:color w:val="000000" w:themeColor="text1"/>
          <w:sz w:val="24"/>
          <w:szCs w:val="24"/>
        </w:rPr>
      </w:pPr>
      <w:r w:rsidRPr="00353438">
        <w:rPr>
          <w:rFonts w:ascii="Arial" w:eastAsia="Arial" w:hAnsi="Arial" w:cs="Arial"/>
          <w:b/>
          <w:bCs/>
          <w:color w:val="000000" w:themeColor="text1"/>
          <w:sz w:val="24"/>
          <w:szCs w:val="24"/>
        </w:rPr>
        <w:t>h. Número de Familias:</w:t>
      </w:r>
      <w:r w:rsidRPr="00353438">
        <w:rPr>
          <w:rFonts w:ascii="Arial" w:eastAsia="Arial" w:hAnsi="Arial" w:cs="Arial"/>
          <w:color w:val="000000" w:themeColor="text1"/>
          <w:sz w:val="24"/>
          <w:szCs w:val="24"/>
        </w:rPr>
        <w:t xml:space="preserve"> El Número de Familias corresponde a la cantidad de hogares que hacen parte de un mismo inmueble, tales como inquilinatos o barrios subnormales, asociados a un único punto de conexión del servicio de energía eléctrica. En los casos en que el inmueble no presente esta condición, el valor reportado deberá ser cero (0).</w:t>
      </w:r>
    </w:p>
    <w:p w14:paraId="43DDD844" w14:textId="77777777" w:rsidR="002849EC" w:rsidRPr="00353438" w:rsidRDefault="002849EC" w:rsidP="00353438">
      <w:pPr>
        <w:jc w:val="both"/>
        <w:rPr>
          <w:rFonts w:ascii="Arial" w:eastAsia="Arial" w:hAnsi="Arial" w:cs="Arial"/>
          <w:color w:val="000000" w:themeColor="text1"/>
          <w:sz w:val="24"/>
          <w:szCs w:val="24"/>
        </w:rPr>
      </w:pPr>
      <w:r w:rsidRPr="00353438">
        <w:rPr>
          <w:rFonts w:ascii="Arial" w:eastAsia="Arial" w:hAnsi="Arial" w:cs="Arial"/>
          <w:color w:val="000000" w:themeColor="text1"/>
          <w:sz w:val="24"/>
          <w:szCs w:val="24"/>
        </w:rPr>
        <w:t>Esta variable permite identificar situaciones de ocupación múltiple y dado que la naturaleza técnica del sistema con templa el abastecimiento autónomo e individualizado de un solo hogar, la incorporación de esta variable dentro del modelo de focalización permite asegurar la coherencia técnica del dimensionamiento de los sistemas.</w:t>
      </w:r>
    </w:p>
    <w:p w14:paraId="30BE8923" w14:textId="77777777" w:rsidR="002849EC" w:rsidRPr="00353438" w:rsidRDefault="002849EC" w:rsidP="00353438">
      <w:pPr>
        <w:jc w:val="both"/>
        <w:rPr>
          <w:rFonts w:ascii="Arial" w:eastAsia="Arial" w:hAnsi="Arial" w:cs="Arial"/>
          <w:color w:val="000000" w:themeColor="text1"/>
          <w:sz w:val="24"/>
          <w:szCs w:val="24"/>
        </w:rPr>
      </w:pPr>
      <w:r w:rsidRPr="00353438">
        <w:rPr>
          <w:rFonts w:ascii="Arial" w:eastAsia="Arial" w:hAnsi="Arial" w:cs="Arial"/>
          <w:b/>
          <w:bCs/>
          <w:color w:val="000000" w:themeColor="text1"/>
          <w:sz w:val="24"/>
          <w:szCs w:val="24"/>
        </w:rPr>
        <w:t>i. Consumo de Subsistencia:</w:t>
      </w:r>
      <w:r w:rsidRPr="00353438">
        <w:rPr>
          <w:rFonts w:ascii="Arial" w:eastAsia="Arial" w:hAnsi="Arial" w:cs="Arial"/>
          <w:color w:val="000000" w:themeColor="text1"/>
          <w:sz w:val="24"/>
          <w:szCs w:val="24"/>
        </w:rPr>
        <w:t xml:space="preserve"> Corresponde a la cantidad mínima de energía eléctrica, expresada en kilovatios hora (kWh), definido por la (UPME), que un usuario típico requiere mensualmente para satisfacer necesidades básicas que únicamente pueden ser atendidas mediante esta forma de energía final.</w:t>
      </w:r>
    </w:p>
    <w:tbl>
      <w:tblPr>
        <w:tblW w:w="0" w:type="auto"/>
        <w:jc w:val="right"/>
        <w:tblLook w:val="06A0" w:firstRow="1" w:lastRow="0" w:firstColumn="1" w:lastColumn="0" w:noHBand="1" w:noVBand="1"/>
      </w:tblPr>
      <w:tblGrid>
        <w:gridCol w:w="3397"/>
        <w:gridCol w:w="5916"/>
      </w:tblGrid>
      <w:tr w:rsidR="002849EC" w14:paraId="5EAEF228" w14:textId="77777777" w:rsidTr="00320835">
        <w:trPr>
          <w:trHeight w:val="555"/>
          <w:jc w:val="right"/>
        </w:trPr>
        <w:tc>
          <w:tcPr>
            <w:tcW w:w="339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9FD4CA" w14:textId="77777777" w:rsidR="002849EC" w:rsidRDefault="002849EC" w:rsidP="00C14EF5">
            <w:pPr>
              <w:spacing w:after="0"/>
              <w:jc w:val="center"/>
            </w:pPr>
            <w:r w:rsidRPr="40AD52C2">
              <w:rPr>
                <w:rFonts w:ascii="Arial" w:eastAsia="Arial" w:hAnsi="Arial" w:cs="Arial"/>
                <w:b/>
                <w:bCs/>
                <w:color w:val="000000" w:themeColor="text1"/>
              </w:rPr>
              <w:lastRenderedPageBreak/>
              <w:t>Código reportado por la SSPD</w:t>
            </w:r>
          </w:p>
        </w:tc>
        <w:tc>
          <w:tcPr>
            <w:tcW w:w="59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B31164" w14:textId="77777777" w:rsidR="002849EC" w:rsidRDefault="002849EC" w:rsidP="00C14EF5">
            <w:pPr>
              <w:spacing w:after="0"/>
              <w:jc w:val="center"/>
            </w:pPr>
            <w:r w:rsidRPr="40AD52C2">
              <w:rPr>
                <w:rFonts w:ascii="Arial" w:eastAsia="Arial" w:hAnsi="Arial" w:cs="Arial"/>
                <w:b/>
                <w:bCs/>
                <w:color w:val="000000" w:themeColor="text1"/>
              </w:rPr>
              <w:t>Descripción</w:t>
            </w:r>
          </w:p>
        </w:tc>
      </w:tr>
      <w:tr w:rsidR="002849EC" w14:paraId="1DD7C590" w14:textId="77777777" w:rsidTr="00320835">
        <w:trPr>
          <w:trHeight w:val="555"/>
          <w:jc w:val="right"/>
        </w:trPr>
        <w:tc>
          <w:tcPr>
            <w:tcW w:w="339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8CD7A6" w14:textId="77777777" w:rsidR="002849EC" w:rsidRDefault="002849EC" w:rsidP="00C14EF5">
            <w:pPr>
              <w:spacing w:after="0"/>
              <w:jc w:val="center"/>
            </w:pPr>
            <w:r w:rsidRPr="40AD52C2">
              <w:rPr>
                <w:rFonts w:ascii="Arial" w:eastAsia="Arial" w:hAnsi="Arial" w:cs="Arial"/>
                <w:color w:val="000000" w:themeColor="text1"/>
              </w:rPr>
              <w:t>1</w:t>
            </w:r>
          </w:p>
        </w:tc>
        <w:tc>
          <w:tcPr>
            <w:tcW w:w="59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39E374" w14:textId="77777777" w:rsidR="002849EC" w:rsidRDefault="002849EC" w:rsidP="00C14EF5">
            <w:pPr>
              <w:spacing w:after="0"/>
              <w:jc w:val="center"/>
            </w:pPr>
            <w:r w:rsidRPr="40AD52C2">
              <w:rPr>
                <w:rFonts w:ascii="Arial" w:eastAsia="Arial" w:hAnsi="Arial" w:cs="Arial"/>
                <w:color w:val="000000" w:themeColor="text1"/>
              </w:rPr>
              <w:t>173 kWh-mes para alturas inferiores a 1.000 metros sobre el nivel del mar</w:t>
            </w:r>
          </w:p>
        </w:tc>
      </w:tr>
      <w:tr w:rsidR="002849EC" w14:paraId="6A0684DC" w14:textId="77777777" w:rsidTr="00320835">
        <w:trPr>
          <w:trHeight w:val="555"/>
          <w:jc w:val="right"/>
        </w:trPr>
        <w:tc>
          <w:tcPr>
            <w:tcW w:w="339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C2F8C8" w14:textId="77777777" w:rsidR="002849EC" w:rsidRDefault="002849EC" w:rsidP="00C14EF5">
            <w:pPr>
              <w:spacing w:after="0"/>
              <w:jc w:val="center"/>
            </w:pPr>
            <w:r w:rsidRPr="40AD52C2">
              <w:rPr>
                <w:rFonts w:ascii="Arial" w:eastAsia="Arial" w:hAnsi="Arial" w:cs="Arial"/>
                <w:color w:val="000000" w:themeColor="text1"/>
              </w:rPr>
              <w:t>2</w:t>
            </w:r>
          </w:p>
        </w:tc>
        <w:tc>
          <w:tcPr>
            <w:tcW w:w="59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CEF7D5" w14:textId="77777777" w:rsidR="002849EC" w:rsidRDefault="002849EC" w:rsidP="00C14EF5">
            <w:pPr>
              <w:spacing w:after="0"/>
              <w:jc w:val="center"/>
            </w:pPr>
            <w:r w:rsidRPr="40AD52C2">
              <w:rPr>
                <w:rFonts w:ascii="Arial" w:eastAsia="Arial" w:hAnsi="Arial" w:cs="Arial"/>
                <w:color w:val="000000" w:themeColor="text1"/>
              </w:rPr>
              <w:t>130 kWh-mes para alturas iguales o superiores a 1.000 metros sobre el nivel del mar</w:t>
            </w:r>
          </w:p>
        </w:tc>
      </w:tr>
      <w:tr w:rsidR="002849EC" w14:paraId="171CE945" w14:textId="77777777" w:rsidTr="00320835">
        <w:trPr>
          <w:trHeight w:val="555"/>
          <w:jc w:val="right"/>
        </w:trPr>
        <w:tc>
          <w:tcPr>
            <w:tcW w:w="339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23EE00" w14:textId="77777777" w:rsidR="002849EC" w:rsidRDefault="002849EC" w:rsidP="00C14EF5">
            <w:pPr>
              <w:spacing w:after="0"/>
              <w:jc w:val="center"/>
            </w:pPr>
            <w:r w:rsidRPr="40AD52C2">
              <w:rPr>
                <w:rFonts w:ascii="Arial" w:eastAsia="Arial" w:hAnsi="Arial" w:cs="Arial"/>
                <w:color w:val="000000" w:themeColor="text1"/>
              </w:rPr>
              <w:t>3</w:t>
            </w:r>
          </w:p>
        </w:tc>
        <w:tc>
          <w:tcPr>
            <w:tcW w:w="59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6E3610" w14:textId="77777777" w:rsidR="002849EC" w:rsidRDefault="002849EC" w:rsidP="00C14EF5">
            <w:pPr>
              <w:spacing w:after="0"/>
              <w:jc w:val="center"/>
            </w:pPr>
            <w:r w:rsidRPr="40AD52C2">
              <w:rPr>
                <w:rFonts w:ascii="Arial" w:eastAsia="Arial" w:hAnsi="Arial" w:cs="Arial"/>
                <w:color w:val="000000" w:themeColor="text1"/>
              </w:rPr>
              <w:t>184 kWh-mes para alturas inferiores a 1.000 metros sobre el nivel del mar para Barrios Subnormales</w:t>
            </w:r>
          </w:p>
        </w:tc>
      </w:tr>
      <w:tr w:rsidR="002849EC" w14:paraId="5AC1974A" w14:textId="77777777" w:rsidTr="00320835">
        <w:trPr>
          <w:trHeight w:val="840"/>
          <w:jc w:val="right"/>
        </w:trPr>
        <w:tc>
          <w:tcPr>
            <w:tcW w:w="339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2DAD4B" w14:textId="77777777" w:rsidR="002849EC" w:rsidRDefault="002849EC" w:rsidP="00C14EF5">
            <w:pPr>
              <w:spacing w:after="0"/>
              <w:jc w:val="center"/>
            </w:pPr>
            <w:r w:rsidRPr="40AD52C2">
              <w:rPr>
                <w:rFonts w:ascii="Arial" w:eastAsia="Arial" w:hAnsi="Arial" w:cs="Arial"/>
                <w:color w:val="000000" w:themeColor="text1"/>
              </w:rPr>
              <w:t>4</w:t>
            </w:r>
          </w:p>
        </w:tc>
        <w:tc>
          <w:tcPr>
            <w:tcW w:w="59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5DFD0D" w14:textId="77777777" w:rsidR="002849EC" w:rsidRDefault="002849EC" w:rsidP="00C14EF5">
            <w:pPr>
              <w:spacing w:after="0"/>
              <w:jc w:val="center"/>
            </w:pPr>
            <w:r w:rsidRPr="40AD52C2">
              <w:rPr>
                <w:rFonts w:ascii="Arial" w:eastAsia="Arial" w:hAnsi="Arial" w:cs="Arial"/>
                <w:color w:val="000000" w:themeColor="text1"/>
              </w:rPr>
              <w:t>138 kWh-mes para alturas iguales o superiores a 1.000 metros sobre el nivel del mar para Barrios Subnormales</w:t>
            </w:r>
          </w:p>
        </w:tc>
      </w:tr>
      <w:tr w:rsidR="002849EC" w14:paraId="230FB57F" w14:textId="77777777" w:rsidTr="00320835">
        <w:trPr>
          <w:trHeight w:val="555"/>
          <w:jc w:val="right"/>
        </w:trPr>
        <w:tc>
          <w:tcPr>
            <w:tcW w:w="339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D5DB3B" w14:textId="77777777" w:rsidR="002849EC" w:rsidRDefault="002849EC" w:rsidP="00C14EF5">
            <w:pPr>
              <w:spacing w:after="0"/>
              <w:jc w:val="center"/>
            </w:pPr>
            <w:r w:rsidRPr="40AD52C2">
              <w:rPr>
                <w:rFonts w:ascii="Arial" w:eastAsia="Arial" w:hAnsi="Arial" w:cs="Arial"/>
                <w:color w:val="000000" w:themeColor="text1"/>
              </w:rPr>
              <w:t>5</w:t>
            </w:r>
          </w:p>
        </w:tc>
        <w:tc>
          <w:tcPr>
            <w:tcW w:w="59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484F1B" w14:textId="77777777" w:rsidR="002849EC" w:rsidRDefault="002849EC" w:rsidP="00C14EF5">
            <w:pPr>
              <w:spacing w:after="0"/>
              <w:jc w:val="center"/>
            </w:pPr>
            <w:r w:rsidRPr="40AD52C2">
              <w:rPr>
                <w:rFonts w:ascii="Arial" w:eastAsia="Arial" w:hAnsi="Arial" w:cs="Arial"/>
                <w:color w:val="000000" w:themeColor="text1"/>
              </w:rPr>
              <w:t>Cuando se refiera a usuarios de estratos 4, 5, 6 y no residenciales</w:t>
            </w:r>
          </w:p>
        </w:tc>
      </w:tr>
    </w:tbl>
    <w:p w14:paraId="2CB29830" w14:textId="77777777" w:rsidR="002849EC" w:rsidRDefault="002849EC" w:rsidP="002849EC">
      <w:pPr>
        <w:ind w:left="708"/>
        <w:jc w:val="both"/>
        <w:rPr>
          <w:rFonts w:eastAsiaTheme="majorEastAsia" w:cstheme="majorBidi"/>
          <w:color w:val="000000" w:themeColor="text1"/>
          <w:sz w:val="24"/>
          <w:szCs w:val="24"/>
        </w:rPr>
      </w:pPr>
    </w:p>
    <w:p w14:paraId="5A85351D" w14:textId="77777777" w:rsidR="002849EC" w:rsidRPr="00F265DA" w:rsidRDefault="002849EC" w:rsidP="00F265DA">
      <w:pPr>
        <w:jc w:val="both"/>
        <w:rPr>
          <w:rFonts w:ascii="Arial" w:eastAsia="Arial" w:hAnsi="Arial" w:cs="Arial"/>
          <w:color w:val="000000" w:themeColor="text1"/>
          <w:sz w:val="24"/>
          <w:szCs w:val="24"/>
        </w:rPr>
      </w:pPr>
      <w:r w:rsidRPr="00F265DA">
        <w:rPr>
          <w:rFonts w:ascii="Arial" w:eastAsia="Arial" w:hAnsi="Arial" w:cs="Arial"/>
          <w:color w:val="000000" w:themeColor="text1"/>
          <w:sz w:val="24"/>
          <w:szCs w:val="24"/>
        </w:rPr>
        <w:t>Esta variable adquiere un carácter estructural, dado que el esquema de autogeneración solar se concibe como alternativa al subsidio aplicado sobre dicho consumo básico. Su incorporación en el modelo de focalización permite dimensionar técnicamente los sistemas fotovoltaicos, determinar los aportes del sistema y cuantificar las metas del programa garantizando coherencia con el marco regulatorio.</w:t>
      </w:r>
    </w:p>
    <w:p w14:paraId="435384E8" w14:textId="77777777" w:rsidR="002849EC" w:rsidRPr="00F265DA" w:rsidRDefault="002849EC" w:rsidP="00F265DA">
      <w:pPr>
        <w:jc w:val="both"/>
        <w:rPr>
          <w:rFonts w:ascii="Arial" w:eastAsia="Arial" w:hAnsi="Arial" w:cs="Arial"/>
          <w:color w:val="000000" w:themeColor="text1"/>
          <w:sz w:val="24"/>
          <w:szCs w:val="24"/>
        </w:rPr>
      </w:pPr>
      <w:r w:rsidRPr="00F265DA">
        <w:rPr>
          <w:rFonts w:ascii="Arial" w:eastAsia="Arial" w:hAnsi="Arial" w:cs="Arial"/>
          <w:b/>
          <w:bCs/>
          <w:color w:val="000000" w:themeColor="text1"/>
          <w:sz w:val="24"/>
          <w:szCs w:val="24"/>
        </w:rPr>
        <w:t>j. Código de Circuito o Línea:</w:t>
      </w:r>
      <w:r w:rsidRPr="00F265DA">
        <w:rPr>
          <w:rFonts w:ascii="Arial" w:eastAsia="Arial" w:hAnsi="Arial" w:cs="Arial"/>
          <w:color w:val="000000" w:themeColor="text1"/>
          <w:sz w:val="24"/>
          <w:szCs w:val="24"/>
        </w:rPr>
        <w:t xml:space="preserve"> Corresponde al identificador único asignado por el Operador de Red a cada uno de los alimentadores donde se conectan los usuarios. Esta variable permite ubicar al usuario dentro de una unidad operativa específica del sistema eléctrico. </w:t>
      </w:r>
    </w:p>
    <w:p w14:paraId="761E9D48" w14:textId="77777777" w:rsidR="002849EC" w:rsidRPr="00F265DA" w:rsidRDefault="002849EC" w:rsidP="00F265DA">
      <w:pPr>
        <w:jc w:val="both"/>
        <w:rPr>
          <w:rFonts w:ascii="Arial" w:eastAsia="Arial" w:hAnsi="Arial" w:cs="Arial"/>
          <w:color w:val="000000" w:themeColor="text1"/>
          <w:sz w:val="24"/>
          <w:szCs w:val="24"/>
        </w:rPr>
      </w:pPr>
      <w:r w:rsidRPr="00F265DA">
        <w:rPr>
          <w:rFonts w:ascii="Arial" w:eastAsia="Arial" w:hAnsi="Arial" w:cs="Arial"/>
          <w:b/>
          <w:bCs/>
          <w:color w:val="000000" w:themeColor="text1"/>
          <w:sz w:val="24"/>
          <w:szCs w:val="24"/>
        </w:rPr>
        <w:t>k. Código de Transformador:</w:t>
      </w:r>
      <w:r w:rsidRPr="00F265DA">
        <w:rPr>
          <w:rFonts w:ascii="Arial" w:eastAsia="Arial" w:hAnsi="Arial" w:cs="Arial"/>
          <w:color w:val="000000" w:themeColor="text1"/>
          <w:sz w:val="24"/>
          <w:szCs w:val="24"/>
        </w:rPr>
        <w:t xml:space="preserve"> Es el identificador único asignado por el Operador de Red a cada uno de los transformadores de distribución donde se conectan los usuarios. Esta variable permite determinar la infraestructura eléctrica específica que soporta el suministro del servicio, evaluar la capacidad nominal instalada, el nivel de carga y las condiciones técnicas para la integración de la AGPE. Su incorporación en el proceso de segmentación facilita el análisis de viabilidad técnica y la planificación adecuada de soluciones fotovoltaicas, garantizando el cumplimiento regulatorio y la estabilidad del sistema. Este código se complementa con la siguiente información propia del transformador: latitud, longitud, capacidad nominal.</w:t>
      </w:r>
    </w:p>
    <w:p w14:paraId="74D2CBFF" w14:textId="5729C942" w:rsidR="002849EC" w:rsidRDefault="003276CA" w:rsidP="00320835">
      <w:pPr>
        <w:tabs>
          <w:tab w:val="left" w:pos="4474"/>
        </w:tabs>
        <w:spacing w:after="0"/>
        <w:jc w:val="both"/>
        <w:rPr>
          <w:rFonts w:ascii="Arial" w:eastAsia="Arial" w:hAnsi="Arial" w:cs="Arial"/>
          <w:b/>
          <w:bCs/>
          <w:sz w:val="24"/>
          <w:szCs w:val="24"/>
        </w:rPr>
      </w:pPr>
      <w:r>
        <w:rPr>
          <w:rFonts w:ascii="Arial" w:eastAsia="Arial" w:hAnsi="Arial" w:cs="Arial"/>
          <w:b/>
          <w:bCs/>
          <w:sz w:val="24"/>
          <w:szCs w:val="24"/>
        </w:rPr>
        <w:t xml:space="preserve">ii. </w:t>
      </w:r>
      <w:r w:rsidR="002849EC" w:rsidRPr="00320835">
        <w:rPr>
          <w:rFonts w:ascii="Arial" w:eastAsia="Arial" w:hAnsi="Arial" w:cs="Arial"/>
          <w:b/>
          <w:bCs/>
          <w:sz w:val="24"/>
          <w:szCs w:val="24"/>
        </w:rPr>
        <w:t>Variables de elegibilidad</w:t>
      </w:r>
    </w:p>
    <w:p w14:paraId="35869F9F" w14:textId="77777777" w:rsidR="00320835" w:rsidRPr="00320835" w:rsidRDefault="00320835" w:rsidP="00320835">
      <w:pPr>
        <w:tabs>
          <w:tab w:val="left" w:pos="4474"/>
        </w:tabs>
        <w:spacing w:after="0"/>
        <w:jc w:val="both"/>
        <w:rPr>
          <w:rFonts w:ascii="Arial" w:eastAsia="Arial" w:hAnsi="Arial" w:cs="Arial"/>
          <w:b/>
          <w:bCs/>
          <w:sz w:val="24"/>
          <w:szCs w:val="24"/>
        </w:rPr>
      </w:pPr>
    </w:p>
    <w:p w14:paraId="55E8DC4A" w14:textId="77777777" w:rsidR="002849EC" w:rsidRDefault="002849EC" w:rsidP="002849EC">
      <w:pPr>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rPr>
        <w:t>Estos criterios constituyen la etapa de verificación técnica y validación de condiciones mínimas habilitantes para la eventual incorporación de potenciales beneficiarios al programa.</w:t>
      </w:r>
    </w:p>
    <w:p w14:paraId="6157D707" w14:textId="77777777" w:rsidR="002849EC" w:rsidRDefault="002849EC" w:rsidP="002849EC">
      <w:pPr>
        <w:jc w:val="both"/>
        <w:rPr>
          <w:rFonts w:ascii="Arial" w:eastAsia="Arial" w:hAnsi="Arial" w:cs="Arial"/>
          <w:color w:val="000000" w:themeColor="text1"/>
          <w:sz w:val="24"/>
          <w:szCs w:val="24"/>
        </w:rPr>
      </w:pPr>
      <w:r w:rsidRPr="40AD52C2">
        <w:rPr>
          <w:rFonts w:ascii="Arial" w:eastAsia="Arial" w:hAnsi="Arial" w:cs="Arial"/>
          <w:color w:val="000000" w:themeColor="text1"/>
          <w:sz w:val="24"/>
          <w:szCs w:val="24"/>
        </w:rPr>
        <w:t>En esta fase se analizan características técnicas del usuario y variables determinantes para el cumplimiento de las condiciones regulatorias vigentes con el fin identificar si el usuario cuenta con los requisitos técnicos indispensables para continuar hacia fases posteriores de caracterización y priorización. En caso de no acreditarse dichas condiciones no se avanza dentro del proceso metodológico definido para el programa, sin que ello implique valoración subjetiva o descalificación del usuario, sino la aplicación objetiva de los criterios técnicos previamente establecidos.</w:t>
      </w:r>
    </w:p>
    <w:p w14:paraId="01E100B6" w14:textId="77777777" w:rsidR="002849EC" w:rsidRDefault="002849EC" w:rsidP="00E52CA7">
      <w:pPr>
        <w:pStyle w:val="Prrafodelista"/>
        <w:numPr>
          <w:ilvl w:val="0"/>
          <w:numId w:val="170"/>
        </w:numPr>
        <w:ind w:hanging="436"/>
        <w:jc w:val="both"/>
        <w:rPr>
          <w:rFonts w:ascii="Arial" w:hAnsi="Arial" w:cs="Arial"/>
          <w:sz w:val="24"/>
          <w:szCs w:val="24"/>
        </w:rPr>
      </w:pPr>
      <w:r w:rsidRPr="40AD52C2">
        <w:rPr>
          <w:rFonts w:ascii="Arial" w:hAnsi="Arial" w:cs="Arial"/>
          <w:b/>
          <w:bCs/>
          <w:sz w:val="24"/>
          <w:szCs w:val="24"/>
        </w:rPr>
        <w:lastRenderedPageBreak/>
        <w:t>Dirección:</w:t>
      </w:r>
      <w:r w:rsidRPr="40AD52C2">
        <w:rPr>
          <w:rFonts w:ascii="Arial" w:hAnsi="Arial" w:cs="Arial"/>
          <w:sz w:val="24"/>
          <w:szCs w:val="24"/>
        </w:rPr>
        <w:t xml:space="preserve"> Corresponde a la información detallada del domicilio del usuario. Esta variable cumple una función de identificación y localización física del inmueble, permitiendo la verificación en campo y el seguimiento operativo del Programa.</w:t>
      </w:r>
    </w:p>
    <w:p w14:paraId="2FE4FF70" w14:textId="77777777" w:rsidR="002849EC" w:rsidRDefault="002849EC" w:rsidP="002849EC">
      <w:pPr>
        <w:pStyle w:val="Prrafodelista"/>
        <w:jc w:val="both"/>
      </w:pPr>
    </w:p>
    <w:p w14:paraId="7F2843CD" w14:textId="77777777" w:rsidR="002849EC" w:rsidRDefault="002849EC" w:rsidP="002849EC">
      <w:pPr>
        <w:pStyle w:val="Prrafodelista"/>
        <w:jc w:val="both"/>
        <w:rPr>
          <w:rFonts w:ascii="Arial" w:hAnsi="Arial" w:cs="Arial"/>
          <w:sz w:val="24"/>
          <w:szCs w:val="24"/>
        </w:rPr>
      </w:pPr>
      <w:r w:rsidRPr="40AD52C2">
        <w:rPr>
          <w:rFonts w:ascii="Arial" w:hAnsi="Arial" w:cs="Arial"/>
          <w:sz w:val="24"/>
          <w:szCs w:val="24"/>
        </w:rPr>
        <w:t>Para la identificación de la dirección se dispone de una serie de abreviaturas tales como kilómetro (Km), autopista (Au), avenida (A) y barrio (Br), entre otras, las cuales serán utilizadas como parámetros de elegibilidad. En este sentido, aquellos registros que incluyan abreviaturas como AP (apartamento), Bq (bloque), Bd (bodega), Of (oficina) y similares, no harán parte del proceso de focalización, toda vez que su naturaleza no cumple con las condiciones mínimas requeridas para la implementación del programa, especialmente en lo relacionado con el uso del inmueble y la disponibilidad de espacio para la instalación de las soluciones previstas.</w:t>
      </w:r>
    </w:p>
    <w:p w14:paraId="46BE17B1" w14:textId="77777777" w:rsidR="002849EC" w:rsidRDefault="002849EC" w:rsidP="002849EC">
      <w:pPr>
        <w:pStyle w:val="Prrafodelista"/>
        <w:jc w:val="both"/>
        <w:rPr>
          <w:rFonts w:ascii="Arial" w:hAnsi="Arial" w:cs="Arial"/>
          <w:b/>
          <w:bCs/>
          <w:sz w:val="24"/>
          <w:szCs w:val="24"/>
        </w:rPr>
      </w:pPr>
    </w:p>
    <w:p w14:paraId="059FC3D6" w14:textId="77777777" w:rsidR="002849EC" w:rsidRDefault="002849EC" w:rsidP="00E52CA7">
      <w:pPr>
        <w:pStyle w:val="Prrafodelista"/>
        <w:numPr>
          <w:ilvl w:val="0"/>
          <w:numId w:val="170"/>
        </w:numPr>
        <w:ind w:hanging="436"/>
        <w:jc w:val="both"/>
        <w:rPr>
          <w:rFonts w:ascii="Arial" w:hAnsi="Arial" w:cs="Arial"/>
          <w:sz w:val="24"/>
          <w:szCs w:val="24"/>
        </w:rPr>
      </w:pPr>
      <w:r w:rsidRPr="40AD52C2">
        <w:rPr>
          <w:rFonts w:ascii="Arial" w:hAnsi="Arial" w:cs="Arial"/>
          <w:b/>
          <w:bCs/>
          <w:sz w:val="24"/>
          <w:szCs w:val="24"/>
        </w:rPr>
        <w:t xml:space="preserve">Autogenerador: </w:t>
      </w:r>
      <w:r w:rsidRPr="40AD52C2">
        <w:rPr>
          <w:rFonts w:ascii="Arial" w:hAnsi="Arial" w:cs="Arial"/>
          <w:sz w:val="24"/>
          <w:szCs w:val="24"/>
        </w:rPr>
        <w:t>La condición de autogenerador implica la existencia de infraestructura de generación de energía eléctrica instalada en el punto de consumo, bajo categorías definidas por la regulación energética nacional. La evaluación de esta condición permite evitar la duplicidad de beneficios e inconsistencias técnicas. En los casos en que el inmueble no presente esta condición, el código reportado será tres (3), con el cual podrá continuar el proceso establecido.</w:t>
      </w:r>
    </w:p>
    <w:p w14:paraId="5D2896BF" w14:textId="77777777" w:rsidR="002849EC" w:rsidRDefault="002849EC" w:rsidP="002849EC">
      <w:pPr>
        <w:pStyle w:val="Prrafodelista"/>
        <w:jc w:val="both"/>
        <w:rPr>
          <w:rFonts w:ascii="Arial" w:hAnsi="Arial" w:cs="Arial"/>
          <w:sz w:val="24"/>
          <w:szCs w:val="24"/>
        </w:rPr>
      </w:pPr>
    </w:p>
    <w:tbl>
      <w:tblPr>
        <w:tblW w:w="0" w:type="auto"/>
        <w:jc w:val="right"/>
        <w:tblLook w:val="06A0" w:firstRow="1" w:lastRow="0" w:firstColumn="1" w:lastColumn="0" w:noHBand="1" w:noVBand="1"/>
      </w:tblPr>
      <w:tblGrid>
        <w:gridCol w:w="2536"/>
        <w:gridCol w:w="2085"/>
        <w:gridCol w:w="3945"/>
      </w:tblGrid>
      <w:tr w:rsidR="002849EC" w14:paraId="0478F67C" w14:textId="77777777" w:rsidTr="00C14EF5">
        <w:trPr>
          <w:trHeight w:val="555"/>
          <w:jc w:val="right"/>
        </w:trPr>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2C0B74" w14:textId="77777777" w:rsidR="002849EC" w:rsidRDefault="002849EC" w:rsidP="00C14EF5">
            <w:pPr>
              <w:spacing w:after="0"/>
              <w:jc w:val="center"/>
            </w:pPr>
            <w:r w:rsidRPr="40AD52C2">
              <w:rPr>
                <w:rFonts w:ascii="Arial" w:eastAsia="Arial" w:hAnsi="Arial" w:cs="Arial"/>
                <w:b/>
                <w:bCs/>
                <w:color w:val="000000" w:themeColor="text1"/>
              </w:rPr>
              <w:t>Código reportado por la SSPD</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C05AD3" w14:textId="77777777" w:rsidR="002849EC" w:rsidRDefault="002849EC" w:rsidP="00C14EF5">
            <w:pPr>
              <w:spacing w:after="0"/>
              <w:jc w:val="center"/>
            </w:pPr>
            <w:r w:rsidRPr="40AD52C2">
              <w:rPr>
                <w:rFonts w:ascii="Arial" w:eastAsia="Arial" w:hAnsi="Arial" w:cs="Arial"/>
                <w:b/>
                <w:bCs/>
                <w:color w:val="000000" w:themeColor="text1"/>
              </w:rPr>
              <w:t>Categoría</w:t>
            </w:r>
          </w:p>
        </w:tc>
        <w:tc>
          <w:tcPr>
            <w:tcW w:w="39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6929E4" w14:textId="77777777" w:rsidR="002849EC" w:rsidRDefault="002849EC" w:rsidP="00C14EF5">
            <w:pPr>
              <w:spacing w:after="0"/>
              <w:jc w:val="center"/>
            </w:pPr>
            <w:r w:rsidRPr="40AD52C2">
              <w:rPr>
                <w:rFonts w:ascii="Arial" w:eastAsia="Arial" w:hAnsi="Arial" w:cs="Arial"/>
                <w:b/>
                <w:bCs/>
                <w:color w:val="000000" w:themeColor="text1"/>
              </w:rPr>
              <w:t>Descripción Técnica</w:t>
            </w:r>
          </w:p>
        </w:tc>
      </w:tr>
      <w:tr w:rsidR="002849EC" w14:paraId="6D5EBC79" w14:textId="77777777" w:rsidTr="00C14EF5">
        <w:trPr>
          <w:trHeight w:val="1125"/>
          <w:jc w:val="right"/>
        </w:trPr>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94A0AE" w14:textId="77777777" w:rsidR="002849EC" w:rsidRDefault="002849EC" w:rsidP="00C14EF5">
            <w:pPr>
              <w:spacing w:after="0"/>
              <w:jc w:val="center"/>
            </w:pPr>
            <w:r w:rsidRPr="40AD52C2">
              <w:rPr>
                <w:rFonts w:ascii="Arial" w:eastAsia="Arial" w:hAnsi="Arial" w:cs="Arial"/>
                <w:color w:val="000000" w:themeColor="text1"/>
              </w:rPr>
              <w:t>1</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E4FE70" w14:textId="77777777" w:rsidR="002849EC" w:rsidRDefault="002849EC" w:rsidP="00C14EF5">
            <w:pPr>
              <w:spacing w:after="0"/>
              <w:jc w:val="center"/>
            </w:pPr>
            <w:r w:rsidRPr="40AD52C2">
              <w:rPr>
                <w:rFonts w:ascii="Arial" w:eastAsia="Arial" w:hAnsi="Arial" w:cs="Arial"/>
                <w:color w:val="000000" w:themeColor="text1"/>
              </w:rPr>
              <w:t>AGPE – Autogenerador a Pequeña Escala</w:t>
            </w:r>
          </w:p>
        </w:tc>
        <w:tc>
          <w:tcPr>
            <w:tcW w:w="39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01F69D" w14:textId="77777777" w:rsidR="002849EC" w:rsidRDefault="002849EC" w:rsidP="00C14EF5">
            <w:pPr>
              <w:spacing w:after="0"/>
              <w:jc w:val="center"/>
            </w:pPr>
            <w:r w:rsidRPr="40AD52C2">
              <w:rPr>
                <w:rFonts w:ascii="Arial" w:eastAsia="Arial" w:hAnsi="Arial" w:cs="Arial"/>
                <w:color w:val="000000" w:themeColor="text1"/>
              </w:rPr>
              <w:t>Usuario que genera energía principalmente para su propio consumo, con posibilidad de inyectar excedentes a la red.</w:t>
            </w:r>
          </w:p>
        </w:tc>
      </w:tr>
      <w:tr w:rsidR="002849EC" w14:paraId="5DEC2B8B" w14:textId="77777777" w:rsidTr="00C14EF5">
        <w:trPr>
          <w:trHeight w:val="1125"/>
          <w:jc w:val="right"/>
        </w:trPr>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716D2F" w14:textId="77777777" w:rsidR="002849EC" w:rsidRDefault="002849EC" w:rsidP="00C14EF5">
            <w:pPr>
              <w:spacing w:after="0"/>
              <w:jc w:val="center"/>
            </w:pPr>
            <w:r w:rsidRPr="40AD52C2">
              <w:rPr>
                <w:rFonts w:ascii="Arial" w:eastAsia="Arial" w:hAnsi="Arial" w:cs="Arial"/>
                <w:color w:val="000000" w:themeColor="text1"/>
              </w:rPr>
              <w:t>2</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768E66" w14:textId="77777777" w:rsidR="002849EC" w:rsidRDefault="002849EC" w:rsidP="00C14EF5">
            <w:pPr>
              <w:spacing w:after="0"/>
              <w:jc w:val="center"/>
            </w:pPr>
            <w:r w:rsidRPr="40AD52C2">
              <w:rPr>
                <w:rFonts w:ascii="Arial" w:eastAsia="Arial" w:hAnsi="Arial" w:cs="Arial"/>
                <w:color w:val="000000" w:themeColor="text1"/>
              </w:rPr>
              <w:t>AGGE – Autogenerador a Gran Escala</w:t>
            </w:r>
          </w:p>
        </w:tc>
        <w:tc>
          <w:tcPr>
            <w:tcW w:w="39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41AF3A" w14:textId="77777777" w:rsidR="002849EC" w:rsidRDefault="002849EC" w:rsidP="00C14EF5">
            <w:pPr>
              <w:spacing w:after="0"/>
              <w:jc w:val="center"/>
            </w:pPr>
            <w:r w:rsidRPr="40AD52C2">
              <w:rPr>
                <w:rFonts w:ascii="Arial" w:eastAsia="Arial" w:hAnsi="Arial" w:cs="Arial"/>
                <w:color w:val="000000" w:themeColor="text1"/>
              </w:rPr>
              <w:t>Usuario con capacidad de generación significativa que puede inyectar excedentes al Sistema Interconectado.</w:t>
            </w:r>
          </w:p>
        </w:tc>
      </w:tr>
      <w:tr w:rsidR="002849EC" w14:paraId="0E1A9615" w14:textId="77777777" w:rsidTr="00C14EF5">
        <w:trPr>
          <w:trHeight w:val="555"/>
          <w:jc w:val="right"/>
        </w:trPr>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4F6DC7" w14:textId="77777777" w:rsidR="002849EC" w:rsidRDefault="002849EC" w:rsidP="00C14EF5">
            <w:pPr>
              <w:spacing w:after="0"/>
              <w:jc w:val="center"/>
            </w:pPr>
            <w:r w:rsidRPr="40AD52C2">
              <w:rPr>
                <w:rFonts w:ascii="Arial" w:eastAsia="Arial" w:hAnsi="Arial" w:cs="Arial"/>
                <w:color w:val="000000" w:themeColor="text1"/>
              </w:rPr>
              <w:t>3</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3355EB" w14:textId="77777777" w:rsidR="002849EC" w:rsidRDefault="002849EC" w:rsidP="00C14EF5">
            <w:pPr>
              <w:spacing w:after="0"/>
              <w:jc w:val="center"/>
            </w:pPr>
            <w:r w:rsidRPr="40AD52C2">
              <w:rPr>
                <w:rFonts w:ascii="Arial" w:eastAsia="Arial" w:hAnsi="Arial" w:cs="Arial"/>
                <w:color w:val="000000" w:themeColor="text1"/>
              </w:rPr>
              <w:t>No Aplica</w:t>
            </w:r>
          </w:p>
        </w:tc>
        <w:tc>
          <w:tcPr>
            <w:tcW w:w="39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73DE0F" w14:textId="77777777" w:rsidR="002849EC" w:rsidRDefault="002849EC" w:rsidP="00C14EF5">
            <w:pPr>
              <w:spacing w:after="0"/>
              <w:jc w:val="center"/>
            </w:pPr>
            <w:r w:rsidRPr="40AD52C2">
              <w:rPr>
                <w:rFonts w:ascii="Arial" w:eastAsia="Arial" w:hAnsi="Arial" w:cs="Arial"/>
                <w:color w:val="000000" w:themeColor="text1"/>
              </w:rPr>
              <w:t>Usuario sin infraestructura de autogeneración instalada.</w:t>
            </w:r>
          </w:p>
        </w:tc>
      </w:tr>
    </w:tbl>
    <w:p w14:paraId="2CFC52AF" w14:textId="77777777" w:rsidR="002849EC" w:rsidRDefault="002849EC" w:rsidP="002849EC">
      <w:pPr>
        <w:jc w:val="both"/>
        <w:rPr>
          <w:rFonts w:ascii="Arial" w:hAnsi="Arial" w:cs="Arial"/>
          <w:sz w:val="24"/>
          <w:szCs w:val="24"/>
        </w:rPr>
      </w:pPr>
    </w:p>
    <w:p w14:paraId="66FCE01C" w14:textId="77777777" w:rsidR="002849EC" w:rsidRDefault="002849EC" w:rsidP="00E52CA7">
      <w:pPr>
        <w:pStyle w:val="Prrafodelista"/>
        <w:numPr>
          <w:ilvl w:val="0"/>
          <w:numId w:val="170"/>
        </w:numPr>
        <w:ind w:hanging="436"/>
        <w:jc w:val="both"/>
        <w:rPr>
          <w:rFonts w:ascii="Arial" w:hAnsi="Arial" w:cs="Arial"/>
          <w:sz w:val="24"/>
          <w:szCs w:val="24"/>
        </w:rPr>
      </w:pPr>
      <w:r w:rsidRPr="40AD52C2">
        <w:rPr>
          <w:rFonts w:ascii="Arial" w:hAnsi="Arial" w:cs="Arial"/>
          <w:b/>
          <w:bCs/>
          <w:sz w:val="24"/>
          <w:szCs w:val="24"/>
        </w:rPr>
        <w:t xml:space="preserve">Tipo de medidor: </w:t>
      </w:r>
      <w:r w:rsidRPr="40AD52C2">
        <w:rPr>
          <w:rFonts w:ascii="Arial" w:hAnsi="Arial" w:cs="Arial"/>
          <w:sz w:val="24"/>
          <w:szCs w:val="24"/>
        </w:rPr>
        <w:t>Corresponde al tipo de equipo o sistema de medida instalado, con el cual se determina el consumo del usuario. En caso de que se trate de un usuario sin medidor el código reportado será seis (6), lo cual implicaría un usuario no normalizado, caso en el cual no se podría hacer seguimiento al comportamiento del sistema ni a las metas del programa, por lo cual no cumpliría con los requisitos mínimos para continuar el proceso.</w:t>
      </w:r>
    </w:p>
    <w:tbl>
      <w:tblPr>
        <w:tblW w:w="0" w:type="auto"/>
        <w:jc w:val="right"/>
        <w:tblLook w:val="06A0" w:firstRow="1" w:lastRow="0" w:firstColumn="1" w:lastColumn="0" w:noHBand="1" w:noVBand="1"/>
      </w:tblPr>
      <w:tblGrid>
        <w:gridCol w:w="2070"/>
        <w:gridCol w:w="2085"/>
        <w:gridCol w:w="4860"/>
      </w:tblGrid>
      <w:tr w:rsidR="002849EC" w14:paraId="32B90186" w14:textId="77777777" w:rsidTr="00C14EF5">
        <w:trPr>
          <w:trHeight w:val="112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2E7887" w14:textId="77777777" w:rsidR="002849EC" w:rsidRDefault="002849EC" w:rsidP="00C14EF5">
            <w:pPr>
              <w:spacing w:after="0"/>
              <w:jc w:val="center"/>
            </w:pPr>
            <w:r w:rsidRPr="40AD52C2">
              <w:rPr>
                <w:rFonts w:ascii="Arial" w:eastAsia="Arial" w:hAnsi="Arial" w:cs="Arial"/>
                <w:b/>
                <w:bCs/>
                <w:color w:val="000000" w:themeColor="text1"/>
              </w:rPr>
              <w:t>Código reportado por la SSPD</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D28B2B" w14:textId="77777777" w:rsidR="002849EC" w:rsidRDefault="002849EC" w:rsidP="00C14EF5">
            <w:pPr>
              <w:spacing w:after="0"/>
              <w:jc w:val="center"/>
            </w:pPr>
            <w:r w:rsidRPr="40AD52C2">
              <w:rPr>
                <w:rFonts w:ascii="Arial" w:eastAsia="Arial" w:hAnsi="Arial" w:cs="Arial"/>
                <w:b/>
                <w:bCs/>
                <w:color w:val="000000" w:themeColor="text1"/>
              </w:rPr>
              <w:t>Tipo de Medidor</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31A5F8" w14:textId="77777777" w:rsidR="002849EC" w:rsidRDefault="002849EC" w:rsidP="00C14EF5">
            <w:pPr>
              <w:spacing w:after="0"/>
              <w:jc w:val="center"/>
            </w:pPr>
            <w:r w:rsidRPr="40AD52C2">
              <w:rPr>
                <w:rFonts w:ascii="Arial" w:eastAsia="Arial" w:hAnsi="Arial" w:cs="Arial"/>
                <w:b/>
                <w:bCs/>
                <w:color w:val="000000" w:themeColor="text1"/>
              </w:rPr>
              <w:t>Características Técnicas</w:t>
            </w:r>
          </w:p>
        </w:tc>
      </w:tr>
      <w:tr w:rsidR="002849EC" w14:paraId="4AD0A4C1" w14:textId="77777777" w:rsidTr="00C14EF5">
        <w:trPr>
          <w:trHeight w:val="55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7C30C4" w14:textId="77777777" w:rsidR="002849EC" w:rsidRDefault="002849EC" w:rsidP="00C14EF5">
            <w:pPr>
              <w:spacing w:after="0"/>
              <w:jc w:val="center"/>
            </w:pPr>
            <w:r w:rsidRPr="40AD52C2">
              <w:rPr>
                <w:rFonts w:ascii="Arial" w:eastAsia="Arial" w:hAnsi="Arial" w:cs="Arial"/>
                <w:color w:val="000000" w:themeColor="text1"/>
              </w:rPr>
              <w:t>1</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67CD27" w14:textId="77777777" w:rsidR="002849EC" w:rsidRDefault="002849EC" w:rsidP="00C14EF5">
            <w:pPr>
              <w:spacing w:after="0"/>
              <w:jc w:val="center"/>
            </w:pPr>
            <w:r w:rsidRPr="40AD52C2">
              <w:rPr>
                <w:rFonts w:ascii="Arial" w:eastAsia="Arial" w:hAnsi="Arial" w:cs="Arial"/>
                <w:color w:val="000000" w:themeColor="text1"/>
              </w:rPr>
              <w:t>Electromecánico</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365E69" w14:textId="77777777" w:rsidR="002849EC" w:rsidRDefault="002849EC" w:rsidP="00C14EF5">
            <w:pPr>
              <w:spacing w:after="0"/>
              <w:jc w:val="center"/>
            </w:pPr>
            <w:r w:rsidRPr="40AD52C2">
              <w:rPr>
                <w:rFonts w:ascii="Arial" w:eastAsia="Arial" w:hAnsi="Arial" w:cs="Arial"/>
                <w:color w:val="000000" w:themeColor="text1"/>
              </w:rPr>
              <w:t>Registro básico de energía activa. Lectura manual.</w:t>
            </w:r>
          </w:p>
        </w:tc>
      </w:tr>
      <w:tr w:rsidR="002849EC" w14:paraId="471B5F0B" w14:textId="77777777" w:rsidTr="00C14EF5">
        <w:trPr>
          <w:trHeight w:val="28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4D6C4F" w14:textId="77777777" w:rsidR="002849EC" w:rsidRDefault="002849EC" w:rsidP="00C14EF5">
            <w:pPr>
              <w:spacing w:after="0"/>
              <w:jc w:val="center"/>
            </w:pPr>
            <w:r w:rsidRPr="40AD52C2">
              <w:rPr>
                <w:rFonts w:ascii="Arial" w:eastAsia="Arial" w:hAnsi="Arial" w:cs="Arial"/>
                <w:color w:val="000000" w:themeColor="text1"/>
              </w:rPr>
              <w:t>2</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40F7A0" w14:textId="77777777" w:rsidR="002849EC" w:rsidRDefault="002849EC" w:rsidP="00C14EF5">
            <w:pPr>
              <w:spacing w:after="0"/>
              <w:jc w:val="center"/>
            </w:pPr>
            <w:r w:rsidRPr="40AD52C2">
              <w:rPr>
                <w:rFonts w:ascii="Arial" w:eastAsia="Arial" w:hAnsi="Arial" w:cs="Arial"/>
                <w:color w:val="000000" w:themeColor="text1"/>
              </w:rPr>
              <w:t>Electrónico</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68A8AB" w14:textId="77777777" w:rsidR="002849EC" w:rsidRDefault="002849EC" w:rsidP="00C14EF5">
            <w:pPr>
              <w:spacing w:after="0"/>
              <w:jc w:val="center"/>
            </w:pPr>
            <w:r w:rsidRPr="40AD52C2">
              <w:rPr>
                <w:rFonts w:ascii="Arial" w:eastAsia="Arial" w:hAnsi="Arial" w:cs="Arial"/>
                <w:color w:val="000000" w:themeColor="text1"/>
              </w:rPr>
              <w:t>Mayor precisión, registro más estable.</w:t>
            </w:r>
          </w:p>
        </w:tc>
      </w:tr>
      <w:tr w:rsidR="002849EC" w14:paraId="780B66F4" w14:textId="77777777" w:rsidTr="00C14EF5">
        <w:trPr>
          <w:trHeight w:val="55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1A084F" w14:textId="77777777" w:rsidR="002849EC" w:rsidRDefault="002849EC" w:rsidP="00C14EF5">
            <w:pPr>
              <w:spacing w:after="0"/>
              <w:jc w:val="center"/>
            </w:pPr>
            <w:r w:rsidRPr="40AD52C2">
              <w:rPr>
                <w:rFonts w:ascii="Arial" w:eastAsia="Arial" w:hAnsi="Arial" w:cs="Arial"/>
                <w:color w:val="000000" w:themeColor="text1"/>
              </w:rPr>
              <w:lastRenderedPageBreak/>
              <w:t>3</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BD73FA" w14:textId="77777777" w:rsidR="002849EC" w:rsidRDefault="002849EC" w:rsidP="00C14EF5">
            <w:pPr>
              <w:spacing w:after="0"/>
              <w:jc w:val="center"/>
            </w:pPr>
            <w:r w:rsidRPr="40AD52C2">
              <w:rPr>
                <w:rFonts w:ascii="Arial" w:eastAsia="Arial" w:hAnsi="Arial" w:cs="Arial"/>
                <w:color w:val="000000" w:themeColor="text1"/>
              </w:rPr>
              <w:t>Bidireccional</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16F6EA" w14:textId="77777777" w:rsidR="002849EC" w:rsidRDefault="002849EC" w:rsidP="00C14EF5">
            <w:pPr>
              <w:spacing w:after="0"/>
              <w:jc w:val="center"/>
            </w:pPr>
            <w:r w:rsidRPr="40AD52C2">
              <w:rPr>
                <w:rFonts w:ascii="Arial" w:eastAsia="Arial" w:hAnsi="Arial" w:cs="Arial"/>
                <w:color w:val="000000" w:themeColor="text1"/>
              </w:rPr>
              <w:t>Permite medir tanto importaciones como exportaciones de energía.</w:t>
            </w:r>
          </w:p>
        </w:tc>
      </w:tr>
      <w:tr w:rsidR="002849EC" w14:paraId="1BBDCBD7" w14:textId="77777777" w:rsidTr="00C14EF5">
        <w:trPr>
          <w:trHeight w:val="112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79977F" w14:textId="77777777" w:rsidR="002849EC" w:rsidRDefault="002849EC" w:rsidP="00C14EF5">
            <w:pPr>
              <w:spacing w:after="0"/>
              <w:jc w:val="center"/>
            </w:pPr>
            <w:r w:rsidRPr="40AD52C2">
              <w:rPr>
                <w:rFonts w:ascii="Arial" w:eastAsia="Arial" w:hAnsi="Arial" w:cs="Arial"/>
                <w:color w:val="000000" w:themeColor="text1"/>
              </w:rPr>
              <w:t>4</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B5E2E4" w14:textId="77777777" w:rsidR="002849EC" w:rsidRDefault="002849EC" w:rsidP="00C14EF5">
            <w:pPr>
              <w:spacing w:after="0"/>
              <w:jc w:val="center"/>
            </w:pPr>
            <w:r w:rsidRPr="40AD52C2">
              <w:rPr>
                <w:rFonts w:ascii="Arial" w:eastAsia="Arial" w:hAnsi="Arial" w:cs="Arial"/>
                <w:color w:val="000000" w:themeColor="text1"/>
              </w:rPr>
              <w:t>Inteligente unidireccional</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CE130E" w14:textId="77777777" w:rsidR="002849EC" w:rsidRDefault="002849EC" w:rsidP="00C14EF5">
            <w:pPr>
              <w:spacing w:after="0"/>
              <w:jc w:val="center"/>
            </w:pPr>
            <w:r w:rsidRPr="40AD52C2">
              <w:rPr>
                <w:rFonts w:ascii="Arial" w:eastAsia="Arial" w:hAnsi="Arial" w:cs="Arial"/>
                <w:color w:val="000000" w:themeColor="text1"/>
              </w:rPr>
              <w:t>Cuenta con dispositivos y protocolos que permiten el almacenamiento, gestión y transmisión de información, y/o la operación remota del medidor.</w:t>
            </w:r>
          </w:p>
        </w:tc>
      </w:tr>
      <w:tr w:rsidR="002849EC" w14:paraId="37036AD1" w14:textId="77777777" w:rsidTr="00C14EF5">
        <w:trPr>
          <w:trHeight w:val="196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41C315" w14:textId="77777777" w:rsidR="002849EC" w:rsidRDefault="002849EC" w:rsidP="00C14EF5">
            <w:pPr>
              <w:spacing w:after="0"/>
              <w:jc w:val="center"/>
            </w:pPr>
            <w:r w:rsidRPr="40AD52C2">
              <w:rPr>
                <w:rFonts w:ascii="Arial" w:eastAsia="Arial" w:hAnsi="Arial" w:cs="Arial"/>
                <w:color w:val="000000" w:themeColor="text1"/>
              </w:rPr>
              <w:t>5</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E5DD84" w14:textId="77777777" w:rsidR="002849EC" w:rsidRDefault="002849EC" w:rsidP="00C14EF5">
            <w:pPr>
              <w:spacing w:after="0"/>
              <w:jc w:val="center"/>
            </w:pPr>
            <w:r w:rsidRPr="40AD52C2">
              <w:rPr>
                <w:rFonts w:ascii="Arial" w:eastAsia="Arial" w:hAnsi="Arial" w:cs="Arial"/>
                <w:color w:val="000000" w:themeColor="text1"/>
              </w:rPr>
              <w:t>Inteligente bidireccional</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6FBF1D" w14:textId="77777777" w:rsidR="002849EC" w:rsidRDefault="002849EC" w:rsidP="00C14EF5">
            <w:pPr>
              <w:spacing w:after="0"/>
              <w:jc w:val="center"/>
            </w:pPr>
            <w:r w:rsidRPr="40AD52C2">
              <w:rPr>
                <w:rFonts w:ascii="Arial" w:eastAsia="Arial" w:hAnsi="Arial" w:cs="Arial"/>
                <w:color w:val="000000" w:themeColor="text1"/>
              </w:rPr>
              <w:t>Cuenta con dispositivos y protocolos que permiten el almacenamiento, gestión y transmisión de información, y/o la operación remota del medidor. Así mismo, permite medir tanto importaciones como exportaciones de energía.</w:t>
            </w:r>
          </w:p>
        </w:tc>
      </w:tr>
      <w:tr w:rsidR="002849EC" w14:paraId="0A9251C2" w14:textId="77777777" w:rsidTr="00C14EF5">
        <w:trPr>
          <w:trHeight w:val="555"/>
          <w:jc w:val="right"/>
        </w:trPr>
        <w:tc>
          <w:tcPr>
            <w:tcW w:w="2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259F02" w14:textId="77777777" w:rsidR="002849EC" w:rsidRDefault="002849EC" w:rsidP="00C14EF5">
            <w:pPr>
              <w:spacing w:after="0"/>
              <w:jc w:val="center"/>
            </w:pPr>
            <w:r w:rsidRPr="40AD52C2">
              <w:rPr>
                <w:rFonts w:ascii="Arial" w:eastAsia="Arial" w:hAnsi="Arial" w:cs="Arial"/>
                <w:color w:val="000000" w:themeColor="text1"/>
              </w:rPr>
              <w:t>6</w:t>
            </w:r>
          </w:p>
        </w:tc>
        <w:tc>
          <w:tcPr>
            <w:tcW w:w="20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51CED1" w14:textId="77777777" w:rsidR="002849EC" w:rsidRDefault="002849EC" w:rsidP="00C14EF5">
            <w:pPr>
              <w:spacing w:after="0"/>
              <w:jc w:val="center"/>
            </w:pPr>
            <w:r w:rsidRPr="40AD52C2">
              <w:rPr>
                <w:rFonts w:ascii="Arial" w:eastAsia="Arial" w:hAnsi="Arial" w:cs="Arial"/>
                <w:color w:val="000000" w:themeColor="text1"/>
              </w:rPr>
              <w:t>Sin medidor</w:t>
            </w:r>
          </w:p>
        </w:tc>
        <w:tc>
          <w:tcPr>
            <w:tcW w:w="4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77FF85" w14:textId="77777777" w:rsidR="002849EC" w:rsidRDefault="002849EC" w:rsidP="00C14EF5">
            <w:pPr>
              <w:spacing w:after="0"/>
              <w:jc w:val="center"/>
            </w:pPr>
            <w:r w:rsidRPr="40AD52C2">
              <w:rPr>
                <w:rFonts w:ascii="Arial" w:eastAsia="Arial" w:hAnsi="Arial" w:cs="Arial"/>
                <w:color w:val="000000" w:themeColor="text1"/>
              </w:rPr>
              <w:t>No existe infraestructura de medición instalada.</w:t>
            </w:r>
          </w:p>
        </w:tc>
      </w:tr>
    </w:tbl>
    <w:p w14:paraId="220BEBE9" w14:textId="77777777" w:rsidR="00C9607A" w:rsidRPr="00C9607A" w:rsidRDefault="00C9607A" w:rsidP="00C9607A">
      <w:pPr>
        <w:tabs>
          <w:tab w:val="left" w:pos="4474"/>
        </w:tabs>
        <w:spacing w:after="0"/>
        <w:jc w:val="both"/>
        <w:rPr>
          <w:rFonts w:ascii="Arial" w:eastAsia="Arial" w:hAnsi="Arial" w:cs="Arial"/>
          <w:b/>
          <w:bCs/>
          <w:sz w:val="24"/>
          <w:szCs w:val="24"/>
        </w:rPr>
      </w:pPr>
    </w:p>
    <w:p w14:paraId="6BA75BAB" w14:textId="5A73A849" w:rsidR="00C83A4D" w:rsidRPr="00C83A4D" w:rsidRDefault="002849EC" w:rsidP="00C9607A">
      <w:pPr>
        <w:pStyle w:val="Prrafodelista"/>
        <w:numPr>
          <w:ilvl w:val="0"/>
          <w:numId w:val="170"/>
        </w:numPr>
        <w:tabs>
          <w:tab w:val="left" w:pos="4474"/>
        </w:tabs>
        <w:spacing w:after="0"/>
        <w:ind w:left="567"/>
        <w:jc w:val="both"/>
        <w:rPr>
          <w:rFonts w:ascii="Arial" w:eastAsia="Arial" w:hAnsi="Arial" w:cs="Arial"/>
          <w:b/>
          <w:bCs/>
          <w:sz w:val="24"/>
          <w:szCs w:val="24"/>
        </w:rPr>
      </w:pPr>
      <w:r w:rsidRPr="00C83A4D">
        <w:rPr>
          <w:rFonts w:ascii="Arial" w:hAnsi="Arial" w:cs="Arial"/>
          <w:b/>
          <w:bCs/>
          <w:sz w:val="24"/>
          <w:szCs w:val="24"/>
        </w:rPr>
        <w:t>Tipo de subestación:</w:t>
      </w:r>
      <w:r w:rsidRPr="00C83A4D">
        <w:rPr>
          <w:rFonts w:ascii="Arial" w:hAnsi="Arial" w:cs="Arial"/>
          <w:sz w:val="24"/>
          <w:szCs w:val="24"/>
        </w:rPr>
        <w:t xml:space="preserve"> Corresponde a la clasificación de la infraestructura eléctrica que suministra energía al usuario de acuerdo con su configuración constructiva, para efectos del presente proceso no se tendrá en cuenta usuarios conectados a subestaciones diferentes a tipo poste, debido a que ello puede implicar características particulares como propiedades horizontales, usuarios industriales, entre otros no afines con el objetivo del programa.</w:t>
      </w:r>
    </w:p>
    <w:p w14:paraId="774998E9" w14:textId="77777777" w:rsidR="00C83A4D" w:rsidRPr="00C83A4D" w:rsidRDefault="00C83A4D" w:rsidP="00C83A4D">
      <w:pPr>
        <w:tabs>
          <w:tab w:val="left" w:pos="4474"/>
        </w:tabs>
        <w:spacing w:after="0"/>
        <w:jc w:val="both"/>
        <w:rPr>
          <w:rFonts w:ascii="Arial" w:eastAsia="Arial" w:hAnsi="Arial" w:cs="Arial"/>
          <w:b/>
          <w:bCs/>
          <w:sz w:val="24"/>
          <w:szCs w:val="24"/>
        </w:rPr>
      </w:pPr>
    </w:p>
    <w:p w14:paraId="42AA5EA5" w14:textId="35ADE7EE" w:rsidR="002849EC" w:rsidRPr="00C83A4D" w:rsidRDefault="002849EC" w:rsidP="00C83A4D">
      <w:pPr>
        <w:pStyle w:val="Prrafodelista"/>
        <w:numPr>
          <w:ilvl w:val="0"/>
          <w:numId w:val="111"/>
        </w:numPr>
        <w:tabs>
          <w:tab w:val="left" w:pos="4474"/>
        </w:tabs>
        <w:spacing w:after="0"/>
        <w:jc w:val="both"/>
        <w:rPr>
          <w:rFonts w:ascii="Arial" w:eastAsia="Arial" w:hAnsi="Arial" w:cs="Arial"/>
          <w:b/>
          <w:bCs/>
          <w:sz w:val="24"/>
          <w:szCs w:val="24"/>
        </w:rPr>
      </w:pPr>
      <w:r w:rsidRPr="00C83A4D">
        <w:rPr>
          <w:rFonts w:ascii="Arial" w:eastAsia="Arial" w:hAnsi="Arial" w:cs="Arial"/>
          <w:b/>
          <w:bCs/>
          <w:sz w:val="24"/>
          <w:szCs w:val="24"/>
        </w:rPr>
        <w:t>Variables de ponderación</w:t>
      </w:r>
    </w:p>
    <w:p w14:paraId="1CFDB058" w14:textId="77777777" w:rsidR="002849EC" w:rsidRDefault="002849EC" w:rsidP="002849EC">
      <w:pPr>
        <w:pStyle w:val="Prrafodelista"/>
        <w:jc w:val="both"/>
        <w:rPr>
          <w:rFonts w:eastAsiaTheme="majorEastAsia" w:cstheme="majorBidi"/>
          <w:b/>
          <w:bCs/>
          <w:color w:val="000000" w:themeColor="text1"/>
          <w:sz w:val="24"/>
          <w:szCs w:val="24"/>
        </w:rPr>
      </w:pPr>
    </w:p>
    <w:p w14:paraId="4B62CF9F" w14:textId="77777777" w:rsidR="002849EC" w:rsidRDefault="002849EC" w:rsidP="002849EC">
      <w:pPr>
        <w:pStyle w:val="Prrafodelista"/>
        <w:numPr>
          <w:ilvl w:val="0"/>
          <w:numId w:val="169"/>
        </w:numPr>
        <w:jc w:val="both"/>
        <w:rPr>
          <w:rFonts w:ascii="Arial" w:hAnsi="Arial" w:cs="Arial"/>
          <w:sz w:val="24"/>
          <w:szCs w:val="24"/>
        </w:rPr>
      </w:pPr>
      <w:r w:rsidRPr="40AD52C2">
        <w:rPr>
          <w:rFonts w:ascii="Arial" w:hAnsi="Arial" w:cs="Arial"/>
          <w:b/>
          <w:bCs/>
          <w:sz w:val="24"/>
          <w:szCs w:val="24"/>
        </w:rPr>
        <w:t>Estrato - (Est):</w:t>
      </w:r>
      <w:r w:rsidRPr="40AD52C2">
        <w:rPr>
          <w:rFonts w:ascii="Arial" w:hAnsi="Arial" w:cs="Arial"/>
          <w:sz w:val="24"/>
          <w:szCs w:val="24"/>
        </w:rPr>
        <w:t xml:space="preserve"> Clasificación socioeconómica que incide directamente en la estructura tarifaria aplicada al usuario y, por tanto, en el nivel real de subsidio y en su vulnerabilidad energética. Este dato permite cruzar consumo, capacidad de pago e impacto social esperado.</w:t>
      </w:r>
    </w:p>
    <w:tbl>
      <w:tblPr>
        <w:tblW w:w="0" w:type="auto"/>
        <w:jc w:val="center"/>
        <w:tblLook w:val="06A0" w:firstRow="1" w:lastRow="0" w:firstColumn="1" w:lastColumn="0" w:noHBand="1" w:noVBand="1"/>
      </w:tblPr>
      <w:tblGrid>
        <w:gridCol w:w="2140"/>
        <w:gridCol w:w="2625"/>
      </w:tblGrid>
      <w:tr w:rsidR="002849EC" w14:paraId="7B0E727B" w14:textId="77777777" w:rsidTr="00C14EF5">
        <w:trPr>
          <w:trHeight w:val="55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C3F4AF" w14:textId="77777777" w:rsidR="002849EC" w:rsidRDefault="002849EC" w:rsidP="00C14EF5">
            <w:pPr>
              <w:spacing w:after="0"/>
              <w:jc w:val="center"/>
            </w:pPr>
            <w:r w:rsidRPr="40AD52C2">
              <w:rPr>
                <w:rFonts w:ascii="Arial" w:eastAsia="Arial" w:hAnsi="Arial" w:cs="Arial"/>
                <w:b/>
                <w:bCs/>
                <w:color w:val="000000" w:themeColor="text1"/>
              </w:rPr>
              <w:t>Código reportado por la SSPD</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8EA2F6" w14:textId="77777777" w:rsidR="002849EC" w:rsidRDefault="002849EC" w:rsidP="00C14EF5">
            <w:pPr>
              <w:spacing w:after="0"/>
              <w:jc w:val="center"/>
            </w:pPr>
            <w:r w:rsidRPr="40AD52C2">
              <w:rPr>
                <w:rFonts w:ascii="Arial" w:eastAsia="Arial" w:hAnsi="Arial" w:cs="Arial"/>
                <w:b/>
                <w:bCs/>
                <w:color w:val="000000" w:themeColor="text1"/>
              </w:rPr>
              <w:t>Descripción</w:t>
            </w:r>
          </w:p>
        </w:tc>
      </w:tr>
      <w:tr w:rsidR="002849EC" w14:paraId="0318B2AA"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4AE4F3" w14:textId="77777777" w:rsidR="002849EC" w:rsidRDefault="002849EC" w:rsidP="00C14EF5">
            <w:pPr>
              <w:spacing w:after="0"/>
              <w:jc w:val="center"/>
            </w:pPr>
            <w:r w:rsidRPr="40AD52C2">
              <w:rPr>
                <w:rFonts w:ascii="Arial" w:eastAsia="Arial" w:hAnsi="Arial" w:cs="Arial"/>
                <w:color w:val="000000" w:themeColor="text1"/>
              </w:rPr>
              <w:t>1</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3E24DA" w14:textId="77777777" w:rsidR="002849EC" w:rsidRDefault="002849EC" w:rsidP="00C14EF5">
            <w:pPr>
              <w:spacing w:after="0"/>
              <w:jc w:val="center"/>
            </w:pPr>
            <w:r w:rsidRPr="40AD52C2">
              <w:rPr>
                <w:rFonts w:ascii="Arial" w:eastAsia="Arial" w:hAnsi="Arial" w:cs="Arial"/>
                <w:color w:val="000000" w:themeColor="text1"/>
              </w:rPr>
              <w:t>Bajo – bajo</w:t>
            </w:r>
          </w:p>
        </w:tc>
      </w:tr>
      <w:tr w:rsidR="002849EC" w14:paraId="01DBE705"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8AD3C9" w14:textId="77777777" w:rsidR="002849EC" w:rsidRDefault="002849EC" w:rsidP="00C14EF5">
            <w:pPr>
              <w:spacing w:after="0"/>
              <w:jc w:val="center"/>
            </w:pPr>
            <w:r w:rsidRPr="40AD52C2">
              <w:rPr>
                <w:rFonts w:ascii="Arial" w:eastAsia="Arial" w:hAnsi="Arial" w:cs="Arial"/>
                <w:color w:val="000000" w:themeColor="text1"/>
              </w:rPr>
              <w:t>2</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EBB06C" w14:textId="77777777" w:rsidR="002849EC" w:rsidRDefault="002849EC" w:rsidP="00C14EF5">
            <w:pPr>
              <w:spacing w:after="0"/>
              <w:jc w:val="center"/>
            </w:pPr>
            <w:r w:rsidRPr="40AD52C2">
              <w:rPr>
                <w:rFonts w:ascii="Arial" w:eastAsia="Arial" w:hAnsi="Arial" w:cs="Arial"/>
                <w:color w:val="000000" w:themeColor="text1"/>
              </w:rPr>
              <w:t>Bajo</w:t>
            </w:r>
          </w:p>
        </w:tc>
      </w:tr>
      <w:tr w:rsidR="002849EC" w14:paraId="4DE1872F"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3A5EBD" w14:textId="77777777" w:rsidR="002849EC" w:rsidRDefault="002849EC" w:rsidP="00C14EF5">
            <w:pPr>
              <w:spacing w:after="0"/>
              <w:jc w:val="center"/>
            </w:pPr>
            <w:r w:rsidRPr="40AD52C2">
              <w:rPr>
                <w:rFonts w:ascii="Arial" w:eastAsia="Arial" w:hAnsi="Arial" w:cs="Arial"/>
                <w:color w:val="000000" w:themeColor="text1"/>
              </w:rPr>
              <w:t>3</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517426" w14:textId="77777777" w:rsidR="002849EC" w:rsidRDefault="002849EC" w:rsidP="00C14EF5">
            <w:pPr>
              <w:spacing w:after="0"/>
              <w:jc w:val="center"/>
            </w:pPr>
            <w:r w:rsidRPr="40AD52C2">
              <w:rPr>
                <w:rFonts w:ascii="Arial" w:eastAsia="Arial" w:hAnsi="Arial" w:cs="Arial"/>
                <w:color w:val="000000" w:themeColor="text1"/>
              </w:rPr>
              <w:t>Medio – bajo</w:t>
            </w:r>
          </w:p>
        </w:tc>
      </w:tr>
      <w:tr w:rsidR="002849EC" w14:paraId="38D46454"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0BE473" w14:textId="77777777" w:rsidR="002849EC" w:rsidRDefault="002849EC" w:rsidP="00C14EF5">
            <w:pPr>
              <w:spacing w:after="0"/>
              <w:jc w:val="center"/>
            </w:pPr>
            <w:r w:rsidRPr="40AD52C2">
              <w:rPr>
                <w:rFonts w:ascii="Arial" w:eastAsia="Arial" w:hAnsi="Arial" w:cs="Arial"/>
                <w:color w:val="000000" w:themeColor="text1"/>
              </w:rPr>
              <w:t>4</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47E977" w14:textId="77777777" w:rsidR="002849EC" w:rsidRDefault="002849EC" w:rsidP="00C14EF5">
            <w:pPr>
              <w:spacing w:after="0"/>
              <w:jc w:val="center"/>
            </w:pPr>
            <w:r w:rsidRPr="40AD52C2">
              <w:rPr>
                <w:rFonts w:ascii="Arial" w:eastAsia="Arial" w:hAnsi="Arial" w:cs="Arial"/>
                <w:color w:val="000000" w:themeColor="text1"/>
              </w:rPr>
              <w:t>Medio</w:t>
            </w:r>
          </w:p>
        </w:tc>
      </w:tr>
      <w:tr w:rsidR="002849EC" w14:paraId="4286EBF4"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19CC26" w14:textId="77777777" w:rsidR="002849EC" w:rsidRDefault="002849EC" w:rsidP="00C14EF5">
            <w:pPr>
              <w:spacing w:after="0"/>
              <w:jc w:val="center"/>
            </w:pPr>
            <w:r w:rsidRPr="40AD52C2">
              <w:rPr>
                <w:rFonts w:ascii="Arial" w:eastAsia="Arial" w:hAnsi="Arial" w:cs="Arial"/>
                <w:color w:val="000000" w:themeColor="text1"/>
              </w:rPr>
              <w:t>5</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B99B48" w14:textId="77777777" w:rsidR="002849EC" w:rsidRDefault="002849EC" w:rsidP="00C14EF5">
            <w:pPr>
              <w:spacing w:after="0"/>
              <w:jc w:val="center"/>
            </w:pPr>
            <w:r w:rsidRPr="40AD52C2">
              <w:rPr>
                <w:rFonts w:ascii="Arial" w:eastAsia="Arial" w:hAnsi="Arial" w:cs="Arial"/>
                <w:color w:val="000000" w:themeColor="text1"/>
              </w:rPr>
              <w:t>Medio – alto</w:t>
            </w:r>
          </w:p>
        </w:tc>
      </w:tr>
      <w:tr w:rsidR="002849EC" w14:paraId="16CEBF86"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16BE77" w14:textId="77777777" w:rsidR="002849EC" w:rsidRDefault="002849EC" w:rsidP="00C14EF5">
            <w:pPr>
              <w:spacing w:after="0"/>
              <w:jc w:val="center"/>
            </w:pPr>
            <w:r w:rsidRPr="40AD52C2">
              <w:rPr>
                <w:rFonts w:ascii="Arial" w:eastAsia="Arial" w:hAnsi="Arial" w:cs="Arial"/>
                <w:color w:val="000000" w:themeColor="text1"/>
              </w:rPr>
              <w:t>6</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95B85D" w14:textId="77777777" w:rsidR="002849EC" w:rsidRDefault="002849EC" w:rsidP="00C14EF5">
            <w:pPr>
              <w:spacing w:after="0"/>
              <w:jc w:val="center"/>
            </w:pPr>
            <w:r w:rsidRPr="40AD52C2">
              <w:rPr>
                <w:rFonts w:ascii="Arial" w:eastAsia="Arial" w:hAnsi="Arial" w:cs="Arial"/>
                <w:color w:val="000000" w:themeColor="text1"/>
              </w:rPr>
              <w:t>Alto</w:t>
            </w:r>
          </w:p>
        </w:tc>
      </w:tr>
      <w:tr w:rsidR="002849EC" w14:paraId="6DD93868"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963559" w14:textId="77777777" w:rsidR="002849EC" w:rsidRDefault="002849EC" w:rsidP="00C14EF5">
            <w:pPr>
              <w:spacing w:after="0"/>
              <w:jc w:val="center"/>
            </w:pPr>
            <w:r w:rsidRPr="40AD52C2">
              <w:rPr>
                <w:rFonts w:ascii="Arial" w:eastAsia="Arial" w:hAnsi="Arial" w:cs="Arial"/>
                <w:color w:val="000000" w:themeColor="text1"/>
              </w:rPr>
              <w:t>7</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895D9D" w14:textId="77777777" w:rsidR="002849EC" w:rsidRDefault="002849EC" w:rsidP="00C14EF5">
            <w:pPr>
              <w:spacing w:after="0"/>
              <w:jc w:val="center"/>
            </w:pPr>
            <w:r w:rsidRPr="40AD52C2">
              <w:rPr>
                <w:rFonts w:ascii="Arial" w:eastAsia="Arial" w:hAnsi="Arial" w:cs="Arial"/>
                <w:color w:val="000000" w:themeColor="text1"/>
              </w:rPr>
              <w:t>Industrial</w:t>
            </w:r>
          </w:p>
        </w:tc>
      </w:tr>
      <w:tr w:rsidR="002849EC" w14:paraId="2796D450"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55EEF5" w14:textId="77777777" w:rsidR="002849EC" w:rsidRDefault="002849EC" w:rsidP="00C14EF5">
            <w:pPr>
              <w:spacing w:after="0"/>
              <w:jc w:val="center"/>
            </w:pPr>
            <w:r w:rsidRPr="40AD52C2">
              <w:rPr>
                <w:rFonts w:ascii="Arial" w:eastAsia="Arial" w:hAnsi="Arial" w:cs="Arial"/>
                <w:color w:val="000000" w:themeColor="text1"/>
              </w:rPr>
              <w:t>8</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BD0C8A" w14:textId="77777777" w:rsidR="002849EC" w:rsidRDefault="002849EC" w:rsidP="00C14EF5">
            <w:pPr>
              <w:spacing w:after="0"/>
              <w:jc w:val="center"/>
            </w:pPr>
            <w:r w:rsidRPr="40AD52C2">
              <w:rPr>
                <w:rFonts w:ascii="Arial" w:eastAsia="Arial" w:hAnsi="Arial" w:cs="Arial"/>
                <w:color w:val="000000" w:themeColor="text1"/>
              </w:rPr>
              <w:t>Comercial</w:t>
            </w:r>
          </w:p>
        </w:tc>
      </w:tr>
      <w:tr w:rsidR="002849EC" w14:paraId="5F27BD15"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5BD428" w14:textId="77777777" w:rsidR="002849EC" w:rsidRDefault="002849EC" w:rsidP="00C14EF5">
            <w:pPr>
              <w:spacing w:after="0"/>
              <w:jc w:val="center"/>
            </w:pPr>
            <w:r w:rsidRPr="40AD52C2">
              <w:rPr>
                <w:rFonts w:ascii="Arial" w:eastAsia="Arial" w:hAnsi="Arial" w:cs="Arial"/>
                <w:color w:val="000000" w:themeColor="text1"/>
              </w:rPr>
              <w:t>9</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E6ED3B" w14:textId="77777777" w:rsidR="002849EC" w:rsidRDefault="002849EC" w:rsidP="00C14EF5">
            <w:pPr>
              <w:spacing w:after="0"/>
              <w:jc w:val="center"/>
            </w:pPr>
            <w:r w:rsidRPr="40AD52C2">
              <w:rPr>
                <w:rFonts w:ascii="Arial" w:eastAsia="Arial" w:hAnsi="Arial" w:cs="Arial"/>
                <w:color w:val="000000" w:themeColor="text1"/>
              </w:rPr>
              <w:t>Oficial</w:t>
            </w:r>
          </w:p>
        </w:tc>
      </w:tr>
      <w:tr w:rsidR="002849EC" w14:paraId="0335BB49"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8DC7DE" w14:textId="77777777" w:rsidR="002849EC" w:rsidRDefault="002849EC" w:rsidP="00C14EF5">
            <w:pPr>
              <w:spacing w:after="0"/>
              <w:jc w:val="center"/>
            </w:pPr>
            <w:r w:rsidRPr="40AD52C2">
              <w:rPr>
                <w:rFonts w:ascii="Arial" w:eastAsia="Arial" w:hAnsi="Arial" w:cs="Arial"/>
                <w:color w:val="000000" w:themeColor="text1"/>
              </w:rPr>
              <w:t>10</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393F13" w14:textId="77777777" w:rsidR="002849EC" w:rsidRDefault="002849EC" w:rsidP="00C14EF5">
            <w:pPr>
              <w:spacing w:after="0"/>
              <w:jc w:val="center"/>
            </w:pPr>
            <w:r w:rsidRPr="40AD52C2">
              <w:rPr>
                <w:rFonts w:ascii="Arial" w:eastAsia="Arial" w:hAnsi="Arial" w:cs="Arial"/>
                <w:color w:val="000000" w:themeColor="text1"/>
              </w:rPr>
              <w:t>Provisional</w:t>
            </w:r>
          </w:p>
        </w:tc>
      </w:tr>
      <w:tr w:rsidR="002849EC" w14:paraId="0B28A4E7" w14:textId="77777777" w:rsidTr="00C14EF5">
        <w:trPr>
          <w:trHeight w:val="285"/>
          <w:jc w:val="center"/>
        </w:trPr>
        <w:tc>
          <w:tcPr>
            <w:tcW w:w="21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5E8AE7" w14:textId="77777777" w:rsidR="002849EC" w:rsidRDefault="002849EC" w:rsidP="00C14EF5">
            <w:pPr>
              <w:spacing w:after="0"/>
              <w:jc w:val="center"/>
            </w:pPr>
            <w:r w:rsidRPr="40AD52C2">
              <w:rPr>
                <w:rFonts w:ascii="Arial" w:eastAsia="Arial" w:hAnsi="Arial" w:cs="Arial"/>
                <w:color w:val="000000" w:themeColor="text1"/>
              </w:rPr>
              <w:t>11</w:t>
            </w:r>
          </w:p>
        </w:tc>
        <w:tc>
          <w:tcPr>
            <w:tcW w:w="2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03A048" w14:textId="77777777" w:rsidR="002849EC" w:rsidRDefault="002849EC" w:rsidP="00C14EF5">
            <w:pPr>
              <w:spacing w:after="0"/>
              <w:jc w:val="center"/>
            </w:pPr>
            <w:r w:rsidRPr="40AD52C2">
              <w:rPr>
                <w:rFonts w:ascii="Arial" w:eastAsia="Arial" w:hAnsi="Arial" w:cs="Arial"/>
                <w:color w:val="000000" w:themeColor="text1"/>
              </w:rPr>
              <w:t>Alumbrado Público</w:t>
            </w:r>
          </w:p>
        </w:tc>
      </w:tr>
    </w:tbl>
    <w:p w14:paraId="314AF4FB" w14:textId="77777777" w:rsidR="002849EC" w:rsidRDefault="002849EC" w:rsidP="002849EC">
      <w:pPr>
        <w:jc w:val="both"/>
        <w:rPr>
          <w:rFonts w:ascii="Arial" w:hAnsi="Arial" w:cs="Arial"/>
          <w:sz w:val="24"/>
          <w:szCs w:val="24"/>
        </w:rPr>
      </w:pPr>
    </w:p>
    <w:p w14:paraId="0D8F4370" w14:textId="10201568" w:rsidR="002849EC" w:rsidRDefault="002849EC" w:rsidP="002849EC">
      <w:pPr>
        <w:ind w:left="708"/>
        <w:jc w:val="both"/>
        <w:rPr>
          <w:rFonts w:ascii="Arial" w:hAnsi="Arial" w:cs="Arial"/>
          <w:sz w:val="24"/>
          <w:szCs w:val="24"/>
        </w:rPr>
      </w:pPr>
      <w:r w:rsidRPr="40AD52C2">
        <w:rPr>
          <w:rFonts w:ascii="Arial" w:hAnsi="Arial" w:cs="Arial"/>
          <w:sz w:val="24"/>
          <w:szCs w:val="24"/>
        </w:rPr>
        <w:t>En términos de focalización, el estrato orienta la priorización hacia hogares con mayor necesidad de alivio tarifario y mayor potencial de mejora en calidad de vida. De acuerdo con el marco regulatorio, el programa solo está orientado a usuarios residenciales de estrato 1, 2 y 3.</w:t>
      </w:r>
    </w:p>
    <w:p w14:paraId="3A9435E8" w14:textId="51623E04" w:rsidR="002849EC" w:rsidRPr="0013003E" w:rsidRDefault="002849EC" w:rsidP="00876FE1">
      <w:pPr>
        <w:pStyle w:val="Prrafodelista"/>
        <w:numPr>
          <w:ilvl w:val="0"/>
          <w:numId w:val="169"/>
        </w:numPr>
        <w:jc w:val="both"/>
        <w:rPr>
          <w:rFonts w:ascii="Arial" w:hAnsi="Arial" w:cs="Arial"/>
          <w:sz w:val="24"/>
          <w:szCs w:val="24"/>
        </w:rPr>
      </w:pPr>
      <w:r w:rsidRPr="0013003E">
        <w:rPr>
          <w:rFonts w:ascii="Arial" w:hAnsi="Arial" w:cs="Arial"/>
          <w:b/>
          <w:bCs/>
          <w:sz w:val="24"/>
          <w:szCs w:val="24"/>
        </w:rPr>
        <w:lastRenderedPageBreak/>
        <w:t>Consumo promedio semestral (kWh) – (Cprom):</w:t>
      </w:r>
      <w:r w:rsidRPr="0013003E">
        <w:rPr>
          <w:rFonts w:ascii="Arial" w:hAnsi="Arial" w:cs="Arial"/>
          <w:sz w:val="24"/>
          <w:szCs w:val="24"/>
        </w:rPr>
        <w:t xml:space="preserve"> Este valor corresponde al consumo promedio histórico del usuario durante los últimos seis meses en kWh, esta variable refleja el comportamiento energético real del usuario en un lapso de tiempo determinado y sirve como base para proyectar el impacto estimado y viabilidad económica.</w:t>
      </w:r>
    </w:p>
    <w:p w14:paraId="62E4DC0C" w14:textId="77777777" w:rsidR="002849EC" w:rsidRDefault="002849EC" w:rsidP="002849EC">
      <w:pPr>
        <w:ind w:left="708"/>
        <w:jc w:val="both"/>
      </w:pPr>
      <w:r w:rsidRPr="40AD52C2">
        <w:rPr>
          <w:rFonts w:ascii="Arial" w:hAnsi="Arial" w:cs="Arial"/>
          <w:sz w:val="24"/>
          <w:szCs w:val="24"/>
        </w:rPr>
        <w:t>De acuerdo con criterios técnicos que contemplan tanto la habitabilidad continua de la vivienda como los consumos promedios para usuarios residencia estratos 1, 2 y 3 en Colombia bajo condiciones típicas de consumo, se determina que para el proceso metodológico a desarrollar en el programa se identificaran y evaluaran usuarios con consumos promedios semestrales superiores a 40 kWh e inferiores a 240 kWh.</w:t>
      </w:r>
    </w:p>
    <w:p w14:paraId="00DA9F3D" w14:textId="77777777" w:rsidR="002849EC" w:rsidRDefault="002849EC" w:rsidP="002849EC">
      <w:pPr>
        <w:pStyle w:val="Prrafodelista"/>
        <w:numPr>
          <w:ilvl w:val="0"/>
          <w:numId w:val="169"/>
        </w:numPr>
        <w:jc w:val="both"/>
        <w:rPr>
          <w:rFonts w:ascii="Arial" w:hAnsi="Arial" w:cs="Arial"/>
          <w:sz w:val="24"/>
          <w:szCs w:val="24"/>
        </w:rPr>
      </w:pPr>
      <w:r w:rsidRPr="40AD52C2">
        <w:rPr>
          <w:rFonts w:ascii="Arial" w:hAnsi="Arial" w:cs="Arial"/>
          <w:b/>
          <w:bCs/>
          <w:sz w:val="24"/>
          <w:szCs w:val="24"/>
        </w:rPr>
        <w:t>Con Valor cartera consumo ($) – (Vcc):</w:t>
      </w:r>
      <w:r w:rsidRPr="40AD52C2">
        <w:rPr>
          <w:rFonts w:ascii="Arial" w:hAnsi="Arial" w:cs="Arial"/>
          <w:sz w:val="24"/>
          <w:szCs w:val="24"/>
        </w:rPr>
        <w:t xml:space="preserve"> Corresponde al valor de cartera asociado al consumo adeudado por el usuario, revela el estado financiero del potencial beneficiario frente al prestador del servicio de energía eléctrica, siendo un indicador de riesgo de sostenibilidad de la iniciativa y de continuidad del servicio. Este dato permite evaluar si la intervención contribuirá a estabilizar la relación contractual del usuario con el comercializador o si existe riesgo de que la infraestructura instalada no tenga operación efectiva por suspensión del servicio. Su análisis fortalece la gestión del riesgo financiero del proyecto, determinándose con este fin la identificación y evaluación de usuarios con valores de cartera consumo inferiores o iguales a $100.000 COP.</w:t>
      </w:r>
    </w:p>
    <w:p w14:paraId="5E1BA9B2" w14:textId="77777777" w:rsidR="002849EC" w:rsidRDefault="002849EC" w:rsidP="002849EC">
      <w:pPr>
        <w:pStyle w:val="Prrafodelista"/>
        <w:jc w:val="both"/>
        <w:rPr>
          <w:rFonts w:ascii="Arial" w:hAnsi="Arial" w:cs="Arial"/>
          <w:sz w:val="24"/>
          <w:szCs w:val="24"/>
        </w:rPr>
      </w:pPr>
    </w:p>
    <w:p w14:paraId="3E917D58" w14:textId="543617B5" w:rsidR="002849EC" w:rsidRDefault="002849EC" w:rsidP="00F738DB">
      <w:pPr>
        <w:pStyle w:val="Prrafodelista"/>
        <w:numPr>
          <w:ilvl w:val="0"/>
          <w:numId w:val="169"/>
        </w:numPr>
        <w:spacing w:after="0"/>
        <w:ind w:left="708"/>
        <w:jc w:val="both"/>
        <w:rPr>
          <w:rFonts w:ascii="Arial" w:hAnsi="Arial" w:cs="Arial"/>
          <w:sz w:val="24"/>
          <w:szCs w:val="24"/>
        </w:rPr>
      </w:pPr>
      <w:r w:rsidRPr="0013003E">
        <w:rPr>
          <w:rFonts w:ascii="Arial" w:hAnsi="Arial" w:cs="Arial"/>
          <w:b/>
          <w:bCs/>
          <w:sz w:val="24"/>
          <w:szCs w:val="24"/>
        </w:rPr>
        <w:t>Total de horas compensadas – (THC):</w:t>
      </w:r>
      <w:r w:rsidRPr="0013003E">
        <w:rPr>
          <w:rFonts w:ascii="Arial" w:hAnsi="Arial" w:cs="Arial"/>
          <w:sz w:val="24"/>
          <w:szCs w:val="24"/>
        </w:rPr>
        <w:t xml:space="preserve"> Refleja el número total de horas por las que el usuario fue compensado por incumplimientos en las condiciones de prestación del servicio de energía eléctrica durante el periodo de facturación anterior. Es decir, mide el tiempo en que el usuario estuvo afectado por interrupciones que superaron los límites regulatorios permitidos y que generaron reconocimiento económico. Este dato permite identificar zonas con problemas de continuidad del servicio, donde los sistemas no podrán alcanzar su máxima eficiencia ni beneficios proyectados, todo caso que estas soluciones no están diseñadas para suministrar energía bajo la ausencia del servicio de energía eléctrica por parte de la red.</w:t>
      </w:r>
    </w:p>
    <w:p w14:paraId="7DB47E63" w14:textId="77777777" w:rsidR="002912ED" w:rsidRPr="002912ED" w:rsidRDefault="002912ED" w:rsidP="00F738DB">
      <w:pPr>
        <w:pStyle w:val="Prrafodelista"/>
        <w:spacing w:after="0"/>
        <w:rPr>
          <w:rFonts w:ascii="Arial" w:hAnsi="Arial" w:cs="Arial"/>
          <w:sz w:val="24"/>
          <w:szCs w:val="24"/>
        </w:rPr>
      </w:pPr>
    </w:p>
    <w:p w14:paraId="6E825DC0" w14:textId="7DE73A11" w:rsidR="002849EC" w:rsidRPr="002912ED" w:rsidRDefault="002849EC" w:rsidP="002912ED">
      <w:pPr>
        <w:tabs>
          <w:tab w:val="left" w:pos="4474"/>
        </w:tabs>
        <w:spacing w:after="0"/>
        <w:ind w:left="360"/>
        <w:jc w:val="both"/>
        <w:rPr>
          <w:rFonts w:ascii="Arial" w:eastAsia="Arial" w:hAnsi="Arial" w:cs="Arial"/>
        </w:rPr>
      </w:pPr>
      <w:r w:rsidRPr="002912ED">
        <w:rPr>
          <w:rFonts w:ascii="Arial" w:eastAsiaTheme="majorEastAsia" w:hAnsi="Arial" w:cs="Arial"/>
          <w:b/>
          <w:bCs/>
          <w:color w:val="000000" w:themeColor="text1"/>
          <w:sz w:val="24"/>
          <w:szCs w:val="24"/>
        </w:rPr>
        <w:t>IV-</w:t>
      </w:r>
      <w:r w:rsidR="00643AD5">
        <w:rPr>
          <w:rFonts w:ascii="Arial" w:eastAsiaTheme="majorEastAsia" w:hAnsi="Arial" w:cs="Arial"/>
          <w:b/>
          <w:bCs/>
          <w:color w:val="000000" w:themeColor="text1"/>
          <w:sz w:val="24"/>
          <w:szCs w:val="24"/>
        </w:rPr>
        <w:t>4.5</w:t>
      </w:r>
      <w:r w:rsidRPr="002912ED">
        <w:rPr>
          <w:rFonts w:ascii="Arial" w:eastAsiaTheme="majorEastAsia" w:hAnsi="Arial" w:cs="Arial"/>
          <w:b/>
          <w:bCs/>
          <w:color w:val="000000" w:themeColor="text1"/>
          <w:sz w:val="24"/>
          <w:szCs w:val="24"/>
        </w:rPr>
        <w:t xml:space="preserve">.2.3 Depuración y </w:t>
      </w:r>
      <w:r w:rsidRPr="002912ED">
        <w:rPr>
          <w:rFonts w:ascii="Arial" w:eastAsia="Arial" w:hAnsi="Arial" w:cs="Arial"/>
          <w:b/>
          <w:bCs/>
          <w:sz w:val="24"/>
          <w:szCs w:val="24"/>
        </w:rPr>
        <w:t>filtrado</w:t>
      </w:r>
      <w:r w:rsidRPr="002912ED">
        <w:rPr>
          <w:rFonts w:ascii="Arial" w:eastAsiaTheme="majorEastAsia" w:hAnsi="Arial" w:cs="Arial"/>
          <w:b/>
          <w:bCs/>
          <w:color w:val="000000" w:themeColor="text1"/>
          <w:sz w:val="24"/>
          <w:szCs w:val="24"/>
        </w:rPr>
        <w:t xml:space="preserve"> de registros</w:t>
      </w:r>
    </w:p>
    <w:p w14:paraId="692968A6" w14:textId="77777777" w:rsidR="002912ED" w:rsidRPr="002912ED" w:rsidRDefault="002912ED" w:rsidP="002912ED">
      <w:pPr>
        <w:tabs>
          <w:tab w:val="left" w:pos="4474"/>
        </w:tabs>
        <w:spacing w:after="0"/>
        <w:ind w:left="360"/>
        <w:jc w:val="both"/>
        <w:rPr>
          <w:rFonts w:ascii="Arial" w:eastAsia="Arial" w:hAnsi="Arial" w:cs="Arial"/>
        </w:rPr>
      </w:pPr>
    </w:p>
    <w:p w14:paraId="1A538537" w14:textId="77777777" w:rsidR="002849EC" w:rsidRDefault="002849EC" w:rsidP="002849EC">
      <w:pPr>
        <w:jc w:val="both"/>
        <w:rPr>
          <w:rFonts w:ascii="Arial" w:hAnsi="Arial" w:cs="Arial"/>
          <w:sz w:val="24"/>
          <w:szCs w:val="24"/>
        </w:rPr>
      </w:pPr>
      <w:r w:rsidRPr="40AD52C2">
        <w:rPr>
          <w:rFonts w:ascii="Arial" w:hAnsi="Arial" w:cs="Arial"/>
          <w:sz w:val="24"/>
          <w:szCs w:val="24"/>
        </w:rPr>
        <w:t>Una vez consolidada la base integrada, se procede a realizar un proceso de depuración de la información, orientada a garantizar la calidad y pertinencia de los datos incluidos en el análisis. La depuración se realizó mediante la aplicación de criterios de elegibilidad previamente definidos, los cuales permiten excluir registros que no cumplen con las condiciones requeridas para el estudio.</w:t>
      </w:r>
    </w:p>
    <w:p w14:paraId="112A4934" w14:textId="77777777" w:rsidR="002849EC" w:rsidRDefault="002849EC" w:rsidP="002849EC">
      <w:pPr>
        <w:jc w:val="both"/>
      </w:pPr>
      <w:r w:rsidRPr="40AD52C2">
        <w:rPr>
          <w:rFonts w:ascii="Arial" w:hAnsi="Arial" w:cs="Arial"/>
          <w:sz w:val="24"/>
          <w:szCs w:val="24"/>
        </w:rPr>
        <w:t xml:space="preserve">Los criterios de filtrado </w:t>
      </w:r>
      <w:r w:rsidRPr="00E765CD">
        <w:rPr>
          <w:rFonts w:ascii="Arial" w:hAnsi="Arial" w:cs="Arial"/>
          <w:sz w:val="24"/>
          <w:szCs w:val="24"/>
          <w:highlight w:val="yellow"/>
        </w:rPr>
        <w:t>aplicados</w:t>
      </w:r>
      <w:r w:rsidRPr="40AD52C2">
        <w:rPr>
          <w:rFonts w:ascii="Arial" w:hAnsi="Arial" w:cs="Arial"/>
          <w:sz w:val="24"/>
          <w:szCs w:val="24"/>
        </w:rPr>
        <w:t xml:space="preserve"> fueron los siguientes:</w:t>
      </w:r>
    </w:p>
    <w:p w14:paraId="1E47088A" w14:textId="77777777" w:rsidR="002849EC" w:rsidRDefault="002849EC" w:rsidP="002849EC">
      <w:pPr>
        <w:ind w:left="708"/>
        <w:jc w:val="both"/>
      </w:pPr>
      <w:r w:rsidRPr="40AD52C2">
        <w:rPr>
          <w:rFonts w:ascii="Arial" w:hAnsi="Arial" w:cs="Arial"/>
          <w:sz w:val="24"/>
          <w:szCs w:val="24"/>
        </w:rPr>
        <w:t>1. Variable autogenerador: se excluyeron los usuarios que ya pertenecen a la categoría AGPE (valores 1 o 2).</w:t>
      </w:r>
    </w:p>
    <w:p w14:paraId="261F55E6" w14:textId="77777777" w:rsidR="002849EC" w:rsidRDefault="002849EC" w:rsidP="002849EC">
      <w:pPr>
        <w:ind w:left="708"/>
        <w:jc w:val="both"/>
      </w:pPr>
      <w:r w:rsidRPr="40AD52C2">
        <w:rPr>
          <w:rFonts w:ascii="Arial" w:hAnsi="Arial" w:cs="Arial"/>
          <w:sz w:val="24"/>
          <w:szCs w:val="24"/>
        </w:rPr>
        <w:t>2. Tipo de medidor: se eliminaron los registros correspondientes a usuarios que no cuentan con medidor instalado (valor 6).</w:t>
      </w:r>
    </w:p>
    <w:p w14:paraId="1B2F2223" w14:textId="77777777" w:rsidR="002849EC" w:rsidRDefault="002849EC" w:rsidP="002849EC">
      <w:pPr>
        <w:ind w:left="708"/>
        <w:jc w:val="both"/>
      </w:pPr>
      <w:r w:rsidRPr="40AD52C2">
        <w:rPr>
          <w:rFonts w:ascii="Arial" w:hAnsi="Arial" w:cs="Arial"/>
          <w:sz w:val="24"/>
          <w:szCs w:val="24"/>
        </w:rPr>
        <w:lastRenderedPageBreak/>
        <w:t>3. Estrato socioeconómico: se seleccionaron únicamente usuarios pertenecientes a los estratos 1, 2 y 3.</w:t>
      </w:r>
    </w:p>
    <w:p w14:paraId="7A3D5A6C" w14:textId="77777777" w:rsidR="002849EC" w:rsidRDefault="002849EC" w:rsidP="002849EC">
      <w:pPr>
        <w:ind w:left="708"/>
        <w:jc w:val="both"/>
      </w:pPr>
      <w:r w:rsidRPr="40AD52C2">
        <w:rPr>
          <w:rFonts w:ascii="Arial" w:hAnsi="Arial" w:cs="Arial"/>
          <w:sz w:val="24"/>
          <w:szCs w:val="24"/>
        </w:rPr>
        <w:t>4. Tipo de subestación: se excluyeron los usuarios cuyo registro presenta un valor diferente a tipo poste.</w:t>
      </w:r>
    </w:p>
    <w:p w14:paraId="1EC2ECE7" w14:textId="77777777" w:rsidR="002849EC" w:rsidRDefault="002849EC" w:rsidP="002849EC">
      <w:pPr>
        <w:ind w:left="708"/>
        <w:jc w:val="both"/>
      </w:pPr>
      <w:r w:rsidRPr="40AD52C2">
        <w:rPr>
          <w:rFonts w:ascii="Arial" w:hAnsi="Arial" w:cs="Arial"/>
          <w:sz w:val="24"/>
          <w:szCs w:val="24"/>
        </w:rPr>
        <w:t>5. Tipo de vivienda: se eliminaron los usuarios asociados a viviendas tipo apartamento o propiedad horizontal.</w:t>
      </w:r>
    </w:p>
    <w:p w14:paraId="37072393" w14:textId="77777777" w:rsidR="002849EC" w:rsidRDefault="002849EC" w:rsidP="002849EC">
      <w:pPr>
        <w:ind w:left="708"/>
        <w:jc w:val="both"/>
      </w:pPr>
      <w:r w:rsidRPr="40AD52C2">
        <w:rPr>
          <w:rFonts w:ascii="Arial" w:hAnsi="Arial" w:cs="Arial"/>
          <w:sz w:val="24"/>
          <w:szCs w:val="24"/>
        </w:rPr>
        <w:t>6. Consumo promedio: se conservaron únicamente usuarios con consumos promedio dentro del rango de 40 kWh/mes y 240 kWh/mes.</w:t>
      </w:r>
    </w:p>
    <w:p w14:paraId="27EC8716" w14:textId="77777777" w:rsidR="002849EC" w:rsidRDefault="002849EC" w:rsidP="002849EC">
      <w:pPr>
        <w:ind w:left="708"/>
        <w:jc w:val="both"/>
      </w:pPr>
      <w:r w:rsidRPr="40AD52C2">
        <w:rPr>
          <w:rFonts w:ascii="Arial" w:hAnsi="Arial" w:cs="Arial"/>
          <w:sz w:val="24"/>
          <w:szCs w:val="24"/>
        </w:rPr>
        <w:t>7. Valor de cartera: se excluyeron los usuarios con valores de cartera superiores a $100.000 COP.</w:t>
      </w:r>
    </w:p>
    <w:p w14:paraId="380711D0" w14:textId="77777777" w:rsidR="002849EC" w:rsidRDefault="002849EC" w:rsidP="002849EC">
      <w:pPr>
        <w:jc w:val="both"/>
        <w:rPr>
          <w:rFonts w:ascii="Arial" w:hAnsi="Arial" w:cs="Arial"/>
          <w:sz w:val="24"/>
          <w:szCs w:val="24"/>
        </w:rPr>
      </w:pPr>
      <w:r w:rsidRPr="40AD52C2">
        <w:rPr>
          <w:rFonts w:ascii="Arial" w:hAnsi="Arial" w:cs="Arial"/>
          <w:sz w:val="24"/>
          <w:szCs w:val="24"/>
        </w:rPr>
        <w:t>El resultado de esta etapa es la obtención de una base depurada de unidades elegibles, que constituye el conjunto de observaciones sobre el cual se desarrollan los análisis posteriores.</w:t>
      </w:r>
    </w:p>
    <w:p w14:paraId="6492E660" w14:textId="7C482215" w:rsidR="002849EC" w:rsidRPr="00E765CD" w:rsidRDefault="002849EC" w:rsidP="002849EC">
      <w:pPr>
        <w:jc w:val="both"/>
        <w:rPr>
          <w:rFonts w:ascii="Arial" w:eastAsia="Arial" w:hAnsi="Arial" w:cs="Arial"/>
        </w:rPr>
      </w:pPr>
      <w:r w:rsidRPr="00E765CD">
        <w:rPr>
          <w:rFonts w:ascii="Arial" w:eastAsiaTheme="majorEastAsia" w:hAnsi="Arial" w:cs="Arial"/>
          <w:b/>
          <w:bCs/>
          <w:color w:val="000000" w:themeColor="text1"/>
          <w:sz w:val="24"/>
          <w:szCs w:val="24"/>
        </w:rPr>
        <w:t>IV-</w:t>
      </w:r>
      <w:r w:rsidR="00643AD5">
        <w:rPr>
          <w:rFonts w:ascii="Arial" w:eastAsiaTheme="majorEastAsia" w:hAnsi="Arial" w:cs="Arial"/>
          <w:b/>
          <w:bCs/>
          <w:color w:val="000000" w:themeColor="text1"/>
          <w:sz w:val="24"/>
          <w:szCs w:val="24"/>
        </w:rPr>
        <w:t>4.5</w:t>
      </w:r>
      <w:r w:rsidRPr="00E765CD">
        <w:rPr>
          <w:rFonts w:ascii="Arial" w:eastAsiaTheme="majorEastAsia" w:hAnsi="Arial" w:cs="Arial"/>
          <w:b/>
          <w:bCs/>
          <w:color w:val="000000" w:themeColor="text1"/>
          <w:sz w:val="24"/>
          <w:szCs w:val="24"/>
        </w:rPr>
        <w:t>.2.4 Índice de focalización de usuarios</w:t>
      </w:r>
    </w:p>
    <w:p w14:paraId="729CE3D1" w14:textId="77777777" w:rsidR="002849EC" w:rsidRPr="00E765CD" w:rsidRDefault="002849EC" w:rsidP="002849EC">
      <w:pPr>
        <w:jc w:val="both"/>
        <w:rPr>
          <w:rFonts w:ascii="Arial" w:eastAsiaTheme="majorEastAsia" w:hAnsi="Arial" w:cs="Arial"/>
          <w:color w:val="000000" w:themeColor="text1"/>
          <w:sz w:val="24"/>
          <w:szCs w:val="24"/>
        </w:rPr>
      </w:pPr>
      <w:r w:rsidRPr="00E765CD">
        <w:rPr>
          <w:rFonts w:ascii="Arial" w:eastAsiaTheme="majorEastAsia" w:hAnsi="Arial" w:cs="Arial"/>
          <w:color w:val="000000" w:themeColor="text1"/>
          <w:sz w:val="24"/>
          <w:szCs w:val="24"/>
        </w:rPr>
        <w:t>Con el objetivo de seleccionar las unidades elegibles, se diseñó un índice de focalización, entendido como un indicador sintético que integra diversas variables relevantes para el proceso de selección.</w:t>
      </w:r>
    </w:p>
    <w:p w14:paraId="07DCABD6" w14:textId="77777777" w:rsidR="002849EC" w:rsidRPr="00E765CD" w:rsidRDefault="002849EC" w:rsidP="002849EC">
      <w:pPr>
        <w:jc w:val="both"/>
        <w:rPr>
          <w:rFonts w:ascii="Arial" w:eastAsiaTheme="majorEastAsia" w:hAnsi="Arial" w:cs="Arial"/>
          <w:color w:val="000000" w:themeColor="text1"/>
          <w:sz w:val="24"/>
          <w:szCs w:val="24"/>
        </w:rPr>
      </w:pPr>
      <w:r w:rsidRPr="00E765CD">
        <w:rPr>
          <w:rFonts w:ascii="Arial" w:eastAsiaTheme="majorEastAsia" w:hAnsi="Arial" w:cs="Arial"/>
          <w:color w:val="000000" w:themeColor="text1"/>
          <w:sz w:val="24"/>
          <w:szCs w:val="24"/>
        </w:rPr>
        <w:t>La construcción del índice implicó la identificación de un conjunto de variables categóricas y cuantitativas asociadas a las características de los usuarios y a las condiciones del servicio evaluado. Las variables consideradas fueron:</w:t>
      </w:r>
    </w:p>
    <w:p w14:paraId="37B8DB3A" w14:textId="77777777" w:rsidR="002849EC" w:rsidRPr="00E765CD" w:rsidRDefault="002849EC" w:rsidP="002849EC">
      <w:pPr>
        <w:ind w:left="708"/>
        <w:jc w:val="both"/>
        <w:rPr>
          <w:rFonts w:ascii="Arial" w:eastAsiaTheme="majorEastAsia" w:hAnsi="Arial" w:cs="Arial"/>
          <w:color w:val="000000" w:themeColor="text1"/>
          <w:sz w:val="24"/>
          <w:szCs w:val="24"/>
        </w:rPr>
      </w:pPr>
      <w:r w:rsidRPr="00E765CD">
        <w:rPr>
          <w:rFonts w:ascii="Arial" w:eastAsiaTheme="majorEastAsia" w:hAnsi="Arial" w:cs="Arial"/>
          <w:color w:val="000000" w:themeColor="text1"/>
          <w:sz w:val="24"/>
          <w:szCs w:val="24"/>
        </w:rPr>
        <w:t>• Estrato socioeconómico (EST)</w:t>
      </w:r>
    </w:p>
    <w:p w14:paraId="49BF1989" w14:textId="77777777" w:rsidR="002849EC" w:rsidRPr="00E765CD" w:rsidRDefault="002849EC" w:rsidP="002849EC">
      <w:pPr>
        <w:ind w:left="708"/>
        <w:jc w:val="both"/>
        <w:rPr>
          <w:rFonts w:ascii="Arial" w:eastAsiaTheme="majorEastAsia" w:hAnsi="Arial" w:cs="Arial"/>
          <w:color w:val="000000" w:themeColor="text1"/>
          <w:sz w:val="24"/>
          <w:szCs w:val="24"/>
        </w:rPr>
      </w:pPr>
      <w:r w:rsidRPr="00E765CD">
        <w:rPr>
          <w:rFonts w:ascii="Arial" w:eastAsiaTheme="majorEastAsia" w:hAnsi="Arial" w:cs="Arial"/>
          <w:color w:val="000000" w:themeColor="text1"/>
          <w:sz w:val="24"/>
          <w:szCs w:val="24"/>
        </w:rPr>
        <w:t>• Total de horas compensadas (THC)</w:t>
      </w:r>
    </w:p>
    <w:p w14:paraId="434371F7" w14:textId="77777777" w:rsidR="002849EC" w:rsidRPr="00E765CD" w:rsidRDefault="002849EC" w:rsidP="002849EC">
      <w:pPr>
        <w:ind w:left="708"/>
        <w:jc w:val="both"/>
        <w:rPr>
          <w:rFonts w:ascii="Arial" w:eastAsiaTheme="majorEastAsia" w:hAnsi="Arial" w:cs="Arial"/>
          <w:color w:val="000000" w:themeColor="text1"/>
          <w:sz w:val="24"/>
          <w:szCs w:val="24"/>
        </w:rPr>
      </w:pPr>
      <w:r w:rsidRPr="00E765CD">
        <w:rPr>
          <w:rFonts w:ascii="Arial" w:eastAsiaTheme="majorEastAsia" w:hAnsi="Arial" w:cs="Arial"/>
          <w:color w:val="000000" w:themeColor="text1"/>
          <w:sz w:val="24"/>
          <w:szCs w:val="24"/>
        </w:rPr>
        <w:t>• Consumo promedio semestral del usuario (CProm)</w:t>
      </w:r>
    </w:p>
    <w:p w14:paraId="0D77D85E" w14:textId="77777777" w:rsidR="002849EC" w:rsidRPr="00E765CD" w:rsidRDefault="002849EC" w:rsidP="002849EC">
      <w:pPr>
        <w:ind w:left="708"/>
        <w:jc w:val="both"/>
        <w:rPr>
          <w:rFonts w:ascii="Arial" w:eastAsiaTheme="majorEastAsia" w:hAnsi="Arial" w:cs="Arial"/>
          <w:color w:val="000000" w:themeColor="text1"/>
          <w:sz w:val="24"/>
          <w:szCs w:val="24"/>
        </w:rPr>
      </w:pPr>
      <w:r w:rsidRPr="00E765CD">
        <w:rPr>
          <w:rFonts w:ascii="Arial" w:eastAsiaTheme="majorEastAsia" w:hAnsi="Arial" w:cs="Arial"/>
          <w:color w:val="000000" w:themeColor="text1"/>
          <w:sz w:val="24"/>
          <w:szCs w:val="24"/>
        </w:rPr>
        <w:t>• Valor de cartera del usuario (VCC)</w:t>
      </w:r>
    </w:p>
    <w:p w14:paraId="49B43423" w14:textId="77777777" w:rsidR="002849EC" w:rsidRDefault="002849EC" w:rsidP="002849EC">
      <w:pPr>
        <w:jc w:val="both"/>
        <w:rPr>
          <w:rFonts w:ascii="Arial" w:hAnsi="Arial" w:cs="Arial"/>
          <w:sz w:val="24"/>
          <w:szCs w:val="24"/>
        </w:rPr>
      </w:pPr>
      <w:r w:rsidRPr="40AD52C2">
        <w:rPr>
          <w:rFonts w:ascii="Arial" w:hAnsi="Arial" w:cs="Arial"/>
          <w:sz w:val="24"/>
          <w:szCs w:val="24"/>
        </w:rPr>
        <w:t>Con el fin de garantizar la comparabilidad entre variables que originalmente se encuentran en diferentes escalas de medición, las variables cuantitativas son normalizadas mediante un proceso de escalamiento min–max, transformando los valores originales a un rango entre 0 y 1, mientras que las variables categóricas ordinales fueron codificadas numéricamente para su inclusión en el índice.</w:t>
      </w:r>
    </w:p>
    <w:p w14:paraId="21410014" w14:textId="77777777" w:rsidR="002849EC" w:rsidRDefault="002849EC" w:rsidP="002849EC">
      <w:pPr>
        <w:jc w:val="both"/>
      </w:pPr>
      <w:r w:rsidRPr="40AD52C2">
        <w:rPr>
          <w:rFonts w:ascii="Arial" w:hAnsi="Arial" w:cs="Arial"/>
          <w:sz w:val="24"/>
          <w:szCs w:val="24"/>
        </w:rPr>
        <w:t>Posteriormente se asigna a cada variable un peso relativo dentro del índice, reflejando su importancia dentro del modelo de selección. Los pesos fueron definidos con base en criterios técnicos asociados a la selección social del programa y a la relevancia operativa de cada variable dentro del proceso de focalización.</w:t>
      </w:r>
    </w:p>
    <w:p w14:paraId="5F2F1F3A" w14:textId="64B6F856" w:rsidR="002849EC" w:rsidRDefault="002849EC" w:rsidP="002849EC">
      <w:pPr>
        <w:jc w:val="both"/>
        <w:rPr>
          <w:rFonts w:ascii="Arial" w:hAnsi="Arial" w:cs="Arial"/>
          <w:sz w:val="24"/>
          <w:szCs w:val="24"/>
        </w:rPr>
      </w:pPr>
      <w:r w:rsidRPr="40AD52C2">
        <w:rPr>
          <w:rFonts w:ascii="Arial" w:hAnsi="Arial" w:cs="Arial"/>
          <w:sz w:val="24"/>
          <w:szCs w:val="24"/>
        </w:rPr>
        <w:t>De acuerdo con las variables y criterios de elegibilidad descritos previamente, se determina la siguiente expresión matemática cuyo resultado da el valor denominado índice de focalización de usuarios, se expresa en porcentaje y representa el peso o valor prioritario de un usuario específico respecto al total de potenciales usuarios beneficiaros del programa pertenecientes al Sistema Interconectado Nacional (SIN) dentro de un departamento específico.</w:t>
      </w:r>
    </w:p>
    <w:p w14:paraId="2DCDD3E8" w14:textId="77777777" w:rsidR="002849EC" w:rsidRDefault="002849EC" w:rsidP="002849EC">
      <w:pPr>
        <w:jc w:val="both"/>
      </w:pPr>
      <w:r>
        <w:rPr>
          <w:noProof/>
        </w:rPr>
        <w:lastRenderedPageBreak/>
        <w:drawing>
          <wp:inline distT="0" distB="0" distL="0" distR="0" wp14:anchorId="407F530A" wp14:editId="6FA17BE6">
            <wp:extent cx="5839126" cy="823466"/>
            <wp:effectExtent l="0" t="0" r="0" b="0"/>
            <wp:docPr id="697111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11196" name="Picture 69711196"/>
                    <pic:cNvPicPr/>
                  </pic:nvPicPr>
                  <pic:blipFill>
                    <a:blip r:embed="rId35">
                      <a:extLst>
                        <a:ext uri="{28A0092B-C50C-407E-A947-70E740481C1C}">
                          <a14:useLocalDpi xmlns:a14="http://schemas.microsoft.com/office/drawing/2010/main"/>
                        </a:ext>
                      </a:extLst>
                    </a:blip>
                    <a:stretch>
                      <a:fillRect/>
                    </a:stretch>
                  </pic:blipFill>
                  <pic:spPr>
                    <a:xfrm>
                      <a:off x="0" y="0"/>
                      <a:ext cx="5839126" cy="823466"/>
                    </a:xfrm>
                    <a:prstGeom prst="rect">
                      <a:avLst/>
                    </a:prstGeom>
                  </pic:spPr>
                </pic:pic>
              </a:graphicData>
            </a:graphic>
          </wp:inline>
        </w:drawing>
      </w:r>
    </w:p>
    <w:p w14:paraId="4C472AF8" w14:textId="77777777" w:rsidR="002849EC" w:rsidRDefault="002849EC" w:rsidP="002849EC">
      <w:pPr>
        <w:jc w:val="both"/>
        <w:rPr>
          <w:rFonts w:ascii="Arial" w:hAnsi="Arial" w:cs="Arial"/>
          <w:sz w:val="24"/>
          <w:szCs w:val="24"/>
        </w:rPr>
      </w:pPr>
      <w:r w:rsidRPr="40AD52C2">
        <w:rPr>
          <w:rFonts w:ascii="Arial" w:hAnsi="Arial" w:cs="Arial"/>
          <w:sz w:val="24"/>
          <w:szCs w:val="24"/>
        </w:rPr>
        <w:t>Donde:</w:t>
      </w:r>
    </w:p>
    <w:p w14:paraId="61485511" w14:textId="77777777" w:rsidR="002849EC" w:rsidRDefault="002849EC" w:rsidP="002849EC">
      <w:pPr>
        <w:jc w:val="both"/>
      </w:pPr>
      <w:r w:rsidRPr="40AD52C2">
        <w:rPr>
          <w:rFonts w:ascii="Arial" w:hAnsi="Arial" w:cs="Arial"/>
          <w:sz w:val="24"/>
          <w:szCs w:val="24"/>
        </w:rPr>
        <w:t>IF: Índice de focalización de usuarios</w:t>
      </w:r>
    </w:p>
    <w:p w14:paraId="2EF45960" w14:textId="77777777" w:rsidR="002849EC" w:rsidRDefault="002849EC" w:rsidP="002849EC">
      <w:pPr>
        <w:jc w:val="both"/>
      </w:pPr>
      <w:r w:rsidRPr="40AD52C2">
        <w:rPr>
          <w:rFonts w:ascii="Arial" w:hAnsi="Arial" w:cs="Arial"/>
          <w:sz w:val="24"/>
          <w:szCs w:val="24"/>
        </w:rPr>
        <w:t>Est: Estrato, se realiza la asignación de un valor de acuerdo con:</w:t>
      </w:r>
    </w:p>
    <w:p w14:paraId="6F157670" w14:textId="77777777" w:rsidR="002849EC" w:rsidRDefault="002849EC" w:rsidP="002849EC">
      <w:pPr>
        <w:ind w:left="708"/>
        <w:jc w:val="both"/>
      </w:pPr>
      <w:r w:rsidRPr="40AD52C2">
        <w:rPr>
          <w:rFonts w:ascii="Arial" w:hAnsi="Arial" w:cs="Arial"/>
          <w:sz w:val="24"/>
          <w:szCs w:val="24"/>
        </w:rPr>
        <w:t>Si el usuario pertenece al estrato 1 se asignará el valor de 1</w:t>
      </w:r>
    </w:p>
    <w:p w14:paraId="256D9A3B" w14:textId="77777777" w:rsidR="002849EC" w:rsidRDefault="002849EC" w:rsidP="002849EC">
      <w:pPr>
        <w:ind w:left="708"/>
        <w:jc w:val="both"/>
      </w:pPr>
      <w:r w:rsidRPr="40AD52C2">
        <w:rPr>
          <w:rFonts w:ascii="Arial" w:hAnsi="Arial" w:cs="Arial"/>
          <w:sz w:val="24"/>
          <w:szCs w:val="24"/>
        </w:rPr>
        <w:t>Si el usuario pertenece al estrato 2 se asignará el valor de 0.5</w:t>
      </w:r>
    </w:p>
    <w:p w14:paraId="78C28081" w14:textId="77777777" w:rsidR="002849EC" w:rsidRDefault="002849EC" w:rsidP="002849EC">
      <w:pPr>
        <w:ind w:left="708"/>
        <w:jc w:val="both"/>
      </w:pPr>
      <w:r w:rsidRPr="40AD52C2">
        <w:rPr>
          <w:rFonts w:ascii="Arial" w:hAnsi="Arial" w:cs="Arial"/>
          <w:sz w:val="24"/>
          <w:szCs w:val="24"/>
        </w:rPr>
        <w:t>Si el usuario pertenece al estrato 3 se asignará el valor de 0</w:t>
      </w:r>
    </w:p>
    <w:p w14:paraId="58C8C21C" w14:textId="77777777" w:rsidR="002849EC" w:rsidRPr="00B67968" w:rsidRDefault="002849EC" w:rsidP="002849EC">
      <w:pPr>
        <w:jc w:val="both"/>
        <w:rPr>
          <w:lang w:val="pt-PT"/>
        </w:rPr>
      </w:pPr>
      <w:r w:rsidRPr="00B67968">
        <w:rPr>
          <w:rFonts w:ascii="Arial" w:hAnsi="Arial" w:cs="Arial"/>
          <w:sz w:val="24"/>
          <w:szCs w:val="24"/>
          <w:lang w:val="pt-PT"/>
        </w:rPr>
        <w:t>Cprom: Consumo promedio semestral</w:t>
      </w:r>
    </w:p>
    <w:p w14:paraId="28CB7FB8" w14:textId="77777777" w:rsidR="002849EC" w:rsidRPr="00B67968" w:rsidRDefault="002849EC" w:rsidP="002849EC">
      <w:pPr>
        <w:jc w:val="both"/>
        <w:rPr>
          <w:lang w:val="pt-PT"/>
        </w:rPr>
      </w:pPr>
      <w:r w:rsidRPr="00B67968">
        <w:rPr>
          <w:rFonts w:ascii="Arial" w:hAnsi="Arial" w:cs="Arial"/>
          <w:sz w:val="24"/>
          <w:szCs w:val="24"/>
          <w:lang w:val="pt-PT"/>
        </w:rPr>
        <w:t>Vcc: Valor cartera consumo</w:t>
      </w:r>
    </w:p>
    <w:p w14:paraId="21EF7DA1" w14:textId="77777777" w:rsidR="002849EC" w:rsidRDefault="002849EC" w:rsidP="002849EC">
      <w:pPr>
        <w:jc w:val="both"/>
      </w:pPr>
      <w:r w:rsidRPr="40AD52C2">
        <w:rPr>
          <w:rFonts w:ascii="Arial" w:hAnsi="Arial" w:cs="Arial"/>
          <w:sz w:val="24"/>
          <w:szCs w:val="24"/>
        </w:rPr>
        <w:t>THC: total de horas compensadas</w:t>
      </w:r>
    </w:p>
    <w:p w14:paraId="7BB33D69" w14:textId="77777777" w:rsidR="002849EC" w:rsidRDefault="002849EC" w:rsidP="002849EC">
      <w:pPr>
        <w:jc w:val="both"/>
      </w:pPr>
      <w:r w:rsidRPr="40AD52C2">
        <w:rPr>
          <w:rFonts w:ascii="Arial" w:hAnsi="Arial" w:cs="Arial"/>
          <w:sz w:val="24"/>
          <w:szCs w:val="24"/>
        </w:rPr>
        <w:t>I: Hace referencia al usuario objeto de análisis</w:t>
      </w:r>
    </w:p>
    <w:p w14:paraId="2647E0A1" w14:textId="77777777" w:rsidR="002849EC" w:rsidRDefault="002849EC" w:rsidP="002849EC">
      <w:pPr>
        <w:jc w:val="both"/>
      </w:pPr>
      <w:r w:rsidRPr="40AD52C2">
        <w:rPr>
          <w:rFonts w:ascii="Arial" w:hAnsi="Arial" w:cs="Arial"/>
          <w:sz w:val="24"/>
          <w:szCs w:val="24"/>
        </w:rPr>
        <w:t>Max: Hace referencia al valor máximo del indicador dentro de los usuarios incluidos en la priorización</w:t>
      </w:r>
    </w:p>
    <w:p w14:paraId="2E814127" w14:textId="77777777" w:rsidR="002849EC" w:rsidRDefault="002849EC" w:rsidP="002849EC">
      <w:pPr>
        <w:jc w:val="both"/>
      </w:pPr>
      <w:r w:rsidRPr="40AD52C2">
        <w:rPr>
          <w:rFonts w:ascii="Arial" w:hAnsi="Arial" w:cs="Arial"/>
          <w:sz w:val="24"/>
          <w:szCs w:val="24"/>
        </w:rPr>
        <w:t>Min: Hace referencia al valor mínimo del indicador dentro de los usuarios incluidos en la priorización</w:t>
      </w:r>
    </w:p>
    <w:p w14:paraId="25558191" w14:textId="77777777" w:rsidR="002849EC" w:rsidRDefault="002849EC" w:rsidP="002849EC">
      <w:pPr>
        <w:jc w:val="both"/>
      </w:pPr>
      <w:r w:rsidRPr="40AD52C2">
        <w:rPr>
          <w:rFonts w:ascii="Arial" w:hAnsi="Arial" w:cs="Arial"/>
          <w:sz w:val="24"/>
          <w:szCs w:val="24"/>
        </w:rPr>
        <w:t>Los pesos asignados a cada variable fueron definidos a partir de una evaluación integral, verificando la relevancia dentro del proceso de focalización de usuarios. Para ello, se analizaron criterios asociados a la equidad social, las condiciones de acceso y calidad del servicio de energía eléctrica, así como parámetros técnicos orientados a garantizar la adecuada implementación y sostenibilidad de las soluciones solares y del programa. Esta ponderación busca asegurar una distribución eficiente, objetiva y transparente de los recursos del programa, maximizando su impacto en la población objetivo y alineándose con los principios que orientan el Programa Colombia Solar.</w:t>
      </w:r>
    </w:p>
    <w:p w14:paraId="5C585B1C" w14:textId="77777777" w:rsidR="002849EC" w:rsidRDefault="002849EC" w:rsidP="002849EC">
      <w:pPr>
        <w:jc w:val="both"/>
      </w:pPr>
      <w:r w:rsidRPr="40AD52C2">
        <w:rPr>
          <w:rFonts w:ascii="Arial" w:hAnsi="Arial" w:cs="Arial"/>
          <w:sz w:val="24"/>
          <w:szCs w:val="24"/>
        </w:rPr>
        <w:t>El resultado entregado posterior a la aplicación de la fórmula de Focalización de usuarios se traduce en la siguiente tabla de consolidación de resultados:</w:t>
      </w:r>
    </w:p>
    <w:p w14:paraId="44AC2D4B" w14:textId="77777777" w:rsidR="002849EC" w:rsidRDefault="002849EC" w:rsidP="002849EC">
      <w:pPr>
        <w:jc w:val="both"/>
      </w:pPr>
      <w:r>
        <w:rPr>
          <w:noProof/>
        </w:rPr>
        <w:drawing>
          <wp:inline distT="0" distB="0" distL="0" distR="0" wp14:anchorId="211B1B85" wp14:editId="27FB85A0">
            <wp:extent cx="5981700" cy="1314450"/>
            <wp:effectExtent l="0" t="0" r="0" b="0"/>
            <wp:docPr id="2677371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737183" name="Picture 267737183"/>
                    <pic:cNvPicPr/>
                  </pic:nvPicPr>
                  <pic:blipFill>
                    <a:blip r:embed="rId36">
                      <a:extLst>
                        <a:ext uri="{28A0092B-C50C-407E-A947-70E740481C1C}">
                          <a14:useLocalDpi xmlns:a14="http://schemas.microsoft.com/office/drawing/2010/main"/>
                        </a:ext>
                      </a:extLst>
                    </a:blip>
                    <a:stretch>
                      <a:fillRect/>
                    </a:stretch>
                  </pic:blipFill>
                  <pic:spPr>
                    <a:xfrm>
                      <a:off x="0" y="0"/>
                      <a:ext cx="5981700" cy="1314450"/>
                    </a:xfrm>
                    <a:prstGeom prst="rect">
                      <a:avLst/>
                    </a:prstGeom>
                  </pic:spPr>
                </pic:pic>
              </a:graphicData>
            </a:graphic>
          </wp:inline>
        </w:drawing>
      </w:r>
    </w:p>
    <w:p w14:paraId="1C527435" w14:textId="6570D192" w:rsidR="002849EC" w:rsidRPr="006E62C8" w:rsidRDefault="002849EC" w:rsidP="002849EC">
      <w:pPr>
        <w:jc w:val="both"/>
        <w:rPr>
          <w:rFonts w:ascii="Arial" w:hAnsi="Arial" w:cs="Arial"/>
          <w:sz w:val="24"/>
          <w:szCs w:val="24"/>
        </w:rPr>
      </w:pPr>
      <w:r w:rsidRPr="006E62C8">
        <w:rPr>
          <w:rFonts w:ascii="Arial" w:eastAsiaTheme="minorEastAsia" w:hAnsi="Arial" w:cs="Arial"/>
          <w:sz w:val="24"/>
          <w:szCs w:val="24"/>
        </w:rPr>
        <w:t>Donde</w:t>
      </w:r>
      <w:r w:rsidR="006E62C8" w:rsidRPr="006E62C8">
        <w:rPr>
          <w:rFonts w:ascii="Arial" w:eastAsiaTheme="minorEastAsia" w:hAnsi="Arial" w:cs="Arial"/>
          <w:sz w:val="24"/>
          <w:szCs w:val="24"/>
        </w:rPr>
        <w:t>:</w:t>
      </w:r>
    </w:p>
    <w:p w14:paraId="2240E68E" w14:textId="77777777" w:rsidR="002849EC" w:rsidRDefault="002849EC" w:rsidP="002849EC">
      <w:pPr>
        <w:jc w:val="center"/>
      </w:pPr>
      <w:r>
        <w:rPr>
          <w:noProof/>
        </w:rPr>
        <w:drawing>
          <wp:inline distT="0" distB="0" distL="0" distR="0" wp14:anchorId="77420976" wp14:editId="3B71F8DE">
            <wp:extent cx="1314518" cy="247663"/>
            <wp:effectExtent l="0" t="0" r="0" b="0"/>
            <wp:docPr id="4265628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562814" name="Picture 426562814"/>
                    <pic:cNvPicPr/>
                  </pic:nvPicPr>
                  <pic:blipFill>
                    <a:blip r:embed="rId37">
                      <a:extLst>
                        <a:ext uri="{28A0092B-C50C-407E-A947-70E740481C1C}">
                          <a14:useLocalDpi xmlns:a14="http://schemas.microsoft.com/office/drawing/2010/main"/>
                        </a:ext>
                      </a:extLst>
                    </a:blip>
                    <a:stretch>
                      <a:fillRect/>
                    </a:stretch>
                  </pic:blipFill>
                  <pic:spPr>
                    <a:xfrm>
                      <a:off x="0" y="0"/>
                      <a:ext cx="1314518" cy="247663"/>
                    </a:xfrm>
                    <a:prstGeom prst="rect">
                      <a:avLst/>
                    </a:prstGeom>
                  </pic:spPr>
                </pic:pic>
              </a:graphicData>
            </a:graphic>
          </wp:inline>
        </w:drawing>
      </w:r>
    </w:p>
    <w:p w14:paraId="2ED98C23" w14:textId="77777777" w:rsidR="002849EC" w:rsidRPr="00933A25" w:rsidRDefault="002849EC" w:rsidP="002849EC">
      <w:pPr>
        <w:jc w:val="both"/>
        <w:rPr>
          <w:rFonts w:ascii="Arial" w:hAnsi="Arial" w:cs="Arial"/>
          <w:sz w:val="24"/>
          <w:szCs w:val="24"/>
        </w:rPr>
      </w:pPr>
      <w:r w:rsidRPr="00933A25">
        <w:rPr>
          <w:rFonts w:ascii="Arial" w:eastAsiaTheme="minorEastAsia" w:hAnsi="Arial" w:cs="Arial"/>
          <w:sz w:val="24"/>
          <w:szCs w:val="24"/>
        </w:rPr>
        <w:lastRenderedPageBreak/>
        <w:t>El resultado de este procedimiento corresponde al índice de focalización individual, el cual permite ordenar las unidades de análisis de mayor a menor primacía, facilitando la identificación y clasificación de los posibles beneficiarios. Valores más altos del índice de focalización indican una mayor prelación relativa dentro del proceso de selección, mientras que valores más bajos corresponden a unidades con menor nivel de jerarquización.</w:t>
      </w:r>
    </w:p>
    <w:p w14:paraId="6AE1D72E" w14:textId="77777777" w:rsidR="002849EC" w:rsidRPr="006F2131" w:rsidRDefault="002849EC" w:rsidP="002849EC">
      <w:pPr>
        <w:jc w:val="both"/>
        <w:rPr>
          <w:rFonts w:ascii="Arial" w:hAnsi="Arial" w:cs="Arial"/>
          <w:b/>
          <w:bCs/>
          <w:sz w:val="24"/>
          <w:szCs w:val="24"/>
        </w:rPr>
      </w:pPr>
      <w:r w:rsidRPr="006F2131">
        <w:rPr>
          <w:rFonts w:ascii="Arial" w:eastAsiaTheme="minorEastAsia" w:hAnsi="Arial" w:cs="Arial"/>
          <w:b/>
          <w:bCs/>
          <w:sz w:val="24"/>
          <w:szCs w:val="24"/>
        </w:rPr>
        <w:t>Clasificación y focalización de unidades de análisis</w:t>
      </w:r>
    </w:p>
    <w:p w14:paraId="7508EFF3" w14:textId="77777777" w:rsidR="002849EC" w:rsidRPr="00933A25" w:rsidRDefault="002849EC" w:rsidP="002849EC">
      <w:pPr>
        <w:jc w:val="both"/>
        <w:rPr>
          <w:rFonts w:ascii="Arial" w:hAnsi="Arial" w:cs="Arial"/>
          <w:sz w:val="24"/>
          <w:szCs w:val="24"/>
        </w:rPr>
      </w:pPr>
      <w:r w:rsidRPr="00933A25">
        <w:rPr>
          <w:rFonts w:ascii="Arial" w:eastAsiaTheme="minorEastAsia" w:hAnsi="Arial" w:cs="Arial"/>
          <w:sz w:val="24"/>
          <w:szCs w:val="24"/>
        </w:rPr>
        <w:t>A partir de los valores obtenidos en el índice de focalización, se realizó una clasificación jerárquica de las unidades elegibles, organizándolas de acuerdo con su nivel relativo de prelación.</w:t>
      </w:r>
    </w:p>
    <w:p w14:paraId="72EA4160" w14:textId="77777777" w:rsidR="002849EC" w:rsidRPr="00933A25" w:rsidRDefault="002849EC" w:rsidP="002849EC">
      <w:pPr>
        <w:jc w:val="both"/>
        <w:rPr>
          <w:rFonts w:ascii="Arial" w:hAnsi="Arial" w:cs="Arial"/>
          <w:sz w:val="24"/>
          <w:szCs w:val="24"/>
        </w:rPr>
      </w:pPr>
      <w:r w:rsidRPr="00933A25">
        <w:rPr>
          <w:rFonts w:ascii="Arial" w:eastAsiaTheme="minorEastAsia" w:hAnsi="Arial" w:cs="Arial"/>
          <w:sz w:val="24"/>
          <w:szCs w:val="24"/>
        </w:rPr>
        <w:t xml:space="preserve">Esta clasificación </w:t>
      </w:r>
      <w:r w:rsidRPr="006F2131">
        <w:rPr>
          <w:rFonts w:ascii="Arial" w:eastAsiaTheme="minorEastAsia" w:hAnsi="Arial" w:cs="Arial"/>
          <w:sz w:val="24"/>
          <w:szCs w:val="24"/>
          <w:highlight w:val="yellow"/>
        </w:rPr>
        <w:t>permitió</w:t>
      </w:r>
      <w:r w:rsidRPr="00933A25">
        <w:rPr>
          <w:rFonts w:ascii="Arial" w:eastAsiaTheme="minorEastAsia" w:hAnsi="Arial" w:cs="Arial"/>
          <w:sz w:val="24"/>
          <w:szCs w:val="24"/>
        </w:rPr>
        <w:t xml:space="preserve"> construir una lista jerarquizada de posibles beneficiarios o unidades de intervención, la cual constituye un insumo fundamental para la etapa posterior de selección muestral.</w:t>
      </w:r>
    </w:p>
    <w:p w14:paraId="2B3803B6" w14:textId="723952C1" w:rsidR="002849EC" w:rsidRDefault="002849EC" w:rsidP="002849EC">
      <w:pPr>
        <w:jc w:val="both"/>
        <w:rPr>
          <w:rFonts w:ascii="Arial" w:eastAsiaTheme="majorEastAsia" w:hAnsi="Arial" w:cs="Arial"/>
          <w:b/>
          <w:bCs/>
          <w:color w:val="000000" w:themeColor="text1"/>
          <w:sz w:val="24"/>
          <w:szCs w:val="24"/>
        </w:rPr>
      </w:pPr>
      <w:r w:rsidRPr="00933A25">
        <w:rPr>
          <w:rFonts w:ascii="Arial" w:eastAsiaTheme="majorEastAsia" w:hAnsi="Arial" w:cs="Arial"/>
          <w:b/>
          <w:bCs/>
          <w:color w:val="000000" w:themeColor="text1"/>
          <w:sz w:val="24"/>
          <w:szCs w:val="24"/>
        </w:rPr>
        <w:t>IV-</w:t>
      </w:r>
      <w:r w:rsidR="00643AD5">
        <w:rPr>
          <w:rFonts w:ascii="Arial" w:eastAsiaTheme="majorEastAsia" w:hAnsi="Arial" w:cs="Arial"/>
          <w:b/>
          <w:bCs/>
          <w:color w:val="000000" w:themeColor="text1"/>
          <w:sz w:val="24"/>
          <w:szCs w:val="24"/>
        </w:rPr>
        <w:t>4.</w:t>
      </w:r>
      <w:r w:rsidR="00F566CC">
        <w:rPr>
          <w:rFonts w:ascii="Arial" w:eastAsiaTheme="majorEastAsia" w:hAnsi="Arial" w:cs="Arial"/>
          <w:b/>
          <w:bCs/>
          <w:color w:val="000000" w:themeColor="text1"/>
          <w:sz w:val="24"/>
          <w:szCs w:val="24"/>
        </w:rPr>
        <w:t>5</w:t>
      </w:r>
      <w:r w:rsidRPr="00933A25">
        <w:rPr>
          <w:rFonts w:ascii="Arial" w:eastAsiaTheme="majorEastAsia" w:hAnsi="Arial" w:cs="Arial"/>
          <w:b/>
          <w:bCs/>
          <w:color w:val="000000" w:themeColor="text1"/>
          <w:sz w:val="24"/>
          <w:szCs w:val="24"/>
        </w:rPr>
        <w:t>.2.5 Clasificación y focalización de unidades de análisis</w:t>
      </w:r>
    </w:p>
    <w:p w14:paraId="1EF31B4F" w14:textId="77777777" w:rsidR="002849EC" w:rsidRPr="00307125" w:rsidRDefault="002849EC" w:rsidP="002849EC">
      <w:pPr>
        <w:jc w:val="both"/>
        <w:rPr>
          <w:rFonts w:ascii="Arial" w:eastAsiaTheme="majorEastAsia" w:hAnsi="Arial" w:cs="Arial"/>
          <w:color w:val="000000" w:themeColor="text1"/>
          <w:sz w:val="24"/>
          <w:szCs w:val="24"/>
        </w:rPr>
      </w:pPr>
      <w:r w:rsidRPr="00307125">
        <w:rPr>
          <w:rFonts w:ascii="Arial" w:eastAsiaTheme="majorEastAsia" w:hAnsi="Arial" w:cs="Arial"/>
          <w:color w:val="000000" w:themeColor="text1"/>
          <w:sz w:val="24"/>
          <w:szCs w:val="24"/>
        </w:rPr>
        <w:t>A partir de los valores obtenidos en el índice de focalización, se realiza una clasificación jerárquica de las unidades elegibles, organizándolas de acuerdo con su nivel relativo de prelación.</w:t>
      </w:r>
    </w:p>
    <w:p w14:paraId="6F6B7665" w14:textId="77777777" w:rsidR="002849EC" w:rsidRPr="00307125" w:rsidRDefault="002849EC" w:rsidP="002849EC">
      <w:pPr>
        <w:jc w:val="both"/>
        <w:rPr>
          <w:rFonts w:ascii="Arial" w:eastAsiaTheme="majorEastAsia" w:hAnsi="Arial" w:cs="Arial"/>
          <w:color w:val="000000" w:themeColor="text1"/>
          <w:sz w:val="24"/>
          <w:szCs w:val="24"/>
        </w:rPr>
      </w:pPr>
      <w:r w:rsidRPr="00307125">
        <w:rPr>
          <w:rFonts w:ascii="Arial" w:eastAsiaTheme="majorEastAsia" w:hAnsi="Arial" w:cs="Arial"/>
          <w:color w:val="000000" w:themeColor="text1"/>
          <w:sz w:val="24"/>
          <w:szCs w:val="24"/>
        </w:rPr>
        <w:t>Esta clasificación permite construir una lista jerarquizada de posibles beneficiarios o unidades de intervención, la cual constituye un insumo fundamental para la etapa posterior de selección muestral.</w:t>
      </w:r>
    </w:p>
    <w:p w14:paraId="08A9F296" w14:textId="6351C210" w:rsidR="002849EC" w:rsidRPr="00307125" w:rsidRDefault="002849EC" w:rsidP="002849EC">
      <w:pPr>
        <w:jc w:val="both"/>
        <w:rPr>
          <w:rFonts w:ascii="Arial" w:eastAsia="Arial" w:hAnsi="Arial" w:cs="Arial"/>
        </w:rPr>
      </w:pPr>
      <w:r w:rsidRPr="00307125">
        <w:rPr>
          <w:rFonts w:ascii="Arial" w:eastAsiaTheme="majorEastAsia" w:hAnsi="Arial" w:cs="Arial"/>
          <w:b/>
          <w:bCs/>
          <w:color w:val="000000" w:themeColor="text1"/>
          <w:sz w:val="24"/>
          <w:szCs w:val="24"/>
        </w:rPr>
        <w:t>IV-</w:t>
      </w:r>
      <w:r w:rsidR="00F566CC">
        <w:rPr>
          <w:rFonts w:ascii="Arial" w:eastAsiaTheme="majorEastAsia" w:hAnsi="Arial" w:cs="Arial"/>
          <w:b/>
          <w:bCs/>
          <w:color w:val="000000" w:themeColor="text1"/>
          <w:sz w:val="24"/>
          <w:szCs w:val="24"/>
        </w:rPr>
        <w:t>4.5</w:t>
      </w:r>
      <w:r w:rsidRPr="00307125">
        <w:rPr>
          <w:rFonts w:ascii="Arial" w:eastAsiaTheme="majorEastAsia" w:hAnsi="Arial" w:cs="Arial"/>
          <w:b/>
          <w:bCs/>
          <w:color w:val="000000" w:themeColor="text1"/>
          <w:sz w:val="24"/>
          <w:szCs w:val="24"/>
        </w:rPr>
        <w:t>.2.6 Definición de la selección muestral</w:t>
      </w:r>
    </w:p>
    <w:p w14:paraId="7ACC1B90" w14:textId="77777777" w:rsidR="002849EC" w:rsidRPr="00307125" w:rsidRDefault="002849EC" w:rsidP="002849EC">
      <w:pPr>
        <w:jc w:val="both"/>
        <w:rPr>
          <w:rFonts w:ascii="Arial" w:eastAsiaTheme="majorEastAsia" w:hAnsi="Arial" w:cs="Arial"/>
          <w:color w:val="000000" w:themeColor="text1"/>
          <w:sz w:val="24"/>
          <w:szCs w:val="24"/>
        </w:rPr>
      </w:pPr>
      <w:r w:rsidRPr="00307125">
        <w:rPr>
          <w:rFonts w:ascii="Arial" w:eastAsiaTheme="majorEastAsia" w:hAnsi="Arial" w:cs="Arial"/>
          <w:color w:val="000000" w:themeColor="text1"/>
          <w:sz w:val="24"/>
          <w:szCs w:val="24"/>
        </w:rPr>
        <w:t>Finalmente, con base en la focalización obtenida, se procede a la definición de la selección muestral definitiva, incorporando criterios adicionales asociados a la distribución territorial, la representatividad del universo de estudio y las condiciones operativas del proceso de implementación.</w:t>
      </w:r>
    </w:p>
    <w:p w14:paraId="034A5090" w14:textId="77777777" w:rsidR="002849EC" w:rsidRPr="00307125" w:rsidRDefault="002849EC" w:rsidP="002849EC">
      <w:pPr>
        <w:jc w:val="both"/>
        <w:rPr>
          <w:rFonts w:ascii="Arial" w:hAnsi="Arial" w:cs="Arial"/>
        </w:rPr>
      </w:pPr>
      <w:r w:rsidRPr="00307125">
        <w:rPr>
          <w:rFonts w:ascii="Arial" w:eastAsiaTheme="majorEastAsia" w:hAnsi="Arial" w:cs="Arial"/>
          <w:color w:val="000000" w:themeColor="text1"/>
          <w:sz w:val="24"/>
          <w:szCs w:val="24"/>
        </w:rPr>
        <w:t>En esta etapa se incorpora un criterio adicional de clasificación territorial a nivel de barrios, el cual se determina tomando como referencia, por una parte, los barrios con mayores niveles de prelación social definidos en la información institucional disponible y, por otra, los resultados del índice de focalización de usuarios calculado previamente.</w:t>
      </w:r>
    </w:p>
    <w:p w14:paraId="5501517E" w14:textId="77777777" w:rsidR="002849EC" w:rsidRPr="00307125" w:rsidRDefault="002849EC" w:rsidP="002849EC">
      <w:pPr>
        <w:jc w:val="both"/>
        <w:rPr>
          <w:rFonts w:ascii="Arial" w:hAnsi="Arial" w:cs="Arial"/>
        </w:rPr>
      </w:pPr>
      <w:r w:rsidRPr="00307125">
        <w:rPr>
          <w:rFonts w:ascii="Arial" w:eastAsiaTheme="majorEastAsia" w:hAnsi="Arial" w:cs="Arial"/>
          <w:color w:val="000000" w:themeColor="text1"/>
          <w:sz w:val="24"/>
          <w:szCs w:val="24"/>
        </w:rPr>
        <w:t>La integración de estos criterios permite establecer una jerarquización territorial que orienta la selección final de los registros.</w:t>
      </w:r>
    </w:p>
    <w:p w14:paraId="2EA03CEC" w14:textId="77777777" w:rsidR="002849EC" w:rsidRPr="00307125" w:rsidRDefault="002849EC" w:rsidP="002849EC">
      <w:pPr>
        <w:jc w:val="both"/>
        <w:rPr>
          <w:rFonts w:ascii="Arial" w:hAnsi="Arial" w:cs="Arial"/>
        </w:rPr>
      </w:pPr>
      <w:r w:rsidRPr="00307125">
        <w:rPr>
          <w:rFonts w:ascii="Arial" w:eastAsiaTheme="majorEastAsia" w:hAnsi="Arial" w:cs="Arial"/>
          <w:color w:val="000000" w:themeColor="text1"/>
          <w:sz w:val="24"/>
          <w:szCs w:val="24"/>
        </w:rPr>
        <w:t>Como resultado, se define la muestra definitiva de usuarios seleccionados, incluyendo la identificación completa de las variables seleccionadas provenientes de los formatos administrativos TC1 y TC2 suministrados por la Superintendencia de Servicios Públicos Domiciliarios. Este procedimiento garantiza la trazabilidad de la información y la coherencia entre los criterios de focalización y la composición final de la muestra analizada.</w:t>
      </w:r>
    </w:p>
    <w:p w14:paraId="544DF4A9" w14:textId="77777777" w:rsidR="002849EC" w:rsidRDefault="002849EC" w:rsidP="00646F4D">
      <w:pPr>
        <w:spacing w:after="0"/>
        <w:jc w:val="both"/>
        <w:rPr>
          <w:rFonts w:ascii="Arial" w:eastAsiaTheme="majorEastAsia" w:hAnsi="Arial" w:cs="Arial"/>
          <w:color w:val="000000" w:themeColor="text1"/>
          <w:sz w:val="24"/>
          <w:szCs w:val="24"/>
        </w:rPr>
      </w:pPr>
      <w:r w:rsidRPr="00307125">
        <w:rPr>
          <w:rFonts w:ascii="Arial" w:eastAsiaTheme="majorEastAsia" w:hAnsi="Arial" w:cs="Arial"/>
          <w:color w:val="000000" w:themeColor="text1"/>
          <w:sz w:val="24"/>
          <w:szCs w:val="24"/>
        </w:rPr>
        <w:t xml:space="preserve">El resultado final corresponde a la identificación del conjunto de unidades que conforman la muestra de análisis, derivada de un proceso sistemático de integración, depuración y prelación de información. Este procedimiento metodológico permite asegurar que la </w:t>
      </w:r>
      <w:r w:rsidRPr="00307125">
        <w:rPr>
          <w:rFonts w:ascii="Arial" w:eastAsiaTheme="majorEastAsia" w:hAnsi="Arial" w:cs="Arial"/>
          <w:color w:val="000000" w:themeColor="text1"/>
          <w:sz w:val="24"/>
          <w:szCs w:val="24"/>
        </w:rPr>
        <w:lastRenderedPageBreak/>
        <w:t>selección muestral se derive de un proceso transparente, replicable y basado en criterios analíticos consistentes.</w:t>
      </w:r>
    </w:p>
    <w:p w14:paraId="326690CB" w14:textId="77777777" w:rsidR="00646F4D" w:rsidRPr="00307125" w:rsidRDefault="00646F4D" w:rsidP="00646F4D">
      <w:pPr>
        <w:spacing w:after="0"/>
        <w:jc w:val="both"/>
        <w:rPr>
          <w:rFonts w:ascii="Arial" w:hAnsi="Arial" w:cs="Arial"/>
        </w:rPr>
      </w:pPr>
    </w:p>
    <w:p w14:paraId="70A9920C" w14:textId="2649FE44" w:rsidR="002849EC" w:rsidRDefault="002849EC" w:rsidP="00646F4D">
      <w:pPr>
        <w:pStyle w:val="Ttulo3"/>
        <w:spacing w:before="0"/>
        <w:jc w:val="both"/>
        <w:rPr>
          <w:rFonts w:eastAsia="Arial" w:cs="Arial"/>
        </w:rPr>
      </w:pPr>
      <w:r w:rsidRPr="40AD52C2">
        <w:rPr>
          <w:rFonts w:eastAsia="Arial" w:cs="Arial"/>
        </w:rPr>
        <w:t>IV-</w:t>
      </w:r>
      <w:r w:rsidR="00F566CC">
        <w:rPr>
          <w:rFonts w:eastAsia="Arial" w:cs="Arial"/>
        </w:rPr>
        <w:t>4.6</w:t>
      </w:r>
      <w:r w:rsidRPr="40AD52C2">
        <w:rPr>
          <w:rFonts w:eastAsia="Arial" w:cs="Arial"/>
        </w:rPr>
        <w:t xml:space="preserve"> Actividades de Administración, Operación y Mantenimiento AOM.</w:t>
      </w:r>
    </w:p>
    <w:p w14:paraId="7D1BA80F" w14:textId="77777777" w:rsidR="00646F4D" w:rsidRPr="00646F4D" w:rsidRDefault="00646F4D" w:rsidP="00646F4D">
      <w:pPr>
        <w:spacing w:after="0"/>
      </w:pPr>
    </w:p>
    <w:p w14:paraId="344DF45B" w14:textId="77777777" w:rsidR="002849EC" w:rsidRDefault="002849EC" w:rsidP="002849EC">
      <w:pPr>
        <w:jc w:val="both"/>
      </w:pPr>
      <w:r w:rsidRPr="40AD52C2">
        <w:rPr>
          <w:rFonts w:ascii="Arial" w:eastAsia="Arial" w:hAnsi="Arial" w:cs="Arial"/>
          <w:sz w:val="24"/>
          <w:szCs w:val="24"/>
        </w:rPr>
        <w:t>Las actividades de Administración, Operación y Mantenimiento (AOM) de las soluciones fotovoltaicas son de carácter obligatorio para asegurar la sostenibilidad de los activos asociados y, el cumplimiento de la generación de energía eléctrica proyectada en los diseños y la construcción. Al desarrollar estas actividades de forma oportuna se brinda seguridad y continuidad operativa durante su vida útil. En este sentido las actividades de AOM se aplicarán para las soluciones fotovoltaicas individuales y centralizadas sin almacenamiento implementadas en el marco del Programa Colombia Solar, estableciendo criterios mínimos para: responsables, remuneración, alcance técnico, reposiciones, documentación, inventarios, reportes, y demás actividades pertinentes.</w:t>
      </w:r>
    </w:p>
    <w:p w14:paraId="0ADCDCC2" w14:textId="6767A034" w:rsidR="002849EC" w:rsidRDefault="002849EC" w:rsidP="002849EC">
      <w:pPr>
        <w:pStyle w:val="Ttulo6"/>
        <w:ind w:left="1152" w:hanging="1152"/>
        <w:jc w:val="both"/>
        <w:rPr>
          <w:rFonts w:eastAsia="Arial" w:cs="Arial"/>
          <w:bCs/>
          <w:szCs w:val="24"/>
        </w:rPr>
      </w:pPr>
      <w:r w:rsidRPr="40AD52C2">
        <w:rPr>
          <w:rFonts w:eastAsia="Arial" w:cs="Arial"/>
          <w:bCs/>
          <w:szCs w:val="24"/>
        </w:rPr>
        <w:t>IV-</w:t>
      </w:r>
      <w:r w:rsidR="0086563F">
        <w:rPr>
          <w:rFonts w:eastAsia="Arial" w:cs="Arial"/>
          <w:bCs/>
          <w:szCs w:val="24"/>
        </w:rPr>
        <w:t>4.6</w:t>
      </w:r>
      <w:r w:rsidRPr="40AD52C2">
        <w:rPr>
          <w:rFonts w:eastAsia="Arial" w:cs="Arial"/>
          <w:bCs/>
          <w:szCs w:val="24"/>
        </w:rPr>
        <w:t>.1 Horizonte de vida útil y Sostenibilidad</w:t>
      </w:r>
    </w:p>
    <w:p w14:paraId="4E0F0A1C" w14:textId="77777777" w:rsidR="00646F4D" w:rsidRPr="00646F4D" w:rsidRDefault="00646F4D" w:rsidP="00646F4D"/>
    <w:p w14:paraId="03AD1787" w14:textId="77777777" w:rsidR="008A3F4D"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Para efectos de la estructuración, implementación y sostenibilidad del Programa Colombia Solar, se adopta un horizonte de vida útil de veinticinco (25) años para las soluciones solares fotovoltaicas, contado a partir de la Fecha de Puesta en Operación (FPO). Este horizonte se fundamenta en estándares técnicos internacionalmente reconocidos para la evaluación del desempeño y la durabilidad de los módulos fotovoltaicos, en particular la norma IEC 61215, la cual establece los ensayos de diseño y calificación requeridos para verificar la confiabilidad y resistencia de los módulos frente a condiciones ambientales, mecánicas y eléctricas representativas de una operación prolongada en campo. </w:t>
      </w:r>
    </w:p>
    <w:p w14:paraId="33829218" w14:textId="77777777" w:rsidR="00B7796A"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De manera complementaria, este horizonte de planeación resulta coherente con la información técnica y las garantías de desempeño declaradas por los fabricantes de módulos fotovoltaicos en sus fichas técnicas, las cuales, de forma generalizada en el mercado, contemplan períodos de garantía de potencia del orden de veinticinco (25) años, con niveles de desempeño remanente cercanos al ochenta por ciento (80 %) de la potencia nominal inicial. En este contexto, bajo condiciones normales de operación y mantenimiento, los módulos fotovoltaicos presentan procesos de degradación gradual de su capacidad de generación, con tasas anuales típicamente inferiores al uno por ciento (1 %). </w:t>
      </w:r>
    </w:p>
    <w:p w14:paraId="22E99311" w14:textId="77777777" w:rsidR="00B7796A"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En consecuencia, la adopción del horizonte de veinticinco (25) años se establece exclusivamente para efectos de planeación técnica, económica y de sostenibilidad del Programa Colombia Solar, sin que ello implique el cese del funcionamiento de los sistemas al finalizar dicho período ni la imposición de obligaciones técnicas adicionales a las previstas en la normativa vigente aplicable. Así las cosas, el Programa contempla un horizonte de vida útil de veinticinco (25) años para cada solución fotovoltaica a implementar, contados desde la fecha de puesta en operación, con fines de gestión del activo y sostenibilidad técnica financiera del Programa. </w:t>
      </w:r>
    </w:p>
    <w:p w14:paraId="560DB9F8" w14:textId="332B65B5" w:rsidR="002849EC" w:rsidRDefault="002849EC" w:rsidP="00B7796A">
      <w:pPr>
        <w:spacing w:after="0"/>
        <w:jc w:val="both"/>
      </w:pPr>
      <w:r w:rsidRPr="40AD52C2">
        <w:rPr>
          <w:rFonts w:ascii="Arial" w:eastAsia="Arial" w:hAnsi="Arial" w:cs="Arial"/>
          <w:sz w:val="24"/>
          <w:szCs w:val="24"/>
        </w:rPr>
        <w:t xml:space="preserve">El Ministerio de Minas y Energía deberá asegurar la ejecución continua de las actividades de AOM mediante instrumentos contractuales y financieros. Para tal fin se dispone que la ejecución de las actividades de AOM se realice durante el primer (1) año por el ejecutor </w:t>
      </w:r>
      <w:r w:rsidRPr="40AD52C2">
        <w:rPr>
          <w:rFonts w:ascii="Arial" w:eastAsia="Arial" w:hAnsi="Arial" w:cs="Arial"/>
          <w:sz w:val="24"/>
          <w:szCs w:val="24"/>
        </w:rPr>
        <w:lastRenderedPageBreak/>
        <w:t>de los proyectos y desde el segundo (2) año por el Comercializador del Servicio Público Domiciliario de Energía Eléctrica.</w:t>
      </w:r>
    </w:p>
    <w:p w14:paraId="67A44179" w14:textId="77777777" w:rsidR="002849EC" w:rsidRDefault="002849EC" w:rsidP="00B7796A">
      <w:pPr>
        <w:spacing w:after="0"/>
        <w:jc w:val="both"/>
      </w:pPr>
      <w:r w:rsidRPr="40AD52C2">
        <w:rPr>
          <w:rFonts w:ascii="Arial" w:eastAsia="Arial" w:hAnsi="Arial" w:cs="Arial"/>
          <w:b/>
          <w:bCs/>
          <w:sz w:val="24"/>
          <w:szCs w:val="24"/>
        </w:rPr>
        <w:t xml:space="preserve"> </w:t>
      </w:r>
    </w:p>
    <w:p w14:paraId="3F47D48D" w14:textId="1D07260E" w:rsidR="00B7796A" w:rsidRDefault="002849EC" w:rsidP="002849EC">
      <w:pPr>
        <w:pStyle w:val="Ttulo6"/>
        <w:ind w:left="1152" w:hanging="1152"/>
        <w:jc w:val="both"/>
        <w:rPr>
          <w:rFonts w:eastAsia="Arial" w:cs="Arial"/>
          <w:bCs/>
          <w:szCs w:val="24"/>
        </w:rPr>
      </w:pPr>
      <w:r w:rsidRPr="40AD52C2">
        <w:rPr>
          <w:rFonts w:eastAsia="Arial" w:cs="Arial"/>
          <w:bCs/>
          <w:szCs w:val="24"/>
        </w:rPr>
        <w:t>IV-</w:t>
      </w:r>
      <w:r w:rsidR="0086563F">
        <w:rPr>
          <w:rFonts w:eastAsia="Arial" w:cs="Arial"/>
          <w:bCs/>
          <w:szCs w:val="24"/>
        </w:rPr>
        <w:t>4.6</w:t>
      </w:r>
      <w:r w:rsidRPr="40AD52C2">
        <w:rPr>
          <w:rFonts w:eastAsia="Arial" w:cs="Arial"/>
          <w:bCs/>
          <w:szCs w:val="24"/>
        </w:rPr>
        <w:t>.1.1 AOM para el Año 1</w:t>
      </w:r>
    </w:p>
    <w:p w14:paraId="2370ABC1" w14:textId="75BBC37F" w:rsidR="002849EC" w:rsidRDefault="002849EC" w:rsidP="002849EC">
      <w:pPr>
        <w:pStyle w:val="Ttulo6"/>
        <w:ind w:left="1152" w:hanging="1152"/>
        <w:jc w:val="both"/>
      </w:pPr>
      <w:r w:rsidRPr="40AD52C2">
        <w:rPr>
          <w:rFonts w:eastAsia="Arial" w:cs="Arial"/>
          <w:bCs/>
          <w:szCs w:val="24"/>
        </w:rPr>
        <w:t xml:space="preserve"> </w:t>
      </w:r>
    </w:p>
    <w:p w14:paraId="331CC836" w14:textId="77777777" w:rsidR="00B7796A"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Durante el primer año, las actividades de AOM quedan a cargo del ejecutor del Programa Colombia Solar, siendo esta una obligación contractual entre el ejecutor del Programa y el contratista derivado a cargo de la ejecución integral de los proyectos. Este tiempo permite asegurar el debido procedimiento para la transferencia de los activos al Ministerio y de este, la transferencia del uso y el goce al Comercializador encargado de realizar las actividades de AOM desde el año dos (2) al año veinticinco (25). </w:t>
      </w:r>
    </w:p>
    <w:p w14:paraId="3479DB10" w14:textId="708ED8B7" w:rsidR="002849EC" w:rsidRDefault="002849EC" w:rsidP="002849EC">
      <w:pPr>
        <w:jc w:val="both"/>
        <w:rPr>
          <w:rFonts w:ascii="Arial" w:eastAsia="Arial" w:hAnsi="Arial" w:cs="Arial"/>
          <w:sz w:val="24"/>
          <w:szCs w:val="24"/>
        </w:rPr>
      </w:pPr>
      <w:r w:rsidRPr="40AD52C2">
        <w:rPr>
          <w:rFonts w:ascii="Arial" w:eastAsia="Arial" w:hAnsi="Arial" w:cs="Arial"/>
          <w:sz w:val="24"/>
          <w:szCs w:val="24"/>
        </w:rPr>
        <w:t>Adicionalmente, este tiempo permite al contratista derivado realizar ajustes a la operatividad de las soluciones fotovoltaicas, el comisionamiento, la compatibilidad en la configuración de equipos, fallas tempranas y de ser necesario aplicación de garantías, entre otros. La remuneración para el Año uno (1) se reconoce por componentes de Administración, Operación y Mantenimiento, y está incluida en el CAPEX de construcción de las soluciones solares fotovoltaicas.</w:t>
      </w:r>
    </w:p>
    <w:p w14:paraId="627672CC" w14:textId="33C2E891" w:rsidR="00B7796A" w:rsidRDefault="002849EC" w:rsidP="002849EC">
      <w:pPr>
        <w:pStyle w:val="Ttulo6"/>
        <w:ind w:left="1152" w:hanging="1152"/>
        <w:jc w:val="both"/>
        <w:rPr>
          <w:rFonts w:eastAsia="Arial" w:cs="Arial"/>
          <w:bCs/>
          <w:szCs w:val="24"/>
        </w:rPr>
      </w:pPr>
      <w:r w:rsidRPr="40AD52C2">
        <w:rPr>
          <w:rFonts w:eastAsia="Arial" w:cs="Arial"/>
          <w:bCs/>
          <w:szCs w:val="24"/>
        </w:rPr>
        <w:t>IV-</w:t>
      </w:r>
      <w:r w:rsidR="0086563F">
        <w:rPr>
          <w:rFonts w:eastAsia="Arial" w:cs="Arial"/>
          <w:bCs/>
          <w:szCs w:val="24"/>
        </w:rPr>
        <w:t>4.6</w:t>
      </w:r>
      <w:r w:rsidRPr="40AD52C2">
        <w:rPr>
          <w:rFonts w:eastAsia="Arial" w:cs="Arial"/>
          <w:bCs/>
          <w:szCs w:val="24"/>
        </w:rPr>
        <w:t>.1.2. AOM para los años 2 a 25</w:t>
      </w:r>
    </w:p>
    <w:p w14:paraId="41D5C762" w14:textId="41B1F0FA" w:rsidR="002849EC" w:rsidRDefault="002849EC" w:rsidP="002849EC">
      <w:pPr>
        <w:pStyle w:val="Ttulo6"/>
        <w:ind w:left="1152" w:hanging="1152"/>
        <w:jc w:val="both"/>
      </w:pPr>
      <w:r w:rsidRPr="40AD52C2">
        <w:rPr>
          <w:rFonts w:eastAsia="Arial" w:cs="Arial"/>
          <w:bCs/>
          <w:szCs w:val="24"/>
        </w:rPr>
        <w:t xml:space="preserve"> </w:t>
      </w:r>
    </w:p>
    <w:p w14:paraId="414EDAE2" w14:textId="77777777" w:rsidR="002849EC" w:rsidRDefault="002849EC" w:rsidP="00AA5AB8">
      <w:pPr>
        <w:spacing w:after="0"/>
        <w:jc w:val="both"/>
      </w:pPr>
      <w:r w:rsidRPr="40AD52C2">
        <w:rPr>
          <w:rFonts w:ascii="Arial" w:eastAsia="Arial" w:hAnsi="Arial" w:cs="Arial"/>
          <w:sz w:val="24"/>
          <w:szCs w:val="24"/>
        </w:rPr>
        <w:t>Desde el segundo año y hasta completar el horizonte de 25 años, el Ministerio de Minas y Energía deberá contratar las actividades de AOM con el Comercializador del servicio de energía eléctrica, aprovechando las capacidades operativas, de gestión y de articulación con la cadena del servicio (medición, liquidación, operación, atención al usuario, etc.), permitiendo remunerar los costos de las actividades de AOM mediante esquemas asociados a la energía generada.</w:t>
      </w:r>
    </w:p>
    <w:p w14:paraId="092FF99B" w14:textId="77777777" w:rsidR="002849EC" w:rsidRDefault="002849EC" w:rsidP="00AA5AB8">
      <w:pPr>
        <w:spacing w:after="0"/>
        <w:jc w:val="both"/>
      </w:pPr>
      <w:r w:rsidRPr="40AD52C2">
        <w:rPr>
          <w:rFonts w:ascii="Arial" w:eastAsia="Arial" w:hAnsi="Arial" w:cs="Arial"/>
          <w:sz w:val="24"/>
          <w:szCs w:val="24"/>
        </w:rPr>
        <w:t xml:space="preserve"> </w:t>
      </w:r>
    </w:p>
    <w:p w14:paraId="10875932" w14:textId="6E925D0D" w:rsidR="002849EC" w:rsidRDefault="002849EC" w:rsidP="00F738DB">
      <w:pPr>
        <w:pStyle w:val="Ttulo6"/>
        <w:spacing w:before="0"/>
        <w:ind w:left="1152" w:hanging="1152"/>
        <w:jc w:val="both"/>
        <w:rPr>
          <w:rFonts w:eastAsia="Arial" w:cs="Arial"/>
          <w:bCs/>
          <w:szCs w:val="24"/>
        </w:rPr>
      </w:pPr>
      <w:r w:rsidRPr="40AD52C2">
        <w:rPr>
          <w:rFonts w:eastAsia="Arial" w:cs="Arial"/>
          <w:bCs/>
          <w:szCs w:val="24"/>
        </w:rPr>
        <w:t>IV-</w:t>
      </w:r>
      <w:r w:rsidR="0086563F">
        <w:rPr>
          <w:rFonts w:eastAsia="Arial" w:cs="Arial"/>
          <w:bCs/>
          <w:szCs w:val="24"/>
        </w:rPr>
        <w:t>4.6</w:t>
      </w:r>
      <w:r w:rsidRPr="40AD52C2">
        <w:rPr>
          <w:rFonts w:eastAsia="Arial" w:cs="Arial"/>
          <w:bCs/>
          <w:szCs w:val="24"/>
        </w:rPr>
        <w:t xml:space="preserve">.2. Plan de Sostenibilidad de las actividades de AOM </w:t>
      </w:r>
    </w:p>
    <w:p w14:paraId="20B08818" w14:textId="77777777" w:rsidR="00AA5AB8" w:rsidRPr="00AA5AB8" w:rsidRDefault="00AA5AB8" w:rsidP="00F738DB">
      <w:pPr>
        <w:spacing w:after="0"/>
      </w:pPr>
    </w:p>
    <w:p w14:paraId="33759B3F" w14:textId="77777777" w:rsidR="002849EC" w:rsidRDefault="002849EC" w:rsidP="002849EC">
      <w:pPr>
        <w:jc w:val="both"/>
      </w:pPr>
      <w:r w:rsidRPr="40AD52C2">
        <w:rPr>
          <w:rFonts w:ascii="Arial" w:eastAsia="Arial" w:hAnsi="Arial" w:cs="Arial"/>
          <w:sz w:val="24"/>
          <w:szCs w:val="24"/>
        </w:rPr>
        <w:t>Para asegurar una ejecución eficiente, segura y con estándares de calidad de cada actividad asociada a las labores de Administración, Operación y Mantenimiento, el Ministerio de Minas y Energía deberá exigir un plan de implementación para cada componente, a este se le denomina Plan AOM, y será un documento integral del instrumento contractual a suscribir.</w:t>
      </w:r>
    </w:p>
    <w:p w14:paraId="41D18FB0" w14:textId="77777777" w:rsidR="002849EC" w:rsidRDefault="002849EC" w:rsidP="002849EC">
      <w:pPr>
        <w:jc w:val="both"/>
      </w:pPr>
      <w:r w:rsidRPr="40AD52C2">
        <w:rPr>
          <w:rFonts w:ascii="Arial" w:eastAsia="Arial" w:hAnsi="Arial" w:cs="Arial"/>
          <w:sz w:val="24"/>
          <w:szCs w:val="24"/>
        </w:rPr>
        <w:t>El plan AOM constituye el mecanismo principal para traducir la remuneración y operatividad de las actividades desde una óptica administrativa, técnica y financiera, logrando la trazabilidad de cada acción y garantizando la sostenibilidad del activo. Por ello, el Plan AOM debe contener como mínimo:</w:t>
      </w:r>
    </w:p>
    <w:p w14:paraId="1F821793" w14:textId="77777777" w:rsidR="002849EC" w:rsidRDefault="002849EC" w:rsidP="002849EC">
      <w:pPr>
        <w:jc w:val="both"/>
      </w:pPr>
      <w:r w:rsidRPr="40AD52C2">
        <w:rPr>
          <w:rFonts w:ascii="Arial" w:eastAsia="Arial" w:hAnsi="Arial" w:cs="Arial"/>
          <w:sz w:val="24"/>
          <w:szCs w:val="24"/>
        </w:rPr>
        <w:t xml:space="preserve"> 1. Alcance por componente (A–O–M): desagregación técnica de las actividades a ejecutar en Administración, Operación y Mantenimiento, de manera que el Ministerio pueda validar que el contratista cubra integralmente la gestión del activo y su rendimiento en la generación de energía eléctrica. </w:t>
      </w:r>
    </w:p>
    <w:p w14:paraId="5CCF2490" w14:textId="77777777" w:rsidR="002849EC" w:rsidRDefault="002849EC" w:rsidP="002849EC">
      <w:pPr>
        <w:jc w:val="both"/>
      </w:pPr>
      <w:r w:rsidRPr="40AD52C2">
        <w:rPr>
          <w:rFonts w:ascii="Arial" w:eastAsia="Arial" w:hAnsi="Arial" w:cs="Arial"/>
          <w:sz w:val="24"/>
          <w:szCs w:val="24"/>
        </w:rPr>
        <w:t xml:space="preserve">2. Recursos humanos: incluyendo los perfiles, su dedicación, salarios y competencias mínimas del personal. </w:t>
      </w:r>
    </w:p>
    <w:p w14:paraId="11BA9111" w14:textId="77777777" w:rsidR="002849EC" w:rsidRDefault="002849EC" w:rsidP="002849EC">
      <w:pPr>
        <w:jc w:val="both"/>
      </w:pPr>
      <w:r w:rsidRPr="40AD52C2">
        <w:rPr>
          <w:rFonts w:ascii="Arial" w:eastAsia="Arial" w:hAnsi="Arial" w:cs="Arial"/>
          <w:sz w:val="24"/>
          <w:szCs w:val="24"/>
        </w:rPr>
        <w:lastRenderedPageBreak/>
        <w:t xml:space="preserve">3. Insumos, herramientas y materiales: listado mínimo con sus valores asociados para el mantenimiento preventivo y correctivo, incluyendo repuestos críticos; esta exigencia reduce el riesgo de indisponibilidad por tiempos de adquisición y fortalece la continuidad del servicio. </w:t>
      </w:r>
    </w:p>
    <w:p w14:paraId="3D5BEA1B" w14:textId="77777777" w:rsidR="002849EC" w:rsidRDefault="002849EC" w:rsidP="002849EC">
      <w:pPr>
        <w:jc w:val="both"/>
      </w:pPr>
      <w:r w:rsidRPr="40AD52C2">
        <w:rPr>
          <w:rFonts w:ascii="Arial" w:eastAsia="Arial" w:hAnsi="Arial" w:cs="Arial"/>
          <w:sz w:val="24"/>
          <w:szCs w:val="24"/>
        </w:rPr>
        <w:t xml:space="preserve">4. Periodicidad y cronograma: definición de periodicidad para el mantenimiento preventivo, y acciones correctivas bajo una programación anual. </w:t>
      </w:r>
    </w:p>
    <w:p w14:paraId="0A30D8BE" w14:textId="77777777" w:rsidR="002849EC" w:rsidRDefault="002849EC" w:rsidP="002849EC">
      <w:pPr>
        <w:jc w:val="both"/>
      </w:pPr>
      <w:r w:rsidRPr="40AD52C2">
        <w:rPr>
          <w:rFonts w:ascii="Arial" w:eastAsia="Arial" w:hAnsi="Arial" w:cs="Arial"/>
          <w:sz w:val="24"/>
          <w:szCs w:val="24"/>
        </w:rPr>
        <w:t xml:space="preserve">5. Procedimientos operativos y de seguridad: protocolos de operación segura, control de riesgos, y acciones frente a contingencias. Se busca garantizar que la operación y el mantenimiento se realicen con estándares de seguridad mitigando riesgos para usuarios, operarios o terceros. </w:t>
      </w:r>
    </w:p>
    <w:p w14:paraId="0EF796B7" w14:textId="77777777" w:rsidR="002849EC" w:rsidRDefault="002849EC" w:rsidP="002849EC">
      <w:pPr>
        <w:jc w:val="both"/>
      </w:pPr>
      <w:r w:rsidRPr="40AD52C2">
        <w:rPr>
          <w:rFonts w:ascii="Arial" w:eastAsia="Arial" w:hAnsi="Arial" w:cs="Arial"/>
          <w:sz w:val="24"/>
          <w:szCs w:val="24"/>
        </w:rPr>
        <w:t xml:space="preserve">6. Análisis de precios: Se debe cuantificar cada costo asociado al desarrollo de cada componente. </w:t>
      </w:r>
    </w:p>
    <w:p w14:paraId="4B5DABF8" w14:textId="77777777" w:rsidR="002849EC" w:rsidRDefault="002849EC" w:rsidP="002849EC">
      <w:pPr>
        <w:jc w:val="both"/>
      </w:pPr>
      <w:r w:rsidRPr="40AD52C2">
        <w:rPr>
          <w:rFonts w:ascii="Arial" w:eastAsia="Arial" w:hAnsi="Arial" w:cs="Arial"/>
          <w:sz w:val="24"/>
          <w:szCs w:val="24"/>
        </w:rPr>
        <w:t xml:space="preserve">7. Sistema de recaudo para reposición de inversores: Según el costo asociado a cada activo de inversor se debe generar un método de recaudo y así prever la reposición de estos equipos conforme a la vida útil definida por el fabricante en la ficha técnica y a las condiciones reales de operación del proyecto. </w:t>
      </w:r>
    </w:p>
    <w:p w14:paraId="639B197D" w14:textId="77777777" w:rsidR="002849EC" w:rsidRDefault="002849EC" w:rsidP="002849EC">
      <w:pPr>
        <w:jc w:val="both"/>
      </w:pPr>
      <w:r w:rsidRPr="40AD52C2">
        <w:rPr>
          <w:rFonts w:ascii="Arial" w:eastAsia="Arial" w:hAnsi="Arial" w:cs="Arial"/>
          <w:sz w:val="24"/>
          <w:szCs w:val="24"/>
        </w:rPr>
        <w:t xml:space="preserve">8. Indicadores de desempeño y verificación del cumplimiento del plan: definición de métricas mínimas para evaluar resultados, entre ellas: energía generada, número de fallas, tiempos de atención, mantenimientos realizados, insumos utilizados, etc. Estos indicadores permiten soportar decisiones de pagos, ajustes contractuales y medidas correctivas. </w:t>
      </w:r>
    </w:p>
    <w:p w14:paraId="502DCCCA" w14:textId="77777777" w:rsidR="002849EC" w:rsidRDefault="002849EC" w:rsidP="00AA5AB8">
      <w:pPr>
        <w:spacing w:after="0"/>
        <w:jc w:val="both"/>
      </w:pPr>
      <w:r w:rsidRPr="40AD52C2">
        <w:rPr>
          <w:rFonts w:ascii="Arial" w:eastAsia="Arial" w:hAnsi="Arial" w:cs="Arial"/>
          <w:sz w:val="24"/>
          <w:szCs w:val="24"/>
        </w:rPr>
        <w:t>9. Criterios adicionales según contexto territorial: debe incorporar variables de accesibilidad, seguridad, logística y disponibilidad de mano de obra local. 10. Pólizas: cotización y amparos a adquirir para el desarrollo de todas las actividades.</w:t>
      </w:r>
    </w:p>
    <w:p w14:paraId="08164F4E" w14:textId="77777777" w:rsidR="002849EC" w:rsidRDefault="002849EC" w:rsidP="00AA5AB8">
      <w:pPr>
        <w:spacing w:after="0"/>
        <w:jc w:val="both"/>
      </w:pPr>
      <w:r w:rsidRPr="40AD52C2">
        <w:rPr>
          <w:rFonts w:ascii="Arial" w:eastAsia="Arial" w:hAnsi="Arial" w:cs="Arial"/>
          <w:sz w:val="24"/>
          <w:szCs w:val="24"/>
        </w:rPr>
        <w:t xml:space="preserve"> </w:t>
      </w:r>
    </w:p>
    <w:p w14:paraId="5AED28B8" w14:textId="6B705AF1" w:rsidR="002849EC" w:rsidRDefault="002849EC" w:rsidP="002849EC">
      <w:pPr>
        <w:pStyle w:val="Ttulo6"/>
        <w:ind w:left="1152" w:hanging="1152"/>
        <w:jc w:val="both"/>
        <w:rPr>
          <w:rFonts w:eastAsia="Arial" w:cs="Arial"/>
          <w:bCs/>
          <w:szCs w:val="24"/>
        </w:rPr>
      </w:pPr>
      <w:r w:rsidRPr="40AD52C2">
        <w:rPr>
          <w:rFonts w:eastAsia="Arial" w:cs="Arial"/>
          <w:bCs/>
          <w:szCs w:val="24"/>
        </w:rPr>
        <w:t>IV-</w:t>
      </w:r>
      <w:r w:rsidR="0086563F">
        <w:rPr>
          <w:rFonts w:eastAsia="Arial" w:cs="Arial"/>
          <w:bCs/>
          <w:szCs w:val="24"/>
        </w:rPr>
        <w:t>4.6</w:t>
      </w:r>
      <w:r w:rsidRPr="40AD52C2">
        <w:rPr>
          <w:rFonts w:eastAsia="Arial" w:cs="Arial"/>
          <w:bCs/>
          <w:szCs w:val="24"/>
        </w:rPr>
        <w:t>.3. Actividades mínimas de Administración</w:t>
      </w:r>
    </w:p>
    <w:p w14:paraId="1DD01943" w14:textId="77777777" w:rsidR="00AA5AB8" w:rsidRPr="00AA5AB8" w:rsidRDefault="00AA5AB8" w:rsidP="00AA5AB8"/>
    <w:p w14:paraId="573FFC53" w14:textId="77777777" w:rsidR="002849EC" w:rsidRDefault="002849EC" w:rsidP="002849EC">
      <w:pPr>
        <w:jc w:val="both"/>
      </w:pPr>
      <w:r w:rsidRPr="40AD52C2">
        <w:rPr>
          <w:rFonts w:ascii="Arial" w:eastAsia="Arial" w:hAnsi="Arial" w:cs="Arial"/>
          <w:sz w:val="24"/>
          <w:szCs w:val="24"/>
        </w:rPr>
        <w:t xml:space="preserve">El componente de administración deberá contemplar, como mínimo, las actividades orientadas a asegurar la planeación, control y gestión integral del activo y la sostenibilidad del proyecto durante la vigencia de Contrato de AOM, este componente incluirá como mínimo lo siguiente: </w:t>
      </w:r>
    </w:p>
    <w:p w14:paraId="4CBFE20E" w14:textId="77777777" w:rsidR="002849EC" w:rsidRDefault="002849EC" w:rsidP="002849EC">
      <w:pPr>
        <w:jc w:val="both"/>
      </w:pPr>
      <w:r w:rsidRPr="40AD52C2">
        <w:rPr>
          <w:rFonts w:ascii="Arial" w:eastAsia="Arial" w:hAnsi="Arial" w:cs="Arial"/>
          <w:sz w:val="24"/>
          <w:szCs w:val="24"/>
        </w:rPr>
        <w:t xml:space="preserve">1. Gestión documental: Comprende todas las actividades relacionadas al archivo, control y manejo de documentos asociados a los equipos activos, registros de eventos (Incluyendo los registros asociados a las inspecciones periódicas, mantenimientos preventivos y correctivos teniendo en cuenta el registro de bitácoras de AOM, historial de fallas, alarmas y demás acciones asociadas a la presencia de anomalías en el funcionamiento del sistema), protocolos de seguridad, sistema de gestión integral, manuales de equipos y planimetría de tipo AsBuilt del sistema. </w:t>
      </w:r>
    </w:p>
    <w:p w14:paraId="78500E1F" w14:textId="77777777" w:rsidR="002849EC" w:rsidRDefault="002849EC" w:rsidP="002849EC">
      <w:pPr>
        <w:jc w:val="both"/>
      </w:pPr>
      <w:r w:rsidRPr="40AD52C2">
        <w:rPr>
          <w:rFonts w:ascii="Arial" w:eastAsia="Arial" w:hAnsi="Arial" w:cs="Arial"/>
          <w:sz w:val="24"/>
          <w:szCs w:val="24"/>
        </w:rPr>
        <w:t xml:space="preserve">2. Gestión Contractual: Se deberán archivar y controlar de forma adecuada y ordenada, los contratos derivados asociados a la administración del sistema, incluyendo aquellos relacionados con el suministro de componentes críticos si aplica y todos aquellos asociados a la tercerización de actividades referentes al AOM, incluyendo la gestión para garantizar la seguridad de los sistemas a través de empresas de vigilancia y así evitar </w:t>
      </w:r>
      <w:r w:rsidRPr="40AD52C2">
        <w:rPr>
          <w:rFonts w:ascii="Arial" w:eastAsia="Arial" w:hAnsi="Arial" w:cs="Arial"/>
          <w:sz w:val="24"/>
          <w:szCs w:val="24"/>
        </w:rPr>
        <w:lastRenderedPageBreak/>
        <w:t xml:space="preserve">incidentes o eventos que puedan afectar la integridad de los activos. 5. Gestión de riesgos: El comercializador deberá contar con una matriz de riesgos que permita la identificación, evaluación y aplicación de estrategias de mitigación de los riesgos de tipo </w:t>
      </w:r>
    </w:p>
    <w:p w14:paraId="323AAFB4" w14:textId="77777777" w:rsidR="002849EC" w:rsidRDefault="002849EC" w:rsidP="002849EC">
      <w:pPr>
        <w:jc w:val="both"/>
      </w:pPr>
      <w:r w:rsidRPr="40AD52C2">
        <w:rPr>
          <w:rFonts w:ascii="Arial" w:eastAsia="Arial" w:hAnsi="Arial" w:cs="Arial"/>
          <w:sz w:val="24"/>
          <w:szCs w:val="24"/>
        </w:rPr>
        <w:t xml:space="preserve">3. Gestión financiera y presupuestal: Con base en la generación del Plan de AOM presentado por parte del comercializador, se deberá garantizar el cumplimiento de los cronogramas, recursos y presupuestos asociados al AOM, asegurando la viabilidad económica de la operación del sistema. Se incluye el seguimiento de los costos operativos y de mantenimiento preventivo y correctivo, verificando posibles imprevistos presentados ante la materialización de riesgos inherentes a la operación del sistema que deriven en desviaciones presupuestales considerables como la reposición de activos críticos. </w:t>
      </w:r>
    </w:p>
    <w:p w14:paraId="10734A5C" w14:textId="77777777" w:rsidR="002849EC" w:rsidRDefault="002849EC" w:rsidP="002849EC">
      <w:pPr>
        <w:jc w:val="both"/>
      </w:pPr>
      <w:r w:rsidRPr="40AD52C2">
        <w:rPr>
          <w:rFonts w:ascii="Arial" w:eastAsia="Arial" w:hAnsi="Arial" w:cs="Arial"/>
          <w:sz w:val="24"/>
          <w:szCs w:val="24"/>
        </w:rPr>
        <w:t>4. Gestión de garantías y manejo de activos: Se deberá Consolidar los documentos asociados a las garantías de los equipos y elementos asociados al Sistema Solar Fotovoltaico (Paneles, inversores, estructuras, cajas de protección, cableado, etc) teniendo en cuenta los reportes de vigencia de garantías y/o la extensión de estas con base en los criterios del fabricante, como el cumplimiento de las condiciones adecuadas de instalación, el registro de los equipos, la generación de certificados de cumplimiento Retie, la realización de mantenimientos preventivos certificados o el pago por parte del instalador. En caso de hacerse efectiva una garantía, el comercializador deberá consolidar los documentos asociados a las reclamaciones ante fabricantes o proveedores según sea el caso, reportando los eventos relacionados a fallas, cambios y/o reparaciones de cada equipo activo o componente involucrado, para lo cual, deberá contar con el apoyo del registro de los seriales que harán parte de un inventario de elementos propios de la operación del sistema y sus respectivos repuestos críticos.</w:t>
      </w:r>
    </w:p>
    <w:p w14:paraId="31F86737" w14:textId="77777777" w:rsidR="002849EC" w:rsidRDefault="002849EC" w:rsidP="002849EC">
      <w:pPr>
        <w:jc w:val="both"/>
      </w:pPr>
      <w:r w:rsidRPr="40AD52C2">
        <w:rPr>
          <w:rFonts w:ascii="Arial" w:eastAsia="Arial" w:hAnsi="Arial" w:cs="Arial"/>
          <w:sz w:val="24"/>
          <w:szCs w:val="24"/>
        </w:rPr>
        <w:t xml:space="preserve">5. Gestión de riesgos: El comercializador deberá contar con una matriz de riesgos que permita la identificación, evaluación y aplicación de estrategias de mitigación de los riesgos de tipo eléctrico, de seguridad (Ejecución de actividades que puedan poner en riesgo la salud de los involucrados), operativos, de indisponibilidad de material o repuestos necesarios ante un eventual mantenimiento correctivo, financieros, climáticos y ambientales. </w:t>
      </w:r>
    </w:p>
    <w:p w14:paraId="219C80E0" w14:textId="77777777" w:rsidR="002849EC" w:rsidRDefault="002849EC" w:rsidP="002849EC">
      <w:pPr>
        <w:jc w:val="both"/>
      </w:pPr>
      <w:r w:rsidRPr="40AD52C2">
        <w:rPr>
          <w:rFonts w:ascii="Arial" w:eastAsia="Arial" w:hAnsi="Arial" w:cs="Arial"/>
          <w:sz w:val="24"/>
          <w:szCs w:val="24"/>
        </w:rPr>
        <w:t>6. La gestión de reportes e información requerida por el Ministerio de Minas y Energía y las autoridades competentes: El comercializador deberá presentar informes anuales (o bajo la solicitud por parte del Ministerio de Minas y Energía) con la información referente a los indicadores de desempeño técnico y económico del sistema, así como la descripción y detalle de la trazabilidad en cuanto a los mantenimientos realizados y el registro de fallas, incidentes y/o acciones correctivas efectuadas. Se deberán presentar los datos para la evaluación de seguimiento según el plan de AOM indicado contractualmente.</w:t>
      </w:r>
    </w:p>
    <w:p w14:paraId="0C08C754" w14:textId="0636941A" w:rsidR="002849EC" w:rsidRDefault="002849EC" w:rsidP="00F738DB">
      <w:pPr>
        <w:pStyle w:val="Ttulo6"/>
        <w:spacing w:before="0"/>
        <w:ind w:left="1152" w:hanging="1152"/>
        <w:jc w:val="both"/>
        <w:rPr>
          <w:rFonts w:eastAsia="Arial" w:cs="Arial"/>
          <w:bCs/>
          <w:szCs w:val="24"/>
        </w:rPr>
      </w:pPr>
      <w:r w:rsidRPr="40AD52C2">
        <w:rPr>
          <w:rFonts w:eastAsia="Arial" w:cs="Arial"/>
          <w:bCs/>
          <w:szCs w:val="24"/>
        </w:rPr>
        <w:t>IV-</w:t>
      </w:r>
      <w:r w:rsidR="00BD31FC">
        <w:rPr>
          <w:rFonts w:eastAsia="Arial" w:cs="Arial"/>
          <w:bCs/>
          <w:szCs w:val="24"/>
        </w:rPr>
        <w:t>4.6</w:t>
      </w:r>
      <w:r w:rsidRPr="40AD52C2">
        <w:rPr>
          <w:rFonts w:eastAsia="Arial" w:cs="Arial"/>
          <w:bCs/>
          <w:szCs w:val="24"/>
        </w:rPr>
        <w:t>.4. Actividades mínimas de Operación</w:t>
      </w:r>
    </w:p>
    <w:p w14:paraId="6EA5CCDF" w14:textId="77777777" w:rsidR="00AA5AB8" w:rsidRPr="00AA5AB8" w:rsidRDefault="00AA5AB8" w:rsidP="00F738DB">
      <w:pPr>
        <w:spacing w:after="0"/>
      </w:pPr>
    </w:p>
    <w:p w14:paraId="47D38C99" w14:textId="77777777" w:rsidR="002849EC" w:rsidRDefault="002849EC" w:rsidP="002849EC">
      <w:pPr>
        <w:jc w:val="both"/>
      </w:pPr>
      <w:r w:rsidRPr="40AD52C2">
        <w:rPr>
          <w:rFonts w:ascii="Arial" w:eastAsia="Arial" w:hAnsi="Arial" w:cs="Arial"/>
          <w:sz w:val="24"/>
          <w:szCs w:val="24"/>
        </w:rPr>
        <w:t xml:space="preserve">El componente de operación deberá contemplar, como mínimo, las actividades necesarias para asegurar el monitoreo, control y funcionamiento continuo, seguro y eficiente de la solución fotovoltaica y su interacción con la red eléctrica del Sistema Interconectado Nacional (SIN). Este componente deberá incluir como mínimo: </w:t>
      </w:r>
    </w:p>
    <w:p w14:paraId="19C5B46F" w14:textId="77777777" w:rsidR="002849EC" w:rsidRDefault="002849EC" w:rsidP="002849EC">
      <w:pPr>
        <w:jc w:val="both"/>
      </w:pPr>
      <w:r w:rsidRPr="40AD52C2">
        <w:rPr>
          <w:rFonts w:ascii="Arial" w:eastAsia="Arial" w:hAnsi="Arial" w:cs="Arial"/>
          <w:sz w:val="24"/>
          <w:szCs w:val="24"/>
        </w:rPr>
        <w:t xml:space="preserve">a. Seguimiento del desempeño del sistema: Incluye las mediciones y/o monitoreo de los parámetros eléctricos (Tensión, corriente, potencia, frecuencia, entre otros), bajo </w:t>
      </w:r>
      <w:r w:rsidRPr="40AD52C2">
        <w:rPr>
          <w:rFonts w:ascii="Arial" w:eastAsia="Arial" w:hAnsi="Arial" w:cs="Arial"/>
          <w:sz w:val="24"/>
          <w:szCs w:val="24"/>
        </w:rPr>
        <w:lastRenderedPageBreak/>
        <w:t xml:space="preserve">condiciones normales de operación, garantizando el cumplimiento de los valores proyectados dentro de los diseños del sistema y definidos por el fabricante de los equipos activos, así como la verificación de sincronismo con la red eléctrica. Se deberán presentar informes de seguimiento correspondiente al comportamiento en la generación de energía bajo diferentes escenarios de carga e irradiancia. El monitoreo del sistema debe estar acompañado del registro y análisis de alarmas, fallas y eventos registrados por el sistema tomando como base una configuración inicial dada por el responsable del AOM. </w:t>
      </w:r>
    </w:p>
    <w:p w14:paraId="50A7BA8C" w14:textId="77777777" w:rsidR="002849EC" w:rsidRDefault="002849EC" w:rsidP="002849EC">
      <w:pPr>
        <w:jc w:val="both"/>
      </w:pPr>
      <w:r w:rsidRPr="40AD52C2">
        <w:rPr>
          <w:rFonts w:ascii="Arial" w:eastAsia="Arial" w:hAnsi="Arial" w:cs="Arial"/>
          <w:sz w:val="24"/>
          <w:szCs w:val="24"/>
        </w:rPr>
        <w:t xml:space="preserve">b. Control Operativo: El comercializador deberá realizar la verificación periódica del estado y funcionamiento de los equipos activos como inversores y tableros, así como de los componentes asociados a las protecciones, el cableado en DC y AC (Verificación de deterioro o fallos por sobrecalentamiento) y los elementos de conexión para garantizar el correcto funcionamiento del sistema. Se realizará en caso de ser necesario, la coordinación con el operador de red asociado a la infraestructura de distribución perteneciente al SIN, para la desconexión o ajuste del sistema fotovoltaico para la realización de maniobras operativas autorizadas. </w:t>
      </w:r>
    </w:p>
    <w:p w14:paraId="4DAC7DDA" w14:textId="77777777" w:rsidR="002849EC" w:rsidRDefault="002849EC" w:rsidP="00E71421">
      <w:pPr>
        <w:spacing w:after="0"/>
        <w:jc w:val="both"/>
      </w:pPr>
      <w:r w:rsidRPr="40AD52C2">
        <w:rPr>
          <w:rFonts w:ascii="Arial" w:eastAsia="Arial" w:hAnsi="Arial" w:cs="Arial"/>
          <w:sz w:val="24"/>
          <w:szCs w:val="24"/>
        </w:rPr>
        <w:t>c. Gestión de incidentes y contingencias: Se deberán contemplar procedimientos estructurados para la atención de eventos asociados a la presencia de alarmas, registro de fallas o anomalías, desviación significativa en los valores de energía generada y los requerimientos asociados a la coordinación y aplicación de acciones correctivas que permitan el funcionamiento del sistema bajo condiciones adecuadas de confiabilidad, seguridad y continuidad.</w:t>
      </w:r>
    </w:p>
    <w:p w14:paraId="6D64EABC" w14:textId="77777777" w:rsidR="002849EC" w:rsidRDefault="002849EC" w:rsidP="00E71421">
      <w:pPr>
        <w:spacing w:after="0"/>
        <w:jc w:val="both"/>
      </w:pPr>
      <w:r w:rsidRPr="40AD52C2">
        <w:rPr>
          <w:rFonts w:ascii="Arial" w:eastAsia="Arial" w:hAnsi="Arial" w:cs="Arial"/>
          <w:sz w:val="24"/>
          <w:szCs w:val="24"/>
        </w:rPr>
        <w:t xml:space="preserve"> </w:t>
      </w:r>
    </w:p>
    <w:p w14:paraId="207B8011" w14:textId="39CDCD87" w:rsidR="00E71421" w:rsidRDefault="002849EC" w:rsidP="002849EC">
      <w:pPr>
        <w:pStyle w:val="Ttulo6"/>
        <w:ind w:left="1152" w:hanging="1152"/>
        <w:jc w:val="both"/>
        <w:rPr>
          <w:rFonts w:eastAsia="Arial" w:cs="Arial"/>
          <w:bCs/>
          <w:szCs w:val="24"/>
        </w:rPr>
      </w:pPr>
      <w:r w:rsidRPr="40AD52C2">
        <w:rPr>
          <w:rFonts w:eastAsia="Arial" w:cs="Arial"/>
          <w:bCs/>
          <w:szCs w:val="24"/>
        </w:rPr>
        <w:t>IV-</w:t>
      </w:r>
      <w:r w:rsidR="00BD31FC">
        <w:rPr>
          <w:rFonts w:eastAsia="Arial" w:cs="Arial"/>
          <w:bCs/>
          <w:szCs w:val="24"/>
        </w:rPr>
        <w:t>4.6</w:t>
      </w:r>
      <w:r w:rsidRPr="40AD52C2">
        <w:rPr>
          <w:rFonts w:eastAsia="Arial" w:cs="Arial"/>
          <w:bCs/>
          <w:szCs w:val="24"/>
        </w:rPr>
        <w:t>.5. Actividades mínimas de Mantenimiento Preventivo</w:t>
      </w:r>
    </w:p>
    <w:p w14:paraId="538E26A1" w14:textId="7AC2DBE9" w:rsidR="002849EC" w:rsidRDefault="002849EC" w:rsidP="002849EC">
      <w:pPr>
        <w:pStyle w:val="Ttulo6"/>
        <w:ind w:left="1152" w:hanging="1152"/>
        <w:jc w:val="both"/>
      </w:pPr>
      <w:r w:rsidRPr="40AD52C2">
        <w:rPr>
          <w:rFonts w:eastAsia="Arial" w:cs="Arial"/>
          <w:bCs/>
          <w:szCs w:val="24"/>
        </w:rPr>
        <w:t xml:space="preserve"> </w:t>
      </w:r>
    </w:p>
    <w:p w14:paraId="0F6CE3E7" w14:textId="77777777" w:rsidR="002849EC" w:rsidRDefault="002849EC" w:rsidP="002849EC">
      <w:pPr>
        <w:jc w:val="both"/>
      </w:pPr>
      <w:r w:rsidRPr="40AD52C2">
        <w:rPr>
          <w:rFonts w:ascii="Arial" w:eastAsia="Arial" w:hAnsi="Arial" w:cs="Arial"/>
          <w:sz w:val="24"/>
          <w:szCs w:val="24"/>
        </w:rPr>
        <w:t xml:space="preserve">Comprende las actividades planificadas para conservar la capacidad operativa, la seguridad y el desempeño del sistema, evitando la presencia de fallas, asegurando la vida útil de los componentes y garantizando la precisión y rendimiento en los parámetros del diseño en el funcionamiento del sistema. Comprende como mínimo las siguientes actividades: </w:t>
      </w:r>
    </w:p>
    <w:p w14:paraId="5F6FE098" w14:textId="77777777" w:rsidR="002849EC" w:rsidRDefault="002849EC" w:rsidP="002849EC">
      <w:pPr>
        <w:jc w:val="both"/>
      </w:pPr>
      <w:r w:rsidRPr="40AD52C2">
        <w:rPr>
          <w:rFonts w:ascii="Arial" w:eastAsia="Arial" w:hAnsi="Arial" w:cs="Arial"/>
          <w:sz w:val="24"/>
          <w:szCs w:val="24"/>
        </w:rPr>
        <w:t xml:space="preserve">a. Inspección visual de los componentes del sistema: Se debe realizar la verificación de los marcos, sellos y puntos de anclajes de los paneles, con el fin de identificar fisuras o sombras permanentes. En cuanto a las estructuras, se verifica la presencia de: corrosión, fisuras, deformaciones, mal estado de elementos de sujeción o soportes, y cambios de inclinación de los paneles ante la presencia de fuertes condiciones ambientales o cargas de viento. La frecuencia de esta actividad permite la mitigación de efectos negativos como la presencia prolongada de sombras, la planeación tardía de actividades de poda, la verificación de módulos dañados sin cubrimiento por garantía, entre otros. Se debe incluir el ajuste o retorqueo de tornillería, pernos y tuercas. </w:t>
      </w:r>
    </w:p>
    <w:p w14:paraId="62081297" w14:textId="77777777" w:rsidR="002849EC" w:rsidRDefault="002849EC" w:rsidP="002849EC">
      <w:pPr>
        <w:jc w:val="both"/>
      </w:pPr>
      <w:r w:rsidRPr="40AD52C2">
        <w:rPr>
          <w:rFonts w:ascii="Arial" w:eastAsia="Arial" w:hAnsi="Arial" w:cs="Arial"/>
          <w:sz w:val="24"/>
          <w:szCs w:val="24"/>
        </w:rPr>
        <w:t xml:space="preserve">b. Limpieza de Paneles: Descartando la presencia de módulos rotos, se realizará la limpieza de la superficie de los paneles solares mediante el uso de agua, un paño de microfibra y jabón no abrasivo sin ejercer presión sobre el vidrio de estos, reduciendo la acumulación de polvo y suciedad, presencia de hojas, excremento animal, polución urbana, entre otros. Una mayor cantidad de suciedad representa un mayor porcentaje de pérdidas eléctricas, menor aprovechamiento de radiación y, por consiguiente, pérdidas económicas asociadas a la menor producción de energía. </w:t>
      </w:r>
    </w:p>
    <w:p w14:paraId="6ABE0FDB" w14:textId="77777777" w:rsidR="002849EC" w:rsidRDefault="002849EC" w:rsidP="002849EC">
      <w:pPr>
        <w:jc w:val="both"/>
      </w:pPr>
      <w:r w:rsidRPr="40AD52C2">
        <w:rPr>
          <w:rFonts w:ascii="Arial" w:eastAsia="Arial" w:hAnsi="Arial" w:cs="Arial"/>
          <w:sz w:val="24"/>
          <w:szCs w:val="24"/>
        </w:rPr>
        <w:lastRenderedPageBreak/>
        <w:t xml:space="preserve">c. Revisión de conexiones eléctricas: Se verifica el estado de la integridad de las conexiones asociadas a las terminales de los conductores como los conectores MC4, los bornes y los empalmes según correspondan al tipo de terminal. Se incluye el reapriete de conexiones flojas y la identificación de posibles deterioros de aislamientos que pueda indicar de forma visual la presencia de fallas, sobrecalentamientos o falso contacto. </w:t>
      </w:r>
    </w:p>
    <w:p w14:paraId="18733F12" w14:textId="77777777" w:rsidR="002849EC" w:rsidRDefault="002849EC" w:rsidP="002849EC">
      <w:pPr>
        <w:jc w:val="both"/>
      </w:pPr>
      <w:r w:rsidRPr="40AD52C2">
        <w:rPr>
          <w:rFonts w:ascii="Arial" w:eastAsia="Arial" w:hAnsi="Arial" w:cs="Arial"/>
          <w:sz w:val="24"/>
          <w:szCs w:val="24"/>
        </w:rPr>
        <w:t xml:space="preserve">d. Revisión del estado de las protecciones: Comprende la verificación de estado de los fusibles, protecciones en DC y AC y los descargadores de sobretensiones instalados, garantizando a su vez la correcta instalación y continuidad del sistema de puesta a tierra del sistema. </w:t>
      </w:r>
    </w:p>
    <w:p w14:paraId="18474858" w14:textId="77777777" w:rsidR="002849EC" w:rsidRDefault="002849EC" w:rsidP="002849EC">
      <w:pPr>
        <w:jc w:val="both"/>
      </w:pPr>
      <w:r w:rsidRPr="40AD52C2">
        <w:rPr>
          <w:rFonts w:ascii="Arial" w:eastAsia="Arial" w:hAnsi="Arial" w:cs="Arial"/>
          <w:sz w:val="24"/>
          <w:szCs w:val="24"/>
        </w:rPr>
        <w:t>e. Revisión alarmas de inversores: Se debe realizar el seguimiento y verificación de alarmas que puedan indicar fallas o solicitud de limpieza de rejillas de ventilación. Así mismo, se deberá realizar una verificación periódica del estado de los parámetros eléctricos preconfigurados para el sistema.</w:t>
      </w:r>
    </w:p>
    <w:p w14:paraId="01AF114B" w14:textId="77777777" w:rsidR="002849EC" w:rsidRDefault="002849EC" w:rsidP="002849EC">
      <w:pPr>
        <w:jc w:val="both"/>
      </w:pPr>
      <w:r w:rsidRPr="40AD52C2">
        <w:rPr>
          <w:rFonts w:ascii="Arial" w:eastAsia="Arial" w:hAnsi="Arial" w:cs="Arial"/>
          <w:sz w:val="24"/>
          <w:szCs w:val="24"/>
        </w:rPr>
        <w:t xml:space="preserve">f. Mediciones parámetros eléctricos: Comprende las actividades de seguimiento del comportamiento de los parámetros definidos para el sistema, teniendo en cuenta la medición de la energía generada, la tensión en DC y AC del sistema, la identificación de perturbaciones o desviación significativa de datos y el registro de indicadores que permitan la generación de informes periódicos para la detección de pérdidas de energía y costos asociados a la eficiencia del sistema y fallas. </w:t>
      </w:r>
    </w:p>
    <w:p w14:paraId="34371C00" w14:textId="77777777" w:rsidR="002849EC" w:rsidRDefault="002849EC" w:rsidP="002849EC">
      <w:pPr>
        <w:jc w:val="both"/>
      </w:pPr>
      <w:r w:rsidRPr="40AD52C2">
        <w:rPr>
          <w:rFonts w:ascii="Arial" w:eastAsia="Arial" w:hAnsi="Arial" w:cs="Arial"/>
          <w:sz w:val="24"/>
          <w:szCs w:val="24"/>
        </w:rPr>
        <w:t xml:space="preserve">g. Mediciones termográficas: Procedimiento que consiste en la captura y análisis de imágenes térmicas, de forma no invasiva, es decir, sin interrumpir la operación de los equipos activos. Esta medición permite visualizar variaciones de temperatura dentro de parámetros normales o anormales, permitiendo la identificación de puntos calientes, fallas por condiciones de aislamiento o deterioro y mal contacto de terminales conectadas a los equipos activos. </w:t>
      </w:r>
    </w:p>
    <w:p w14:paraId="4139F6DB" w14:textId="77777777" w:rsidR="002849EC" w:rsidRDefault="002849EC" w:rsidP="002849EC">
      <w:pPr>
        <w:jc w:val="both"/>
      </w:pPr>
      <w:r w:rsidRPr="40AD52C2">
        <w:rPr>
          <w:rFonts w:ascii="Arial" w:eastAsia="Arial" w:hAnsi="Arial" w:cs="Arial"/>
          <w:sz w:val="24"/>
          <w:szCs w:val="24"/>
        </w:rPr>
        <w:t xml:space="preserve">Cada una de las intervenciones preventivas serán debidamente documentadas bajo formatos preestablecidos que contemplen una lista de chequeo y registro de datos aduciendo a una adecuada planeación de mantenimiento. </w:t>
      </w:r>
    </w:p>
    <w:p w14:paraId="67C00BA5" w14:textId="77777777" w:rsidR="002849EC" w:rsidRDefault="002849EC" w:rsidP="002849EC">
      <w:pPr>
        <w:jc w:val="both"/>
      </w:pPr>
      <w:r w:rsidRPr="40AD52C2">
        <w:rPr>
          <w:rFonts w:ascii="Arial" w:eastAsia="Arial" w:hAnsi="Arial" w:cs="Arial"/>
          <w:sz w:val="24"/>
          <w:szCs w:val="24"/>
        </w:rPr>
        <w:t xml:space="preserve">La periodicidad del mantenimiento preventivo se definirá dentro del Plan de AOM presentado por el Comercializador, el cual debe evaluar las condiciones ambientales propias del entorno, siendo este como mínimo cada 3 meses. </w:t>
      </w:r>
    </w:p>
    <w:p w14:paraId="4D8B9BD9" w14:textId="77777777" w:rsidR="002849EC" w:rsidRPr="00247784" w:rsidRDefault="002849EC" w:rsidP="002849EC">
      <w:pPr>
        <w:jc w:val="both"/>
        <w:rPr>
          <w:highlight w:val="yellow"/>
          <w:lang w:val="pt-PT"/>
        </w:rPr>
      </w:pPr>
      <w:r w:rsidRPr="00247784">
        <w:rPr>
          <w:rFonts w:ascii="Arial" w:eastAsia="Arial" w:hAnsi="Arial" w:cs="Arial"/>
          <w:sz w:val="24"/>
          <w:szCs w:val="24"/>
          <w:highlight w:val="yellow"/>
          <w:lang w:val="pt-BR"/>
        </w:rPr>
        <w:t xml:space="preserve">El personal asociado estará conformado mínimo por: </w:t>
      </w:r>
    </w:p>
    <w:p w14:paraId="7FE6A4AD" w14:textId="77777777" w:rsidR="002849EC" w:rsidRPr="00247784" w:rsidRDefault="002849EC" w:rsidP="002849EC">
      <w:pPr>
        <w:jc w:val="both"/>
        <w:rPr>
          <w:highlight w:val="yellow"/>
          <w:lang w:val="pt-PT"/>
        </w:rPr>
      </w:pPr>
      <w:r w:rsidRPr="00247784">
        <w:rPr>
          <w:rFonts w:ascii="Arial" w:eastAsia="Arial" w:hAnsi="Arial" w:cs="Arial"/>
          <w:sz w:val="24"/>
          <w:szCs w:val="24"/>
          <w:highlight w:val="yellow"/>
          <w:lang w:val="pt-BR"/>
        </w:rPr>
        <w:t xml:space="preserve">• Ingeniero(s) electricista(s). </w:t>
      </w:r>
    </w:p>
    <w:p w14:paraId="4E4880AD" w14:textId="77777777" w:rsidR="002849EC" w:rsidRPr="00247784" w:rsidRDefault="002849EC" w:rsidP="002849EC">
      <w:pPr>
        <w:jc w:val="both"/>
        <w:rPr>
          <w:highlight w:val="yellow"/>
          <w:lang w:val="pt-PT"/>
        </w:rPr>
      </w:pPr>
      <w:r w:rsidRPr="00247784">
        <w:rPr>
          <w:rFonts w:ascii="Arial" w:eastAsia="Arial" w:hAnsi="Arial" w:cs="Arial"/>
          <w:sz w:val="24"/>
          <w:szCs w:val="24"/>
          <w:highlight w:val="yellow"/>
          <w:lang w:val="pt-BR"/>
        </w:rPr>
        <w:t xml:space="preserve">• Técnico(s) electricista(s). </w:t>
      </w:r>
    </w:p>
    <w:p w14:paraId="4E7D4231" w14:textId="77777777" w:rsidR="002849EC" w:rsidRPr="00247784" w:rsidRDefault="002849EC" w:rsidP="002849EC">
      <w:pPr>
        <w:jc w:val="both"/>
        <w:rPr>
          <w:highlight w:val="yellow"/>
        </w:rPr>
      </w:pPr>
      <w:r w:rsidRPr="00247784">
        <w:rPr>
          <w:rFonts w:ascii="Arial" w:eastAsia="Arial" w:hAnsi="Arial" w:cs="Arial"/>
          <w:sz w:val="24"/>
          <w:szCs w:val="24"/>
          <w:highlight w:val="yellow"/>
        </w:rPr>
        <w:t xml:space="preserve">• Ayudante(s) electricista(s). </w:t>
      </w:r>
    </w:p>
    <w:p w14:paraId="3661275F" w14:textId="77777777" w:rsidR="002849EC" w:rsidRPr="00247784" w:rsidRDefault="002849EC" w:rsidP="002849EC">
      <w:pPr>
        <w:jc w:val="both"/>
        <w:rPr>
          <w:highlight w:val="yellow"/>
        </w:rPr>
      </w:pPr>
      <w:r w:rsidRPr="00247784">
        <w:rPr>
          <w:rFonts w:ascii="Arial" w:eastAsia="Arial" w:hAnsi="Arial" w:cs="Arial"/>
          <w:sz w:val="24"/>
          <w:szCs w:val="24"/>
          <w:highlight w:val="yellow"/>
        </w:rPr>
        <w:t xml:space="preserve">• Supervisor(es) de seguridad y salud en el trabajo. </w:t>
      </w:r>
    </w:p>
    <w:p w14:paraId="48302B9F" w14:textId="77777777" w:rsidR="002849EC" w:rsidRDefault="002849EC" w:rsidP="00247784">
      <w:pPr>
        <w:spacing w:after="0"/>
        <w:jc w:val="both"/>
      </w:pPr>
      <w:r w:rsidRPr="00247784">
        <w:rPr>
          <w:rFonts w:ascii="Arial" w:eastAsia="Arial" w:hAnsi="Arial" w:cs="Arial"/>
          <w:sz w:val="24"/>
          <w:szCs w:val="24"/>
          <w:highlight w:val="yellow"/>
        </w:rPr>
        <w:t>• Personal para poda.</w:t>
      </w:r>
    </w:p>
    <w:p w14:paraId="7B0650DE" w14:textId="77777777" w:rsidR="002849EC" w:rsidRDefault="002849EC" w:rsidP="00247784">
      <w:pPr>
        <w:spacing w:after="0"/>
        <w:jc w:val="both"/>
      </w:pPr>
      <w:r w:rsidRPr="40AD52C2">
        <w:rPr>
          <w:rFonts w:ascii="Arial" w:eastAsia="Arial" w:hAnsi="Arial" w:cs="Arial"/>
          <w:sz w:val="24"/>
          <w:szCs w:val="24"/>
        </w:rPr>
        <w:t xml:space="preserve"> </w:t>
      </w:r>
    </w:p>
    <w:p w14:paraId="3C595A3F" w14:textId="4633CA32" w:rsidR="002849EC" w:rsidRDefault="002849EC" w:rsidP="00247784">
      <w:pPr>
        <w:pStyle w:val="Ttulo6"/>
        <w:spacing w:before="0"/>
        <w:ind w:left="1152" w:hanging="1152"/>
        <w:jc w:val="both"/>
        <w:rPr>
          <w:rFonts w:eastAsia="Arial" w:cs="Arial"/>
          <w:bCs/>
          <w:szCs w:val="24"/>
        </w:rPr>
      </w:pPr>
      <w:r w:rsidRPr="40AD52C2">
        <w:rPr>
          <w:rFonts w:eastAsia="Arial" w:cs="Arial"/>
          <w:bCs/>
          <w:szCs w:val="24"/>
        </w:rPr>
        <w:t>IV-</w:t>
      </w:r>
      <w:r w:rsidR="00BD31FC">
        <w:rPr>
          <w:rFonts w:eastAsia="Arial" w:cs="Arial"/>
          <w:bCs/>
          <w:szCs w:val="24"/>
        </w:rPr>
        <w:t>4.6</w:t>
      </w:r>
      <w:r w:rsidRPr="40AD52C2">
        <w:rPr>
          <w:rFonts w:eastAsia="Arial" w:cs="Arial"/>
          <w:bCs/>
          <w:szCs w:val="24"/>
        </w:rPr>
        <w:t xml:space="preserve">.6. Actividades de Mantenimiento Correctivo </w:t>
      </w:r>
    </w:p>
    <w:p w14:paraId="78355FB3" w14:textId="77777777" w:rsidR="00247784" w:rsidRPr="00247784" w:rsidRDefault="00247784" w:rsidP="00247784">
      <w:pPr>
        <w:spacing w:after="0"/>
      </w:pPr>
    </w:p>
    <w:p w14:paraId="4AE7F7A1" w14:textId="77777777" w:rsidR="002849EC" w:rsidRDefault="002849EC" w:rsidP="002849EC">
      <w:pPr>
        <w:jc w:val="both"/>
      </w:pPr>
      <w:r w:rsidRPr="40AD52C2">
        <w:rPr>
          <w:rFonts w:ascii="Arial" w:eastAsia="Arial" w:hAnsi="Arial" w:cs="Arial"/>
          <w:sz w:val="24"/>
          <w:szCs w:val="24"/>
        </w:rPr>
        <w:lastRenderedPageBreak/>
        <w:t xml:space="preserve">Comprende las actividades destinadas a diagnosticar y corregir fallas que afecten la disponibilidad, la seguridad o el desempeño del sistema. Comprende como mínimo las siguientes actividades: </w:t>
      </w:r>
    </w:p>
    <w:p w14:paraId="4013C609" w14:textId="77777777" w:rsidR="002849EC" w:rsidRDefault="002849EC" w:rsidP="002849EC">
      <w:pPr>
        <w:jc w:val="both"/>
      </w:pPr>
      <w:r w:rsidRPr="40AD52C2">
        <w:rPr>
          <w:rFonts w:ascii="Arial" w:eastAsia="Arial" w:hAnsi="Arial" w:cs="Arial"/>
          <w:sz w:val="24"/>
          <w:szCs w:val="24"/>
        </w:rPr>
        <w:t xml:space="preserve">1. Diagnóstico de fallas: Comprende el análisis de registros de alarmas de equipos, comportamiento de parámetros eléctricos, inspección física del componente afectado y la documentación de las actividades realizadas para la determinación de la o las causas de las fallas presentadas, consignando en la bitácora de AOM el diagnóstico inicial y su diagnóstico final. </w:t>
      </w:r>
    </w:p>
    <w:p w14:paraId="51A12C59" w14:textId="77777777" w:rsidR="002849EC" w:rsidRDefault="002849EC" w:rsidP="002849EC">
      <w:pPr>
        <w:jc w:val="both"/>
      </w:pPr>
      <w:r w:rsidRPr="40AD52C2">
        <w:rPr>
          <w:rFonts w:ascii="Arial" w:eastAsia="Arial" w:hAnsi="Arial" w:cs="Arial"/>
          <w:sz w:val="24"/>
          <w:szCs w:val="24"/>
        </w:rPr>
        <w:t xml:space="preserve">2. Reparación o reemplazo de componentes: Una vez realizado el diagnóstico de la falla, se determinará la acción correctiva del o los componentes afectados, siendo sustituidos o reparados según sea el caso. El comercializador deberá contemplar en inventario la tenencia de componentes críticos los cuales deben ser certificados y compatibles, con el fin de garantizar el cambio inmediato. En el caso de que los elementos no sean de inventario el Comercializador deberá contar una gestión de proveedores, y así asegurar la confiabilidad, continuidad y seguridad del sistema. </w:t>
      </w:r>
    </w:p>
    <w:p w14:paraId="2F2F2D72" w14:textId="77777777" w:rsidR="002849EC" w:rsidRDefault="002849EC" w:rsidP="002849EC">
      <w:pPr>
        <w:jc w:val="both"/>
      </w:pPr>
      <w:r w:rsidRPr="40AD52C2">
        <w:rPr>
          <w:rFonts w:ascii="Arial" w:eastAsia="Arial" w:hAnsi="Arial" w:cs="Arial"/>
          <w:sz w:val="24"/>
          <w:szCs w:val="24"/>
        </w:rPr>
        <w:t xml:space="preserve">3. Pruebas a los componentes reemplazados: Una vez reemplazos los componentes, se deben realizar las pruebas necesarias para la verificación del cumplimiento de los parámetros eléctricos que permitan el funcionamiento del sistema bajo parámetros normalizados. </w:t>
      </w:r>
    </w:p>
    <w:p w14:paraId="3FEF4375" w14:textId="77777777" w:rsidR="002849EC" w:rsidRDefault="002849EC" w:rsidP="002849EC">
      <w:pPr>
        <w:jc w:val="both"/>
      </w:pPr>
      <w:r w:rsidRPr="40AD52C2">
        <w:rPr>
          <w:rFonts w:ascii="Arial" w:eastAsia="Arial" w:hAnsi="Arial" w:cs="Arial"/>
          <w:sz w:val="24"/>
          <w:szCs w:val="24"/>
        </w:rPr>
        <w:t xml:space="preserve">Cada una de las intervenciones correctivas serán debidamente documentadas en la bitácora de AOM bajo formatos preestablecidos que contemplen una lista de chequeo y registro de datos aduciendo a una adecuada planeación de mantenimiento. </w:t>
      </w:r>
    </w:p>
    <w:p w14:paraId="58FBBF90" w14:textId="77777777" w:rsidR="002849EC" w:rsidRPr="00247784" w:rsidRDefault="002849EC" w:rsidP="002849EC">
      <w:pPr>
        <w:jc w:val="both"/>
        <w:rPr>
          <w:highlight w:val="yellow"/>
        </w:rPr>
      </w:pPr>
      <w:r w:rsidRPr="40AD52C2">
        <w:rPr>
          <w:rFonts w:ascii="Arial" w:eastAsia="Arial" w:hAnsi="Arial" w:cs="Arial"/>
          <w:sz w:val="24"/>
          <w:szCs w:val="24"/>
        </w:rPr>
        <w:t xml:space="preserve">La periodicidad del diagnóstico para un mantenimiento correctivo será mínima cada 4 meses, o en los momentos de fallas de equipos principales como paneles solares, inversor u otros elementos que causen anomalías en el funcionamiento de la solución fotovoltaica. </w:t>
      </w:r>
      <w:r w:rsidRPr="00247784">
        <w:rPr>
          <w:rFonts w:ascii="Arial" w:eastAsia="Arial" w:hAnsi="Arial" w:cs="Arial"/>
          <w:sz w:val="24"/>
          <w:szCs w:val="24"/>
          <w:highlight w:val="yellow"/>
          <w:lang w:val="pt-BR"/>
        </w:rPr>
        <w:t>El personal mínimo asociado estará conformado por:</w:t>
      </w:r>
    </w:p>
    <w:p w14:paraId="4CF0CBE8" w14:textId="77777777" w:rsidR="002849EC" w:rsidRPr="00247784" w:rsidRDefault="002849EC" w:rsidP="002849EC">
      <w:pPr>
        <w:pStyle w:val="Prrafodelista"/>
        <w:numPr>
          <w:ilvl w:val="0"/>
          <w:numId w:val="160"/>
        </w:numPr>
        <w:jc w:val="both"/>
        <w:rPr>
          <w:rFonts w:ascii="Arial" w:eastAsia="Arial" w:hAnsi="Arial" w:cs="Arial"/>
          <w:sz w:val="24"/>
          <w:szCs w:val="24"/>
          <w:highlight w:val="yellow"/>
          <w:lang w:val="pt-BR"/>
        </w:rPr>
      </w:pPr>
      <w:r w:rsidRPr="00247784">
        <w:rPr>
          <w:rFonts w:ascii="Arial" w:eastAsia="Arial" w:hAnsi="Arial" w:cs="Arial"/>
          <w:sz w:val="24"/>
          <w:szCs w:val="24"/>
          <w:highlight w:val="yellow"/>
          <w:lang w:val="pt-BR"/>
        </w:rPr>
        <w:t xml:space="preserve">Ingeniero(s) electricista(s). </w:t>
      </w:r>
    </w:p>
    <w:p w14:paraId="4CCB5FE4" w14:textId="77777777" w:rsidR="002849EC" w:rsidRPr="00247784" w:rsidRDefault="002849EC" w:rsidP="002849EC">
      <w:pPr>
        <w:pStyle w:val="Prrafodelista"/>
        <w:numPr>
          <w:ilvl w:val="0"/>
          <w:numId w:val="160"/>
        </w:numPr>
        <w:jc w:val="both"/>
        <w:rPr>
          <w:rFonts w:ascii="Arial" w:eastAsia="Arial" w:hAnsi="Arial" w:cs="Arial"/>
          <w:sz w:val="24"/>
          <w:szCs w:val="24"/>
          <w:highlight w:val="yellow"/>
          <w:lang w:val="pt-BR"/>
        </w:rPr>
      </w:pPr>
      <w:r w:rsidRPr="00247784">
        <w:rPr>
          <w:rFonts w:ascii="Arial" w:eastAsia="Arial" w:hAnsi="Arial" w:cs="Arial"/>
          <w:sz w:val="24"/>
          <w:szCs w:val="24"/>
          <w:highlight w:val="yellow"/>
          <w:lang w:val="pt-BR"/>
        </w:rPr>
        <w:t xml:space="preserve">Técnico(s) electricista(s). </w:t>
      </w:r>
    </w:p>
    <w:p w14:paraId="312A9B26" w14:textId="77777777" w:rsidR="002849EC" w:rsidRPr="00247784" w:rsidRDefault="002849EC" w:rsidP="00247784">
      <w:pPr>
        <w:pStyle w:val="Prrafodelista"/>
        <w:numPr>
          <w:ilvl w:val="0"/>
          <w:numId w:val="160"/>
        </w:numPr>
        <w:spacing w:after="0"/>
        <w:jc w:val="both"/>
        <w:rPr>
          <w:rFonts w:ascii="Arial" w:eastAsia="Arial" w:hAnsi="Arial" w:cs="Arial"/>
          <w:sz w:val="24"/>
          <w:szCs w:val="24"/>
          <w:highlight w:val="yellow"/>
          <w:lang w:val="pt-BR"/>
        </w:rPr>
      </w:pPr>
      <w:r w:rsidRPr="00247784">
        <w:rPr>
          <w:rFonts w:ascii="Arial" w:eastAsia="Arial" w:hAnsi="Arial" w:cs="Arial"/>
          <w:sz w:val="24"/>
          <w:szCs w:val="24"/>
          <w:highlight w:val="yellow"/>
          <w:lang w:val="pt-BR"/>
        </w:rPr>
        <w:t>Ayudante(s) electricista(s).</w:t>
      </w:r>
    </w:p>
    <w:p w14:paraId="4A8EDB2B" w14:textId="77777777" w:rsidR="002849EC" w:rsidRDefault="002849EC" w:rsidP="00247784">
      <w:pPr>
        <w:spacing w:after="0"/>
        <w:jc w:val="both"/>
      </w:pPr>
      <w:r w:rsidRPr="40AD52C2">
        <w:rPr>
          <w:rFonts w:ascii="Arial" w:eastAsia="Arial" w:hAnsi="Arial" w:cs="Arial"/>
          <w:sz w:val="24"/>
          <w:szCs w:val="24"/>
          <w:lang w:val="pt-BR"/>
        </w:rPr>
        <w:t xml:space="preserve"> </w:t>
      </w:r>
    </w:p>
    <w:p w14:paraId="657ADCB5" w14:textId="3B0A265B" w:rsidR="002849EC" w:rsidRDefault="002849EC" w:rsidP="00247784">
      <w:pPr>
        <w:pStyle w:val="Ttulo6"/>
        <w:spacing w:before="0"/>
        <w:ind w:left="1152" w:hanging="1152"/>
        <w:jc w:val="both"/>
        <w:rPr>
          <w:rFonts w:eastAsia="Arial" w:cs="Arial"/>
          <w:bCs/>
          <w:szCs w:val="24"/>
        </w:rPr>
      </w:pPr>
      <w:r w:rsidRPr="40AD52C2">
        <w:rPr>
          <w:rFonts w:eastAsia="Arial" w:cs="Arial"/>
          <w:bCs/>
          <w:szCs w:val="24"/>
        </w:rPr>
        <w:t>IV-</w:t>
      </w:r>
      <w:r w:rsidR="00BD31FC">
        <w:rPr>
          <w:rFonts w:eastAsia="Arial" w:cs="Arial"/>
          <w:bCs/>
          <w:szCs w:val="24"/>
        </w:rPr>
        <w:t>4.6</w:t>
      </w:r>
      <w:r w:rsidRPr="40AD52C2">
        <w:rPr>
          <w:rFonts w:eastAsia="Arial" w:cs="Arial"/>
          <w:bCs/>
          <w:szCs w:val="24"/>
        </w:rPr>
        <w:t xml:space="preserve">.7. Remuneración de las actividades de AOM </w:t>
      </w:r>
    </w:p>
    <w:p w14:paraId="7AE0C10F" w14:textId="77777777" w:rsidR="00247784" w:rsidRPr="00247784" w:rsidRDefault="00247784" w:rsidP="00247784">
      <w:pPr>
        <w:spacing w:after="0"/>
      </w:pPr>
    </w:p>
    <w:p w14:paraId="3571EEA9" w14:textId="77777777" w:rsidR="002849EC" w:rsidRDefault="002849EC" w:rsidP="002849EC">
      <w:pPr>
        <w:jc w:val="both"/>
      </w:pPr>
      <w:r w:rsidRPr="40AD52C2">
        <w:rPr>
          <w:rFonts w:ascii="Arial" w:eastAsia="Arial" w:hAnsi="Arial" w:cs="Arial"/>
          <w:sz w:val="24"/>
          <w:szCs w:val="24"/>
        </w:rPr>
        <w:t xml:space="preserve">La remuneración de las actividades de Administración, Operación y Mantenimiento se estructura y soporta en el Plan de AOM, en la medida en que dicho documento desagrega cada componente, define las actividades asociadas y su forma de ejecución, permitiendo estimar los costos mediante un análisis de precios unitarios, que atiendan las condiciones técnicas y operativas del proyecto. </w:t>
      </w:r>
    </w:p>
    <w:p w14:paraId="6EDD9A3D" w14:textId="77777777" w:rsidR="002849EC" w:rsidRDefault="002849EC" w:rsidP="002849EC">
      <w:pPr>
        <w:jc w:val="both"/>
      </w:pPr>
      <w:r w:rsidRPr="40AD52C2">
        <w:rPr>
          <w:rFonts w:ascii="Arial" w:eastAsia="Arial" w:hAnsi="Arial" w:cs="Arial"/>
          <w:sz w:val="24"/>
          <w:szCs w:val="24"/>
        </w:rPr>
        <w:t xml:space="preserve">En la estructuración de la remuneración deberán incorporarse los costos asociados a las pólizas, garantías o amparos que aseguren tanto los activos como la ejecución de las actividades a desarrollar. Adicionalmente, cuando la configuración del proyecto lo requiera, podrá incluirse dentro del componente de administración el costo correspondiente al arrendamiento del predio. </w:t>
      </w:r>
    </w:p>
    <w:p w14:paraId="467315FD" w14:textId="77777777" w:rsidR="002849EC" w:rsidRDefault="002849EC" w:rsidP="002849EC">
      <w:pPr>
        <w:jc w:val="both"/>
      </w:pPr>
      <w:r w:rsidRPr="40AD52C2">
        <w:rPr>
          <w:rFonts w:ascii="Arial" w:eastAsia="Arial" w:hAnsi="Arial" w:cs="Arial"/>
          <w:sz w:val="24"/>
          <w:szCs w:val="24"/>
        </w:rPr>
        <w:lastRenderedPageBreak/>
        <w:t xml:space="preserve">Una adecuada estructuración del Plan de AOM permite determinar una remuneración proporcional y suficiente, en función de las condiciones específicas de cada proyecto, incluyendo su contexto territorial, accesibilidad, logística, riesgos, y requerimientos de operación. En consecuencia, los valores a reconocer por concepto de AOM deberán quedar definidos en el esquema contractual y financiero pactado entre el Ministerio de Minas y Energía y el Comercializador encargado de las actividades de AOM. </w:t>
      </w:r>
    </w:p>
    <w:p w14:paraId="481F6041" w14:textId="77777777" w:rsidR="002849EC" w:rsidRDefault="002849EC" w:rsidP="002849EC">
      <w:pPr>
        <w:jc w:val="both"/>
      </w:pPr>
      <w:r w:rsidRPr="40AD52C2">
        <w:rPr>
          <w:rFonts w:ascii="Arial" w:eastAsia="Arial" w:hAnsi="Arial" w:cs="Arial"/>
          <w:sz w:val="24"/>
          <w:szCs w:val="24"/>
        </w:rPr>
        <w:t>Como instrumento orientado a garantizar la sostenibilidad de las soluciones fotovoltaicas y del Programa Colombia Solar, la remuneración del Comercializador encargado de las Actividades de AOM deberá implementarse mediante un mecanismo de compensación energética, en virtud del cual el pago se realiza a través de un porcentaje de la energía eléctrica efectivamente generada por la solución fotovoltaica, conforme a la regulación aplicable de la Comisión de Regulación de Energía y Gas (CREG) en materia de medición, liquidación y facturación.</w:t>
      </w:r>
    </w:p>
    <w:p w14:paraId="76BC732E" w14:textId="609FA86C" w:rsidR="002849EC" w:rsidRDefault="002849EC" w:rsidP="00CE1BA2">
      <w:pPr>
        <w:pStyle w:val="Ttulo6"/>
        <w:spacing w:before="0"/>
        <w:ind w:left="1152" w:hanging="1152"/>
        <w:jc w:val="both"/>
        <w:rPr>
          <w:rFonts w:eastAsia="Arial" w:cs="Arial"/>
          <w:bCs/>
          <w:szCs w:val="24"/>
        </w:rPr>
      </w:pPr>
      <w:r w:rsidRPr="00247784">
        <w:rPr>
          <w:rFonts w:cs="Arial"/>
          <w:bCs/>
          <w:szCs w:val="24"/>
        </w:rPr>
        <w:t>IV-</w:t>
      </w:r>
      <w:r w:rsidR="00BD31FC">
        <w:rPr>
          <w:rFonts w:cs="Arial"/>
          <w:bCs/>
          <w:szCs w:val="24"/>
        </w:rPr>
        <w:t>4.6</w:t>
      </w:r>
      <w:r w:rsidRPr="00247784">
        <w:rPr>
          <w:rFonts w:cs="Arial"/>
          <w:bCs/>
          <w:szCs w:val="24"/>
        </w:rPr>
        <w:t>.8. Reposiciones de inversores</w:t>
      </w:r>
      <w:r w:rsidRPr="00247784">
        <w:rPr>
          <w:rFonts w:eastAsia="Arial" w:cs="Arial"/>
          <w:bCs/>
          <w:szCs w:val="24"/>
        </w:rPr>
        <w:t xml:space="preserve"> </w:t>
      </w:r>
    </w:p>
    <w:p w14:paraId="1A15B205" w14:textId="77777777" w:rsidR="00247784" w:rsidRPr="00247784" w:rsidRDefault="00247784" w:rsidP="00CE1BA2">
      <w:pPr>
        <w:spacing w:after="0"/>
      </w:pPr>
    </w:p>
    <w:p w14:paraId="369B962F" w14:textId="77777777" w:rsidR="002849EC" w:rsidRDefault="002849EC" w:rsidP="002849EC">
      <w:pPr>
        <w:jc w:val="both"/>
      </w:pPr>
      <w:r w:rsidRPr="40AD52C2">
        <w:rPr>
          <w:rFonts w:ascii="Arial" w:eastAsia="Arial" w:hAnsi="Arial" w:cs="Arial"/>
          <w:sz w:val="24"/>
          <w:szCs w:val="24"/>
        </w:rPr>
        <w:t xml:space="preserve">Dentro de los equipos principales de una solución fotovoltaica, el inversor on-grid DC/AC constituye el componente con mayor criticidad operativa y con menor vida útil frente a los módulos fotovoltaicos, debido a su naturaleza electrónica, el estrés térmico, los ciclos de operación, la exposición ambiental y las condiciones de calidad de red. En consecuencia, y con el fin de garantizar la continuidad y sostenibilidad técnica de las soluciones implementadas en el marco del Programa Colombia Solar, se prevé, como mínimo, la reposición programada de una (1) unidad de inversor on-grid DC/AC durante el horizonte de vida útil del proyecto, sin perjuicio de que puedan presentarse reposiciones adicionales por eventos de fuerza mayor, siniestros o fallas no atribuibles a la operación o al mantenimiento. </w:t>
      </w:r>
    </w:p>
    <w:p w14:paraId="09DD6743" w14:textId="77777777" w:rsidR="002849EC" w:rsidRDefault="002849EC" w:rsidP="002849EC">
      <w:pPr>
        <w:jc w:val="both"/>
      </w:pPr>
      <w:r w:rsidRPr="40AD52C2">
        <w:rPr>
          <w:rFonts w:ascii="Arial" w:eastAsia="Arial" w:hAnsi="Arial" w:cs="Arial"/>
          <w:sz w:val="24"/>
          <w:szCs w:val="24"/>
        </w:rPr>
        <w:t xml:space="preserve">La vida útil de los inversores se determinará en la ficha técnica, términos de garantía del fabricante, y las condiciones reales de operación del proyecto. </w:t>
      </w:r>
    </w:p>
    <w:p w14:paraId="0DCF352F" w14:textId="77777777" w:rsidR="002849EC" w:rsidRDefault="002849EC" w:rsidP="002849EC">
      <w:pPr>
        <w:jc w:val="both"/>
      </w:pPr>
      <w:r w:rsidRPr="40AD52C2">
        <w:rPr>
          <w:rFonts w:ascii="Arial" w:eastAsia="Arial" w:hAnsi="Arial" w:cs="Arial"/>
          <w:sz w:val="24"/>
          <w:szCs w:val="24"/>
        </w:rPr>
        <w:t xml:space="preserve">Con el propósito de asegurar que la reposición programada se ejecute en términos oportunos y sin afectar la generación del sistema, el Comercializador deberá incorporar en su Plan de AOM una estimación del año probable de reposición. Para esto se debe estructurar un esquema de recaudo anual con destinación especifica a la financiación del activo, garantizando los recursos necesarios al momento del reemplazo. Así mismo, es necesario el detalle del procedimiento de sustitución y las pruebas de puesta en servicio. </w:t>
      </w:r>
    </w:p>
    <w:p w14:paraId="6137F642" w14:textId="77777777" w:rsidR="002849EC" w:rsidRDefault="002849EC" w:rsidP="002849EC">
      <w:pPr>
        <w:jc w:val="both"/>
      </w:pPr>
      <w:r w:rsidRPr="40AD52C2">
        <w:rPr>
          <w:rFonts w:ascii="Arial" w:eastAsia="Arial" w:hAnsi="Arial" w:cs="Arial"/>
          <w:sz w:val="24"/>
          <w:szCs w:val="24"/>
        </w:rPr>
        <w:t xml:space="preserve">La reposición deberá realizarse garantizando la compatibilidad técnica y eléctrica con el sistema existente, así como su actualización tecnológica según las disposiciones del mercado y de la normatividad vigente. </w:t>
      </w:r>
    </w:p>
    <w:p w14:paraId="3AEF25EE" w14:textId="77777777" w:rsidR="002849EC" w:rsidRDefault="002849EC" w:rsidP="00CE1BA2">
      <w:pPr>
        <w:spacing w:after="0"/>
        <w:jc w:val="both"/>
      </w:pPr>
      <w:r w:rsidRPr="40AD52C2">
        <w:rPr>
          <w:rFonts w:ascii="Arial" w:eastAsia="Arial" w:hAnsi="Arial" w:cs="Arial"/>
          <w:sz w:val="24"/>
          <w:szCs w:val="24"/>
        </w:rPr>
        <w:t>El Ministerio de Minas y Energía deberá estar informado de este cambio para realizar la gestión del activo obsoleto e incorporar el nuevo.</w:t>
      </w:r>
    </w:p>
    <w:p w14:paraId="038F0125" w14:textId="77777777" w:rsidR="002849EC" w:rsidRDefault="002849EC" w:rsidP="00CE1BA2">
      <w:pPr>
        <w:spacing w:after="0"/>
        <w:jc w:val="both"/>
      </w:pPr>
      <w:r w:rsidRPr="40AD52C2">
        <w:rPr>
          <w:rFonts w:ascii="Arial" w:eastAsia="Arial" w:hAnsi="Arial" w:cs="Arial"/>
          <w:sz w:val="24"/>
          <w:szCs w:val="24"/>
        </w:rPr>
        <w:t xml:space="preserve"> </w:t>
      </w:r>
    </w:p>
    <w:p w14:paraId="202B8837" w14:textId="53AD195D" w:rsidR="002849EC" w:rsidRDefault="002849EC" w:rsidP="00CE1BA2">
      <w:pPr>
        <w:pStyle w:val="Ttulo6"/>
        <w:spacing w:before="0"/>
        <w:ind w:left="1152" w:hanging="1152"/>
        <w:jc w:val="both"/>
        <w:rPr>
          <w:rFonts w:eastAsia="Arial" w:cs="Arial"/>
          <w:bCs/>
          <w:szCs w:val="24"/>
        </w:rPr>
      </w:pPr>
      <w:r w:rsidRPr="40AD52C2">
        <w:rPr>
          <w:rFonts w:eastAsia="Arial" w:cs="Arial"/>
          <w:bCs/>
          <w:szCs w:val="24"/>
        </w:rPr>
        <w:t>IV-</w:t>
      </w:r>
      <w:r w:rsidR="00BD31FC">
        <w:rPr>
          <w:rFonts w:eastAsia="Arial" w:cs="Arial"/>
          <w:bCs/>
          <w:szCs w:val="24"/>
        </w:rPr>
        <w:t>4.6</w:t>
      </w:r>
      <w:r w:rsidRPr="40AD52C2">
        <w:rPr>
          <w:rFonts w:eastAsia="Arial" w:cs="Arial"/>
          <w:bCs/>
          <w:szCs w:val="24"/>
        </w:rPr>
        <w:t xml:space="preserve">.9. Inventario Mínimo para mantenimiento correctivo. </w:t>
      </w:r>
    </w:p>
    <w:p w14:paraId="50406B56" w14:textId="77777777" w:rsidR="00CE1BA2" w:rsidRPr="00CE1BA2" w:rsidRDefault="00CE1BA2" w:rsidP="00CE1BA2">
      <w:pPr>
        <w:spacing w:after="0"/>
      </w:pPr>
    </w:p>
    <w:p w14:paraId="41155A0E" w14:textId="77777777" w:rsidR="002849EC" w:rsidRDefault="002849EC" w:rsidP="002849EC">
      <w:pPr>
        <w:jc w:val="both"/>
      </w:pPr>
      <w:r w:rsidRPr="40AD52C2">
        <w:rPr>
          <w:rFonts w:ascii="Arial" w:eastAsia="Arial" w:hAnsi="Arial" w:cs="Arial"/>
          <w:sz w:val="24"/>
          <w:szCs w:val="24"/>
        </w:rPr>
        <w:t xml:space="preserve">El Comercializador encargado de las actividades de AOM deberá garantizar la disponibilidad de un inventario mínimo de materiales, repuestos y consumibles críticos que permita atender de manera oportuna las fallas más frecuentes y restablecer la </w:t>
      </w:r>
      <w:r w:rsidRPr="40AD52C2">
        <w:rPr>
          <w:rFonts w:ascii="Arial" w:eastAsia="Arial" w:hAnsi="Arial" w:cs="Arial"/>
          <w:sz w:val="24"/>
          <w:szCs w:val="24"/>
        </w:rPr>
        <w:lastRenderedPageBreak/>
        <w:t xml:space="preserve">operación de la solución fotovoltaica sin depender de adquisiciones que incrementen los tiempos de indisponibilidad. </w:t>
      </w:r>
    </w:p>
    <w:p w14:paraId="6B2CAE24" w14:textId="77777777" w:rsidR="002849EC" w:rsidRDefault="002849EC" w:rsidP="002849EC">
      <w:pPr>
        <w:jc w:val="both"/>
      </w:pPr>
      <w:r w:rsidRPr="40AD52C2">
        <w:rPr>
          <w:rFonts w:ascii="Arial" w:eastAsia="Arial" w:hAnsi="Arial" w:cs="Arial"/>
          <w:sz w:val="24"/>
          <w:szCs w:val="24"/>
        </w:rPr>
        <w:t xml:space="preserve">Dicho inventario deberá definirse y mantenerse actualizado en el Plan AOM, y como mínimo deberá cubrir las siguientes categorías: </w:t>
      </w:r>
    </w:p>
    <w:p w14:paraId="2C2179DD" w14:textId="77777777" w:rsidR="002849EC" w:rsidRDefault="002849EC" w:rsidP="002849EC">
      <w:pPr>
        <w:pStyle w:val="Prrafodelista"/>
        <w:numPr>
          <w:ilvl w:val="0"/>
          <w:numId w:val="159"/>
        </w:numPr>
        <w:jc w:val="both"/>
        <w:rPr>
          <w:rFonts w:ascii="Arial" w:eastAsia="Arial" w:hAnsi="Arial" w:cs="Arial"/>
          <w:sz w:val="24"/>
          <w:szCs w:val="24"/>
        </w:rPr>
      </w:pPr>
      <w:r w:rsidRPr="40AD52C2">
        <w:rPr>
          <w:rFonts w:ascii="Arial" w:eastAsia="Arial" w:hAnsi="Arial" w:cs="Arial"/>
          <w:sz w:val="24"/>
          <w:szCs w:val="24"/>
        </w:rPr>
        <w:t xml:space="preserve">Elementos de seguridad y maniobra. </w:t>
      </w:r>
    </w:p>
    <w:p w14:paraId="1B4CE496" w14:textId="77777777" w:rsidR="002849EC" w:rsidRDefault="002849EC" w:rsidP="002849EC">
      <w:pPr>
        <w:pStyle w:val="Prrafodelista"/>
        <w:numPr>
          <w:ilvl w:val="0"/>
          <w:numId w:val="159"/>
        </w:numPr>
        <w:jc w:val="both"/>
        <w:rPr>
          <w:rFonts w:ascii="Arial" w:eastAsia="Arial" w:hAnsi="Arial" w:cs="Arial"/>
          <w:sz w:val="24"/>
          <w:szCs w:val="24"/>
        </w:rPr>
      </w:pPr>
      <w:r w:rsidRPr="40AD52C2">
        <w:rPr>
          <w:rFonts w:ascii="Arial" w:eastAsia="Arial" w:hAnsi="Arial" w:cs="Arial"/>
          <w:sz w:val="24"/>
          <w:szCs w:val="24"/>
        </w:rPr>
        <w:t xml:space="preserve">Repuestos de tipo DC. </w:t>
      </w:r>
    </w:p>
    <w:p w14:paraId="6FEA050A" w14:textId="77777777" w:rsidR="002849EC" w:rsidRDefault="002849EC" w:rsidP="002849EC">
      <w:pPr>
        <w:pStyle w:val="Prrafodelista"/>
        <w:numPr>
          <w:ilvl w:val="0"/>
          <w:numId w:val="159"/>
        </w:numPr>
        <w:jc w:val="both"/>
        <w:rPr>
          <w:rFonts w:ascii="Arial" w:eastAsia="Arial" w:hAnsi="Arial" w:cs="Arial"/>
          <w:sz w:val="24"/>
          <w:szCs w:val="24"/>
        </w:rPr>
      </w:pPr>
      <w:r w:rsidRPr="40AD52C2">
        <w:rPr>
          <w:rFonts w:ascii="Arial" w:eastAsia="Arial" w:hAnsi="Arial" w:cs="Arial"/>
          <w:sz w:val="24"/>
          <w:szCs w:val="24"/>
        </w:rPr>
        <w:t>Repuestos de tipo AC</w:t>
      </w:r>
    </w:p>
    <w:p w14:paraId="7FD03376" w14:textId="77777777" w:rsidR="002849EC" w:rsidRDefault="002849EC" w:rsidP="002849EC">
      <w:pPr>
        <w:pStyle w:val="Prrafodelista"/>
        <w:numPr>
          <w:ilvl w:val="0"/>
          <w:numId w:val="159"/>
        </w:numPr>
        <w:jc w:val="both"/>
        <w:rPr>
          <w:rFonts w:ascii="Arial" w:eastAsia="Arial" w:hAnsi="Arial" w:cs="Arial"/>
          <w:sz w:val="24"/>
          <w:szCs w:val="24"/>
        </w:rPr>
      </w:pPr>
      <w:r w:rsidRPr="40AD52C2">
        <w:rPr>
          <w:rFonts w:ascii="Arial" w:eastAsia="Arial" w:hAnsi="Arial" w:cs="Arial"/>
          <w:sz w:val="24"/>
          <w:szCs w:val="24"/>
        </w:rPr>
        <w:t xml:space="preserve">Módulos fotovoltaicos. </w:t>
      </w:r>
    </w:p>
    <w:p w14:paraId="7153262F" w14:textId="77777777" w:rsidR="002849EC" w:rsidRDefault="002849EC" w:rsidP="002849EC">
      <w:pPr>
        <w:pStyle w:val="Prrafodelista"/>
        <w:numPr>
          <w:ilvl w:val="0"/>
          <w:numId w:val="159"/>
        </w:numPr>
        <w:jc w:val="both"/>
        <w:rPr>
          <w:rFonts w:ascii="Arial" w:eastAsia="Arial" w:hAnsi="Arial" w:cs="Arial"/>
          <w:sz w:val="24"/>
          <w:szCs w:val="24"/>
        </w:rPr>
      </w:pPr>
      <w:r w:rsidRPr="40AD52C2">
        <w:rPr>
          <w:rFonts w:ascii="Arial" w:eastAsia="Arial" w:hAnsi="Arial" w:cs="Arial"/>
          <w:sz w:val="24"/>
          <w:szCs w:val="24"/>
        </w:rPr>
        <w:t xml:space="preserve">Componentes de inversores. </w:t>
      </w:r>
    </w:p>
    <w:p w14:paraId="1DECBDB5" w14:textId="77777777" w:rsidR="002849EC" w:rsidRDefault="002849EC" w:rsidP="002849EC">
      <w:pPr>
        <w:pStyle w:val="Prrafodelista"/>
        <w:numPr>
          <w:ilvl w:val="0"/>
          <w:numId w:val="159"/>
        </w:numPr>
        <w:jc w:val="both"/>
        <w:rPr>
          <w:rFonts w:ascii="Arial" w:eastAsia="Arial" w:hAnsi="Arial" w:cs="Arial"/>
          <w:sz w:val="24"/>
          <w:szCs w:val="24"/>
        </w:rPr>
      </w:pPr>
      <w:r w:rsidRPr="40AD52C2">
        <w:rPr>
          <w:rFonts w:ascii="Arial" w:eastAsia="Arial" w:hAnsi="Arial" w:cs="Arial"/>
          <w:sz w:val="24"/>
          <w:szCs w:val="24"/>
        </w:rPr>
        <w:t xml:space="preserve">Conectores MC4. </w:t>
      </w:r>
    </w:p>
    <w:p w14:paraId="1E367A22" w14:textId="77777777" w:rsidR="002849EC" w:rsidRDefault="002849EC" w:rsidP="00CE1BA2">
      <w:pPr>
        <w:pStyle w:val="Prrafodelista"/>
        <w:numPr>
          <w:ilvl w:val="0"/>
          <w:numId w:val="159"/>
        </w:numPr>
        <w:spacing w:after="0"/>
        <w:jc w:val="both"/>
        <w:rPr>
          <w:rFonts w:ascii="Arial" w:eastAsia="Arial" w:hAnsi="Arial" w:cs="Arial"/>
          <w:sz w:val="24"/>
          <w:szCs w:val="24"/>
        </w:rPr>
      </w:pPr>
      <w:r w:rsidRPr="40AD52C2">
        <w:rPr>
          <w:rFonts w:ascii="Arial" w:eastAsia="Arial" w:hAnsi="Arial" w:cs="Arial"/>
          <w:sz w:val="24"/>
          <w:szCs w:val="24"/>
        </w:rPr>
        <w:t>Cables y conectores.</w:t>
      </w:r>
    </w:p>
    <w:p w14:paraId="2AF838BA" w14:textId="77777777" w:rsidR="002849EC" w:rsidRDefault="002849EC" w:rsidP="00CE1BA2">
      <w:pPr>
        <w:spacing w:after="0"/>
        <w:jc w:val="both"/>
      </w:pPr>
      <w:r w:rsidRPr="40AD52C2">
        <w:rPr>
          <w:rFonts w:ascii="Arial" w:eastAsia="Arial" w:hAnsi="Arial" w:cs="Arial"/>
          <w:sz w:val="24"/>
          <w:szCs w:val="24"/>
        </w:rPr>
        <w:t xml:space="preserve"> </w:t>
      </w:r>
    </w:p>
    <w:p w14:paraId="39F246D9" w14:textId="1DF19A86" w:rsidR="00CE1BA2" w:rsidRDefault="002849EC" w:rsidP="002849EC">
      <w:pPr>
        <w:pStyle w:val="Ttulo6"/>
        <w:ind w:left="1152" w:hanging="1152"/>
        <w:jc w:val="both"/>
        <w:rPr>
          <w:rFonts w:eastAsia="Arial" w:cs="Arial"/>
          <w:bCs/>
          <w:szCs w:val="24"/>
        </w:rPr>
      </w:pPr>
      <w:r w:rsidRPr="40AD52C2">
        <w:rPr>
          <w:rFonts w:eastAsia="Arial" w:cs="Arial"/>
          <w:bCs/>
          <w:szCs w:val="24"/>
        </w:rPr>
        <w:t>IV-</w:t>
      </w:r>
      <w:r w:rsidR="00BD31FC">
        <w:rPr>
          <w:rFonts w:eastAsia="Arial" w:cs="Arial"/>
          <w:bCs/>
          <w:szCs w:val="24"/>
        </w:rPr>
        <w:t>4.6</w:t>
      </w:r>
      <w:r w:rsidRPr="40AD52C2">
        <w:rPr>
          <w:rFonts w:eastAsia="Arial" w:cs="Arial"/>
          <w:bCs/>
          <w:szCs w:val="24"/>
        </w:rPr>
        <w:t>.10. Seguimiento al AOM.</w:t>
      </w:r>
    </w:p>
    <w:p w14:paraId="0FA51143" w14:textId="39DBA268" w:rsidR="002849EC" w:rsidRDefault="002849EC" w:rsidP="002849EC">
      <w:pPr>
        <w:pStyle w:val="Ttulo6"/>
        <w:ind w:left="1152" w:hanging="1152"/>
        <w:jc w:val="both"/>
      </w:pPr>
      <w:r w:rsidRPr="40AD52C2">
        <w:rPr>
          <w:rFonts w:eastAsia="Arial" w:cs="Arial"/>
          <w:bCs/>
          <w:szCs w:val="24"/>
        </w:rPr>
        <w:t xml:space="preserve"> </w:t>
      </w:r>
    </w:p>
    <w:p w14:paraId="4A93FB13" w14:textId="77777777" w:rsidR="002849EC" w:rsidRDefault="002849EC" w:rsidP="002849EC">
      <w:pPr>
        <w:jc w:val="both"/>
      </w:pPr>
      <w:r w:rsidRPr="40AD52C2">
        <w:rPr>
          <w:rFonts w:ascii="Arial" w:eastAsia="Arial" w:hAnsi="Arial" w:cs="Arial"/>
          <w:sz w:val="24"/>
          <w:szCs w:val="24"/>
        </w:rPr>
        <w:t xml:space="preserve">El comercializador encargado de realizar las actividades de AOM deberá remitir al Ministerio de Minas y Energía, de forma anual o cuando este lo requiera, un informe de seguimiento que contenga, como mínimo, la siguiente información: </w:t>
      </w:r>
    </w:p>
    <w:p w14:paraId="2A13E989" w14:textId="77777777" w:rsidR="002849EC" w:rsidRDefault="002849EC" w:rsidP="002849EC">
      <w:pPr>
        <w:jc w:val="both"/>
      </w:pPr>
      <w:r w:rsidRPr="40AD52C2">
        <w:rPr>
          <w:rFonts w:ascii="Arial" w:eastAsia="Arial" w:hAnsi="Arial" w:cs="Arial"/>
          <w:sz w:val="24"/>
          <w:szCs w:val="24"/>
        </w:rPr>
        <w:t>1. Ejecución de actividades de AOM</w:t>
      </w:r>
    </w:p>
    <w:p w14:paraId="58F2FA3F" w14:textId="77777777" w:rsidR="002849EC" w:rsidRDefault="002849EC" w:rsidP="002849EC">
      <w:pPr>
        <w:pStyle w:val="Prrafodelista"/>
        <w:numPr>
          <w:ilvl w:val="0"/>
          <w:numId w:val="158"/>
        </w:numPr>
        <w:spacing w:after="0"/>
        <w:jc w:val="both"/>
        <w:rPr>
          <w:rFonts w:ascii="Arial" w:eastAsia="Arial" w:hAnsi="Arial" w:cs="Arial"/>
          <w:sz w:val="24"/>
          <w:szCs w:val="24"/>
        </w:rPr>
      </w:pPr>
      <w:r w:rsidRPr="40AD52C2">
        <w:rPr>
          <w:rFonts w:ascii="Arial" w:eastAsia="Arial" w:hAnsi="Arial" w:cs="Arial"/>
          <w:sz w:val="24"/>
          <w:szCs w:val="24"/>
        </w:rPr>
        <w:t xml:space="preserve">Relación detallada de actividades ejecutadas por componente. </w:t>
      </w:r>
    </w:p>
    <w:p w14:paraId="7C7715AE" w14:textId="77777777" w:rsidR="002849EC" w:rsidRDefault="002849EC" w:rsidP="002849EC">
      <w:pPr>
        <w:pStyle w:val="Prrafodelista"/>
        <w:numPr>
          <w:ilvl w:val="0"/>
          <w:numId w:val="158"/>
        </w:numPr>
        <w:spacing w:after="0"/>
        <w:jc w:val="both"/>
        <w:rPr>
          <w:rFonts w:ascii="Arial" w:eastAsia="Arial" w:hAnsi="Arial" w:cs="Arial"/>
          <w:sz w:val="24"/>
          <w:szCs w:val="24"/>
        </w:rPr>
      </w:pPr>
      <w:r w:rsidRPr="40AD52C2">
        <w:rPr>
          <w:rFonts w:ascii="Arial" w:eastAsia="Arial" w:hAnsi="Arial" w:cs="Arial"/>
          <w:sz w:val="24"/>
          <w:szCs w:val="24"/>
        </w:rPr>
        <w:t xml:space="preserve">Comparativo entre el Plan de AOM y lo programado. </w:t>
      </w:r>
    </w:p>
    <w:p w14:paraId="7F87A965" w14:textId="77777777" w:rsidR="002849EC" w:rsidRDefault="002849EC" w:rsidP="00851340">
      <w:pPr>
        <w:pStyle w:val="Prrafodelista"/>
        <w:numPr>
          <w:ilvl w:val="0"/>
          <w:numId w:val="158"/>
        </w:numPr>
        <w:spacing w:after="0"/>
        <w:jc w:val="both"/>
        <w:rPr>
          <w:rFonts w:ascii="Arial" w:eastAsia="Arial" w:hAnsi="Arial" w:cs="Arial"/>
          <w:sz w:val="24"/>
          <w:szCs w:val="24"/>
        </w:rPr>
      </w:pPr>
      <w:r w:rsidRPr="40AD52C2">
        <w:rPr>
          <w:rFonts w:ascii="Arial" w:eastAsia="Arial" w:hAnsi="Arial" w:cs="Arial"/>
          <w:sz w:val="24"/>
          <w:szCs w:val="24"/>
        </w:rPr>
        <w:t>Evidencias de ejecución: bitácoras, órdenes de trabajo, actas de intervención, registros fotográficos.</w:t>
      </w:r>
    </w:p>
    <w:p w14:paraId="127A8B32" w14:textId="77777777" w:rsidR="002849EC" w:rsidRDefault="002849EC" w:rsidP="00851340">
      <w:pPr>
        <w:spacing w:after="0"/>
        <w:jc w:val="both"/>
      </w:pPr>
      <w:r w:rsidRPr="40AD52C2">
        <w:rPr>
          <w:rFonts w:ascii="Arial" w:eastAsia="Arial" w:hAnsi="Arial" w:cs="Arial"/>
          <w:sz w:val="24"/>
          <w:szCs w:val="24"/>
        </w:rPr>
        <w:t xml:space="preserve"> </w:t>
      </w:r>
    </w:p>
    <w:p w14:paraId="023AA840" w14:textId="77777777" w:rsidR="002849EC" w:rsidRDefault="002849EC" w:rsidP="002849EC">
      <w:pPr>
        <w:jc w:val="both"/>
      </w:pPr>
      <w:r w:rsidRPr="40AD52C2">
        <w:rPr>
          <w:rFonts w:ascii="Arial" w:eastAsia="Arial" w:hAnsi="Arial" w:cs="Arial"/>
          <w:sz w:val="24"/>
          <w:szCs w:val="24"/>
        </w:rPr>
        <w:t xml:space="preserve">2. Personal y capacidad operativa </w:t>
      </w:r>
    </w:p>
    <w:p w14:paraId="1F5563BD" w14:textId="77777777" w:rsidR="002849EC" w:rsidRDefault="002849EC" w:rsidP="00CE1BA2">
      <w:pPr>
        <w:pStyle w:val="Prrafodelista"/>
        <w:numPr>
          <w:ilvl w:val="0"/>
          <w:numId w:val="157"/>
        </w:numPr>
        <w:spacing w:after="0"/>
        <w:jc w:val="both"/>
        <w:rPr>
          <w:rFonts w:ascii="Arial" w:eastAsia="Arial" w:hAnsi="Arial" w:cs="Arial"/>
          <w:sz w:val="24"/>
          <w:szCs w:val="24"/>
        </w:rPr>
      </w:pPr>
      <w:r w:rsidRPr="40AD52C2">
        <w:rPr>
          <w:rFonts w:ascii="Arial" w:eastAsia="Arial" w:hAnsi="Arial" w:cs="Arial"/>
          <w:sz w:val="24"/>
          <w:szCs w:val="24"/>
        </w:rPr>
        <w:t>Personal asignado por actividad.</w:t>
      </w:r>
    </w:p>
    <w:p w14:paraId="29DFFDE4" w14:textId="77777777" w:rsidR="002849EC" w:rsidRDefault="002849EC" w:rsidP="00CE1BA2">
      <w:pPr>
        <w:spacing w:after="0"/>
        <w:jc w:val="both"/>
      </w:pPr>
      <w:r w:rsidRPr="40AD52C2">
        <w:rPr>
          <w:rFonts w:ascii="Arial" w:eastAsia="Arial" w:hAnsi="Arial" w:cs="Arial"/>
          <w:sz w:val="24"/>
          <w:szCs w:val="24"/>
        </w:rPr>
        <w:t xml:space="preserve"> </w:t>
      </w:r>
    </w:p>
    <w:p w14:paraId="111BCF19" w14:textId="77777777" w:rsidR="002849EC" w:rsidRDefault="002849EC" w:rsidP="002849EC">
      <w:pPr>
        <w:jc w:val="both"/>
      </w:pPr>
      <w:r w:rsidRPr="40AD52C2">
        <w:rPr>
          <w:rFonts w:ascii="Arial" w:eastAsia="Arial" w:hAnsi="Arial" w:cs="Arial"/>
          <w:sz w:val="24"/>
          <w:szCs w:val="24"/>
        </w:rPr>
        <w:t>3. Mantenimiento preventivo, correctivo y reposiciones</w:t>
      </w:r>
    </w:p>
    <w:p w14:paraId="72E4BF8E" w14:textId="77777777" w:rsidR="002849EC" w:rsidRDefault="002849EC" w:rsidP="002849EC">
      <w:pPr>
        <w:pStyle w:val="Prrafodelista"/>
        <w:numPr>
          <w:ilvl w:val="0"/>
          <w:numId w:val="156"/>
        </w:numPr>
        <w:spacing w:after="0"/>
        <w:jc w:val="both"/>
        <w:rPr>
          <w:rFonts w:ascii="Arial" w:eastAsia="Arial" w:hAnsi="Arial" w:cs="Arial"/>
          <w:sz w:val="24"/>
          <w:szCs w:val="24"/>
        </w:rPr>
      </w:pPr>
      <w:r w:rsidRPr="40AD52C2">
        <w:rPr>
          <w:rFonts w:ascii="Arial" w:eastAsia="Arial" w:hAnsi="Arial" w:cs="Arial"/>
          <w:sz w:val="24"/>
          <w:szCs w:val="24"/>
        </w:rPr>
        <w:t xml:space="preserve">Resumen de mantenimientos preventivos realizados. </w:t>
      </w:r>
    </w:p>
    <w:p w14:paraId="4C95A3BF" w14:textId="77777777" w:rsidR="002849EC" w:rsidRDefault="002849EC" w:rsidP="002849EC">
      <w:pPr>
        <w:pStyle w:val="Prrafodelista"/>
        <w:numPr>
          <w:ilvl w:val="0"/>
          <w:numId w:val="156"/>
        </w:numPr>
        <w:spacing w:after="0"/>
        <w:jc w:val="both"/>
        <w:rPr>
          <w:rFonts w:ascii="Arial" w:eastAsia="Arial" w:hAnsi="Arial" w:cs="Arial"/>
          <w:sz w:val="24"/>
          <w:szCs w:val="24"/>
        </w:rPr>
      </w:pPr>
      <w:r w:rsidRPr="40AD52C2">
        <w:rPr>
          <w:rFonts w:ascii="Arial" w:eastAsia="Arial" w:hAnsi="Arial" w:cs="Arial"/>
          <w:sz w:val="24"/>
          <w:szCs w:val="24"/>
        </w:rPr>
        <w:t xml:space="preserve">Relación de mantenimientos correctivos. </w:t>
      </w:r>
    </w:p>
    <w:p w14:paraId="23B7A54A" w14:textId="77777777" w:rsidR="002849EC" w:rsidRDefault="002849EC" w:rsidP="00CE1BA2">
      <w:pPr>
        <w:pStyle w:val="Prrafodelista"/>
        <w:numPr>
          <w:ilvl w:val="0"/>
          <w:numId w:val="156"/>
        </w:numPr>
        <w:spacing w:after="0"/>
        <w:jc w:val="both"/>
        <w:rPr>
          <w:rFonts w:ascii="Arial" w:eastAsia="Arial" w:hAnsi="Arial" w:cs="Arial"/>
          <w:sz w:val="24"/>
          <w:szCs w:val="24"/>
        </w:rPr>
      </w:pPr>
      <w:r w:rsidRPr="40AD52C2">
        <w:rPr>
          <w:rFonts w:ascii="Arial" w:eastAsia="Arial" w:hAnsi="Arial" w:cs="Arial"/>
          <w:sz w:val="24"/>
          <w:szCs w:val="24"/>
        </w:rPr>
        <w:t>Reposiciones ejecutadas, con trazabilidad de seriales cuando aplique.</w:t>
      </w:r>
    </w:p>
    <w:p w14:paraId="574CC59F" w14:textId="77777777" w:rsidR="002849EC" w:rsidRDefault="002849EC" w:rsidP="00CE1BA2">
      <w:pPr>
        <w:spacing w:after="0"/>
        <w:jc w:val="both"/>
      </w:pPr>
      <w:r w:rsidRPr="40AD52C2">
        <w:rPr>
          <w:rFonts w:ascii="Arial" w:eastAsia="Arial" w:hAnsi="Arial" w:cs="Arial"/>
          <w:sz w:val="24"/>
          <w:szCs w:val="24"/>
        </w:rPr>
        <w:t xml:space="preserve"> </w:t>
      </w:r>
    </w:p>
    <w:p w14:paraId="37465860" w14:textId="77777777" w:rsidR="002849EC" w:rsidRDefault="002849EC" w:rsidP="002849EC">
      <w:pPr>
        <w:jc w:val="both"/>
      </w:pPr>
      <w:r w:rsidRPr="40AD52C2">
        <w:rPr>
          <w:rFonts w:ascii="Arial" w:eastAsia="Arial" w:hAnsi="Arial" w:cs="Arial"/>
          <w:sz w:val="24"/>
          <w:szCs w:val="24"/>
        </w:rPr>
        <w:t xml:space="preserve">4. Gestión de garantías, pólizas o reclamaciones asociadas a cambios de equipos. </w:t>
      </w:r>
    </w:p>
    <w:p w14:paraId="20B93F22" w14:textId="77777777" w:rsidR="002849EC" w:rsidRDefault="002849EC" w:rsidP="00CE1BA2">
      <w:pPr>
        <w:pStyle w:val="Prrafodelista"/>
        <w:numPr>
          <w:ilvl w:val="0"/>
          <w:numId w:val="155"/>
        </w:numPr>
        <w:spacing w:after="0"/>
        <w:jc w:val="both"/>
        <w:rPr>
          <w:rFonts w:ascii="Arial" w:eastAsia="Arial" w:hAnsi="Arial" w:cs="Arial"/>
          <w:sz w:val="24"/>
          <w:szCs w:val="24"/>
        </w:rPr>
      </w:pPr>
      <w:r w:rsidRPr="40AD52C2">
        <w:rPr>
          <w:rFonts w:ascii="Arial" w:eastAsia="Arial" w:hAnsi="Arial" w:cs="Arial"/>
          <w:sz w:val="24"/>
          <w:szCs w:val="24"/>
        </w:rPr>
        <w:t>Cuando aplique detalle de las pólizas y garantías utilizadas en el periodo.</w:t>
      </w:r>
    </w:p>
    <w:p w14:paraId="7DB7B02C" w14:textId="77777777" w:rsidR="002849EC" w:rsidRDefault="002849EC" w:rsidP="00CE1BA2">
      <w:pPr>
        <w:spacing w:after="0"/>
        <w:jc w:val="both"/>
      </w:pPr>
      <w:r w:rsidRPr="40AD52C2">
        <w:rPr>
          <w:rFonts w:ascii="Arial" w:eastAsia="Arial" w:hAnsi="Arial" w:cs="Arial"/>
          <w:sz w:val="24"/>
          <w:szCs w:val="24"/>
        </w:rPr>
        <w:t xml:space="preserve"> </w:t>
      </w:r>
    </w:p>
    <w:p w14:paraId="0AEE8A5D" w14:textId="77777777" w:rsidR="002849EC" w:rsidRDefault="002849EC" w:rsidP="002849EC">
      <w:pPr>
        <w:jc w:val="both"/>
      </w:pPr>
      <w:r w:rsidRPr="40AD52C2">
        <w:rPr>
          <w:rFonts w:ascii="Arial" w:eastAsia="Arial" w:hAnsi="Arial" w:cs="Arial"/>
          <w:sz w:val="24"/>
          <w:szCs w:val="24"/>
        </w:rPr>
        <w:t xml:space="preserve">5. Desempeño energético y operacional </w:t>
      </w:r>
    </w:p>
    <w:p w14:paraId="7C3EC75B" w14:textId="77777777" w:rsidR="002849EC" w:rsidRDefault="002849EC" w:rsidP="002849EC">
      <w:pPr>
        <w:pStyle w:val="Prrafodelista"/>
        <w:numPr>
          <w:ilvl w:val="0"/>
          <w:numId w:val="154"/>
        </w:numPr>
        <w:jc w:val="both"/>
        <w:rPr>
          <w:rFonts w:ascii="Arial" w:eastAsia="Arial" w:hAnsi="Arial" w:cs="Arial"/>
          <w:sz w:val="24"/>
          <w:szCs w:val="24"/>
        </w:rPr>
      </w:pPr>
      <w:r w:rsidRPr="40AD52C2">
        <w:rPr>
          <w:rFonts w:ascii="Arial" w:eastAsia="Arial" w:hAnsi="Arial" w:cs="Arial"/>
          <w:sz w:val="24"/>
          <w:szCs w:val="24"/>
        </w:rPr>
        <w:t xml:space="preserve">Energía generada (kWh) mensual y anual, y análisis de variaciones frente a lo esperado y estimado. </w:t>
      </w:r>
    </w:p>
    <w:p w14:paraId="0F72E965" w14:textId="77777777" w:rsidR="002849EC" w:rsidRDefault="002849EC" w:rsidP="00CE1BA2">
      <w:pPr>
        <w:pStyle w:val="Prrafodelista"/>
        <w:numPr>
          <w:ilvl w:val="0"/>
          <w:numId w:val="154"/>
        </w:numPr>
        <w:spacing w:after="0"/>
        <w:jc w:val="both"/>
        <w:rPr>
          <w:rFonts w:ascii="Arial" w:eastAsia="Arial" w:hAnsi="Arial" w:cs="Arial"/>
          <w:sz w:val="24"/>
          <w:szCs w:val="24"/>
        </w:rPr>
      </w:pPr>
      <w:r w:rsidRPr="40AD52C2">
        <w:rPr>
          <w:rFonts w:ascii="Arial" w:eastAsia="Arial" w:hAnsi="Arial" w:cs="Arial"/>
          <w:sz w:val="24"/>
          <w:szCs w:val="24"/>
        </w:rPr>
        <w:t>Indicadores mínimos de desempeño: disponibilidad del sistema, eventos de desconexión y sus causas.</w:t>
      </w:r>
    </w:p>
    <w:p w14:paraId="46707A91" w14:textId="77777777" w:rsidR="002849EC" w:rsidRDefault="002849EC" w:rsidP="00CE1BA2">
      <w:pPr>
        <w:spacing w:after="0"/>
        <w:jc w:val="both"/>
      </w:pPr>
      <w:r w:rsidRPr="40AD52C2">
        <w:rPr>
          <w:rFonts w:ascii="Arial" w:eastAsia="Arial" w:hAnsi="Arial" w:cs="Arial"/>
          <w:sz w:val="24"/>
          <w:szCs w:val="24"/>
        </w:rPr>
        <w:t xml:space="preserve"> </w:t>
      </w:r>
    </w:p>
    <w:p w14:paraId="641AF353" w14:textId="77777777" w:rsidR="002849EC" w:rsidRDefault="002849EC" w:rsidP="002849EC">
      <w:pPr>
        <w:jc w:val="both"/>
      </w:pPr>
      <w:r w:rsidRPr="40AD52C2">
        <w:rPr>
          <w:rFonts w:ascii="Arial" w:eastAsia="Arial" w:hAnsi="Arial" w:cs="Arial"/>
          <w:sz w:val="24"/>
          <w:szCs w:val="24"/>
        </w:rPr>
        <w:t xml:space="preserve">6. Eventos de indisponibilidad y atención de fallas </w:t>
      </w:r>
    </w:p>
    <w:p w14:paraId="78F5B182" w14:textId="77777777" w:rsidR="002849EC" w:rsidRDefault="002849EC" w:rsidP="002849EC">
      <w:pPr>
        <w:pStyle w:val="Prrafodelista"/>
        <w:numPr>
          <w:ilvl w:val="0"/>
          <w:numId w:val="153"/>
        </w:numPr>
        <w:jc w:val="both"/>
        <w:rPr>
          <w:rFonts w:ascii="Arial" w:eastAsia="Arial" w:hAnsi="Arial" w:cs="Arial"/>
          <w:sz w:val="24"/>
          <w:szCs w:val="24"/>
        </w:rPr>
      </w:pPr>
      <w:r w:rsidRPr="40AD52C2">
        <w:rPr>
          <w:rFonts w:ascii="Arial" w:eastAsia="Arial" w:hAnsi="Arial" w:cs="Arial"/>
          <w:sz w:val="24"/>
          <w:szCs w:val="24"/>
        </w:rPr>
        <w:t xml:space="preserve">Registro de eventos de indisponibilidad </w:t>
      </w:r>
    </w:p>
    <w:p w14:paraId="04A7B9D2" w14:textId="77777777" w:rsidR="002849EC" w:rsidRDefault="002849EC" w:rsidP="002849EC">
      <w:pPr>
        <w:pStyle w:val="Prrafodelista"/>
        <w:numPr>
          <w:ilvl w:val="0"/>
          <w:numId w:val="153"/>
        </w:numPr>
        <w:jc w:val="both"/>
        <w:rPr>
          <w:rFonts w:ascii="Arial" w:eastAsia="Arial" w:hAnsi="Arial" w:cs="Arial"/>
          <w:sz w:val="24"/>
          <w:szCs w:val="24"/>
        </w:rPr>
      </w:pPr>
      <w:r w:rsidRPr="40AD52C2">
        <w:rPr>
          <w:rFonts w:ascii="Arial" w:eastAsia="Arial" w:hAnsi="Arial" w:cs="Arial"/>
          <w:sz w:val="24"/>
          <w:szCs w:val="24"/>
        </w:rPr>
        <w:lastRenderedPageBreak/>
        <w:t xml:space="preserve">Tiempos de respuesta y restablecimiento </w:t>
      </w:r>
    </w:p>
    <w:p w14:paraId="31906EDA" w14:textId="77777777" w:rsidR="002849EC" w:rsidRDefault="002849EC" w:rsidP="00CE1BA2">
      <w:pPr>
        <w:pStyle w:val="Prrafodelista"/>
        <w:numPr>
          <w:ilvl w:val="0"/>
          <w:numId w:val="153"/>
        </w:numPr>
        <w:spacing w:after="0"/>
        <w:jc w:val="both"/>
        <w:rPr>
          <w:rFonts w:ascii="Arial" w:eastAsia="Arial" w:hAnsi="Arial" w:cs="Arial"/>
          <w:sz w:val="24"/>
          <w:szCs w:val="24"/>
        </w:rPr>
      </w:pPr>
      <w:r w:rsidRPr="40AD52C2">
        <w:rPr>
          <w:rFonts w:ascii="Arial" w:eastAsia="Arial" w:hAnsi="Arial" w:cs="Arial"/>
          <w:sz w:val="24"/>
          <w:szCs w:val="24"/>
        </w:rPr>
        <w:t>Medidas correctivas adoptadas y acciones preventivas para evitar recurrencia.</w:t>
      </w:r>
    </w:p>
    <w:p w14:paraId="0CF97891" w14:textId="77777777" w:rsidR="002849EC" w:rsidRDefault="002849EC" w:rsidP="00CE1BA2">
      <w:pPr>
        <w:spacing w:after="0"/>
        <w:jc w:val="both"/>
      </w:pPr>
      <w:r w:rsidRPr="40AD52C2">
        <w:rPr>
          <w:rFonts w:ascii="Arial" w:eastAsia="Arial" w:hAnsi="Arial" w:cs="Arial"/>
          <w:sz w:val="24"/>
          <w:szCs w:val="24"/>
        </w:rPr>
        <w:t xml:space="preserve"> </w:t>
      </w:r>
    </w:p>
    <w:p w14:paraId="5992FE35" w14:textId="77777777" w:rsidR="002849EC" w:rsidRDefault="002849EC" w:rsidP="002849EC">
      <w:pPr>
        <w:jc w:val="both"/>
      </w:pPr>
      <w:r w:rsidRPr="40AD52C2">
        <w:rPr>
          <w:rFonts w:ascii="Arial" w:eastAsia="Arial" w:hAnsi="Arial" w:cs="Arial"/>
          <w:sz w:val="24"/>
          <w:szCs w:val="24"/>
        </w:rPr>
        <w:t>7. Gestión financiera asociada al AOM y provisiones</w:t>
      </w:r>
    </w:p>
    <w:p w14:paraId="772F258C" w14:textId="77777777" w:rsidR="002849EC" w:rsidRDefault="002849EC" w:rsidP="00CE1BA2">
      <w:pPr>
        <w:pStyle w:val="Prrafodelista"/>
        <w:numPr>
          <w:ilvl w:val="0"/>
          <w:numId w:val="152"/>
        </w:numPr>
        <w:spacing w:after="0"/>
        <w:jc w:val="both"/>
        <w:rPr>
          <w:rFonts w:ascii="Arial" w:eastAsia="Arial" w:hAnsi="Arial" w:cs="Arial"/>
          <w:sz w:val="24"/>
          <w:szCs w:val="24"/>
        </w:rPr>
      </w:pPr>
      <w:r w:rsidRPr="40AD52C2">
        <w:rPr>
          <w:rFonts w:ascii="Arial" w:eastAsia="Arial" w:hAnsi="Arial" w:cs="Arial"/>
          <w:sz w:val="24"/>
          <w:szCs w:val="24"/>
        </w:rPr>
        <w:t>Relación del recaudo o provisión destinada a la reposición de inversores, indicando los saldos asociados.</w:t>
      </w:r>
    </w:p>
    <w:p w14:paraId="66C05415" w14:textId="77777777" w:rsidR="002849EC" w:rsidRDefault="002849EC" w:rsidP="00CE1BA2">
      <w:pPr>
        <w:spacing w:after="0"/>
        <w:jc w:val="both"/>
      </w:pPr>
      <w:r w:rsidRPr="40AD52C2">
        <w:rPr>
          <w:rFonts w:ascii="Arial" w:eastAsia="Arial" w:hAnsi="Arial" w:cs="Arial"/>
          <w:sz w:val="24"/>
          <w:szCs w:val="24"/>
        </w:rPr>
        <w:t xml:space="preserve"> </w:t>
      </w:r>
    </w:p>
    <w:p w14:paraId="7B669CF1" w14:textId="77777777" w:rsidR="002849EC" w:rsidRDefault="002849EC" w:rsidP="002849EC">
      <w:pPr>
        <w:jc w:val="both"/>
      </w:pPr>
      <w:r w:rsidRPr="40AD52C2">
        <w:rPr>
          <w:rFonts w:ascii="Arial" w:eastAsia="Arial" w:hAnsi="Arial" w:cs="Arial"/>
          <w:sz w:val="24"/>
          <w:szCs w:val="24"/>
        </w:rPr>
        <w:t>8. Inventario mínimo de repuestos críticos</w:t>
      </w:r>
    </w:p>
    <w:p w14:paraId="2A9FB84C" w14:textId="77777777" w:rsidR="002849EC" w:rsidRDefault="002849EC" w:rsidP="002849EC">
      <w:pPr>
        <w:pStyle w:val="Prrafodelista"/>
        <w:numPr>
          <w:ilvl w:val="0"/>
          <w:numId w:val="151"/>
        </w:numPr>
        <w:jc w:val="both"/>
        <w:rPr>
          <w:rFonts w:ascii="Arial" w:eastAsia="Arial" w:hAnsi="Arial" w:cs="Arial"/>
          <w:sz w:val="24"/>
          <w:szCs w:val="24"/>
        </w:rPr>
      </w:pPr>
      <w:r w:rsidRPr="40AD52C2">
        <w:rPr>
          <w:rFonts w:ascii="Arial" w:eastAsia="Arial" w:hAnsi="Arial" w:cs="Arial"/>
          <w:sz w:val="24"/>
          <w:szCs w:val="24"/>
        </w:rPr>
        <w:t>Estado del inventario mínimo de repuestos críticos: niveles de stock, consumos, reposiciones y faltantes.</w:t>
      </w:r>
    </w:p>
    <w:p w14:paraId="4C6E0111" w14:textId="77777777" w:rsidR="002849EC" w:rsidRDefault="002849EC" w:rsidP="00CE1BA2">
      <w:pPr>
        <w:pStyle w:val="Prrafodelista"/>
        <w:numPr>
          <w:ilvl w:val="0"/>
          <w:numId w:val="151"/>
        </w:numPr>
        <w:spacing w:after="0"/>
        <w:jc w:val="both"/>
        <w:rPr>
          <w:rFonts w:ascii="Arial" w:eastAsia="Arial" w:hAnsi="Arial" w:cs="Arial"/>
          <w:sz w:val="24"/>
          <w:szCs w:val="24"/>
        </w:rPr>
      </w:pPr>
      <w:r w:rsidRPr="40AD52C2">
        <w:rPr>
          <w:rFonts w:ascii="Arial" w:eastAsia="Arial" w:hAnsi="Arial" w:cs="Arial"/>
          <w:sz w:val="24"/>
          <w:szCs w:val="24"/>
        </w:rPr>
        <w:t xml:space="preserve"> Alertas de riesgo por desabastecimiento y medidas adoptadas.</w:t>
      </w:r>
    </w:p>
    <w:p w14:paraId="332BD1A0" w14:textId="77777777" w:rsidR="002849EC" w:rsidRDefault="002849EC" w:rsidP="00CE1BA2">
      <w:pPr>
        <w:spacing w:after="0"/>
        <w:jc w:val="both"/>
      </w:pPr>
      <w:r w:rsidRPr="40AD52C2">
        <w:rPr>
          <w:rFonts w:ascii="Arial" w:eastAsia="Arial" w:hAnsi="Arial" w:cs="Arial"/>
          <w:sz w:val="24"/>
          <w:szCs w:val="24"/>
        </w:rPr>
        <w:t xml:space="preserve"> </w:t>
      </w:r>
    </w:p>
    <w:p w14:paraId="3315C8E8" w14:textId="77777777" w:rsidR="002849EC" w:rsidRDefault="002849EC" w:rsidP="002849EC">
      <w:pPr>
        <w:jc w:val="both"/>
      </w:pPr>
      <w:r w:rsidRPr="40AD52C2">
        <w:rPr>
          <w:rFonts w:ascii="Arial" w:eastAsia="Arial" w:hAnsi="Arial" w:cs="Arial"/>
          <w:sz w:val="24"/>
          <w:szCs w:val="24"/>
        </w:rPr>
        <w:t xml:space="preserve">9. Atención a PQRSF </w:t>
      </w:r>
    </w:p>
    <w:p w14:paraId="65C947B1" w14:textId="77777777" w:rsidR="002849EC" w:rsidRDefault="002849EC" w:rsidP="002849EC">
      <w:pPr>
        <w:pStyle w:val="Prrafodelista"/>
        <w:numPr>
          <w:ilvl w:val="0"/>
          <w:numId w:val="150"/>
        </w:numPr>
        <w:jc w:val="both"/>
        <w:rPr>
          <w:rFonts w:ascii="Arial" w:eastAsia="Arial" w:hAnsi="Arial" w:cs="Arial"/>
          <w:sz w:val="24"/>
          <w:szCs w:val="24"/>
        </w:rPr>
      </w:pPr>
      <w:r w:rsidRPr="40AD52C2">
        <w:rPr>
          <w:rFonts w:ascii="Arial" w:eastAsia="Arial" w:hAnsi="Arial" w:cs="Arial"/>
          <w:sz w:val="24"/>
          <w:szCs w:val="24"/>
        </w:rPr>
        <w:t xml:space="preserve">Consolidado de PQRSF relacionadas con operación, fallas, indisponibilidad, seguridad y servicio. </w:t>
      </w:r>
    </w:p>
    <w:p w14:paraId="75D04237" w14:textId="77777777" w:rsidR="002849EC" w:rsidRDefault="002849EC" w:rsidP="00CE1BA2">
      <w:pPr>
        <w:pStyle w:val="Prrafodelista"/>
        <w:numPr>
          <w:ilvl w:val="0"/>
          <w:numId w:val="150"/>
        </w:numPr>
        <w:spacing w:after="0"/>
        <w:jc w:val="both"/>
        <w:rPr>
          <w:rFonts w:ascii="Arial" w:eastAsia="Arial" w:hAnsi="Arial" w:cs="Arial"/>
          <w:sz w:val="24"/>
          <w:szCs w:val="24"/>
        </w:rPr>
      </w:pPr>
      <w:r w:rsidRPr="40AD52C2">
        <w:rPr>
          <w:rFonts w:ascii="Arial" w:eastAsia="Arial" w:hAnsi="Arial" w:cs="Arial"/>
          <w:sz w:val="24"/>
          <w:szCs w:val="24"/>
        </w:rPr>
        <w:t>Tiempos de respuesta y acciones implementadas.</w:t>
      </w:r>
    </w:p>
    <w:p w14:paraId="51892DEB" w14:textId="77777777" w:rsidR="002849EC" w:rsidRDefault="002849EC" w:rsidP="00CE1BA2">
      <w:pPr>
        <w:spacing w:after="0"/>
        <w:jc w:val="both"/>
      </w:pPr>
      <w:r w:rsidRPr="40AD52C2">
        <w:rPr>
          <w:rFonts w:ascii="Arial" w:eastAsia="Arial" w:hAnsi="Arial" w:cs="Arial"/>
          <w:sz w:val="24"/>
          <w:szCs w:val="24"/>
        </w:rPr>
        <w:t xml:space="preserve"> </w:t>
      </w:r>
    </w:p>
    <w:p w14:paraId="3D32F485" w14:textId="152026AB" w:rsidR="002849EC"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El Ministerio de Minas y Energía </w:t>
      </w:r>
      <w:r w:rsidRPr="00851340">
        <w:rPr>
          <w:rFonts w:ascii="Arial" w:eastAsia="Arial" w:hAnsi="Arial" w:cs="Arial"/>
          <w:sz w:val="24"/>
          <w:szCs w:val="24"/>
          <w:highlight w:val="yellow"/>
        </w:rPr>
        <w:t>realizara</w:t>
      </w:r>
      <w:r w:rsidRPr="40AD52C2">
        <w:rPr>
          <w:rFonts w:ascii="Arial" w:eastAsia="Arial" w:hAnsi="Arial" w:cs="Arial"/>
          <w:sz w:val="24"/>
          <w:szCs w:val="24"/>
        </w:rPr>
        <w:t xml:space="preserve"> los formatos requeridos para la presentación de los informes.</w:t>
      </w:r>
    </w:p>
    <w:p w14:paraId="66DB74FF" w14:textId="76214E5C" w:rsidR="002849EC" w:rsidRDefault="002849EC" w:rsidP="00CE1BA2">
      <w:pPr>
        <w:pStyle w:val="Ttulo3"/>
        <w:spacing w:before="0"/>
        <w:jc w:val="both"/>
        <w:rPr>
          <w:rFonts w:eastAsia="Arial" w:cs="Arial"/>
        </w:rPr>
      </w:pPr>
      <w:r w:rsidRPr="40AD52C2">
        <w:rPr>
          <w:rFonts w:eastAsia="Arial" w:cs="Arial"/>
        </w:rPr>
        <w:t>IV-</w:t>
      </w:r>
      <w:r w:rsidR="006D1B13">
        <w:rPr>
          <w:rFonts w:eastAsia="Arial" w:cs="Arial"/>
        </w:rPr>
        <w:t>4.7</w:t>
      </w:r>
      <w:r w:rsidRPr="40AD52C2">
        <w:rPr>
          <w:rFonts w:eastAsia="Arial" w:cs="Arial"/>
        </w:rPr>
        <w:t xml:space="preserve"> Uso y propiedad de los activos </w:t>
      </w:r>
    </w:p>
    <w:p w14:paraId="0C243CF2" w14:textId="77777777" w:rsidR="002849EC" w:rsidRDefault="002849EC" w:rsidP="00CE1BA2">
      <w:pPr>
        <w:spacing w:after="0"/>
      </w:pPr>
    </w:p>
    <w:p w14:paraId="6542CF60" w14:textId="77777777" w:rsidR="002849EC"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El presente capítulo establece las disposiciones relacionadas con la entrega, uso, propiedad y gestión de los activos asociados al Programa Colombia Solar, de conformidad con lo dispuesto en la Resolución 40159 del 16 de marzo de 2026, “Por la cual se reglamenta el artículo 2.2.3.2.4.17, 2.2.3.2.4.19 y 2.2.3.2.4.21 del Decreto 1073 de 2015 en lo relacionado con el Programa Colombia Solar”. De acuerdo con esta normativa, los activos del Programa Colombia Solar solo podrán ser usados para beneficiar a los usuarios de los estratos 1, 2 y 3 del Sistema Interconectado Nacional. Los beneficiarios del programa no podrán disponer de estos activos y deberán usarlos exclusivamente para alcanzar los objetivos previstos por el artículo </w:t>
      </w:r>
      <w:commentRangeStart w:id="258"/>
      <w:r w:rsidRPr="40AD52C2">
        <w:rPr>
          <w:rFonts w:ascii="Arial" w:eastAsia="Arial" w:hAnsi="Arial" w:cs="Arial"/>
          <w:sz w:val="24"/>
          <w:szCs w:val="24"/>
        </w:rPr>
        <w:t>2.2.3.2.4.15</w:t>
      </w:r>
      <w:commentRangeEnd w:id="258"/>
      <w:r w:rsidR="00242444" w:rsidRPr="40AD52C2">
        <w:rPr>
          <w:rStyle w:val="Refdecomentario"/>
          <w:rFonts w:ascii="Arial" w:eastAsia="Arial" w:hAnsi="Arial" w:cs="Arial"/>
          <w:sz w:val="24"/>
          <w:szCs w:val="24"/>
        </w:rPr>
        <w:commentReference w:id="258"/>
      </w:r>
      <w:r w:rsidRPr="40AD52C2">
        <w:rPr>
          <w:rFonts w:ascii="Arial" w:eastAsia="Arial" w:hAnsi="Arial" w:cs="Arial"/>
          <w:sz w:val="24"/>
          <w:szCs w:val="24"/>
        </w:rPr>
        <w:t xml:space="preserve"> del Decreto 0972 de 2025, sin perjuicio de las responsabilidades legales. </w:t>
      </w:r>
    </w:p>
    <w:p w14:paraId="4F1A904F" w14:textId="77777777" w:rsidR="002849EC"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Asimismo, en relación con la titularidad de los activos, se establece que, para garantizar la correcta administración, operación y mantenimiento de los activos, y el uso exclusivo que se deriva del derecho de propiedad en favor de los referidos usuarios, el Ministerio de </w:t>
      </w:r>
      <w:r w:rsidRPr="0033720C">
        <w:rPr>
          <w:rFonts w:ascii="Arial" w:eastAsia="Arial" w:hAnsi="Arial" w:cs="Arial"/>
          <w:sz w:val="24"/>
          <w:szCs w:val="24"/>
          <w:highlight w:val="yellow"/>
        </w:rPr>
        <w:t>Minas y Energía transferirá la propiedad</w:t>
      </w:r>
      <w:r w:rsidRPr="40AD52C2">
        <w:rPr>
          <w:rFonts w:ascii="Arial" w:eastAsia="Arial" w:hAnsi="Arial" w:cs="Arial"/>
          <w:sz w:val="24"/>
          <w:szCs w:val="24"/>
        </w:rPr>
        <w:t xml:space="preserve"> de estos activos al Agente Comercializador del Servicio Público Domiciliario esencial de Energía Eléctrica.</w:t>
      </w:r>
    </w:p>
    <w:p w14:paraId="491EF8E5" w14:textId="77777777" w:rsidR="002849EC" w:rsidRDefault="002849EC" w:rsidP="002849EC">
      <w:pPr>
        <w:jc w:val="both"/>
        <w:rPr>
          <w:rFonts w:ascii="Arial" w:eastAsia="Arial" w:hAnsi="Arial" w:cs="Arial"/>
          <w:sz w:val="24"/>
          <w:szCs w:val="24"/>
        </w:rPr>
      </w:pPr>
      <w:r w:rsidRPr="40AD52C2">
        <w:rPr>
          <w:rFonts w:ascii="Arial" w:eastAsia="Arial" w:hAnsi="Arial" w:cs="Arial"/>
          <w:sz w:val="24"/>
          <w:szCs w:val="24"/>
        </w:rPr>
        <w:t>En desarrollo de la implementación del programa, se presentan cláusulas contractuales y limitación de responsabilidad, en la cual se dispone que, los contratos que se celebren para la implementación del Programa Colombia Solar deberán contener estipulaciones de indemnidad que excluyan cualquier tipo de responsabilidad a cargo del Ministerio de Minas y Energía en relación con la Administración, Operación, Mantenimiento, Propiedad, Uso, Goce y reposición de esta infraestructura.</w:t>
      </w:r>
    </w:p>
    <w:p w14:paraId="443F4CFF" w14:textId="77777777" w:rsidR="002849EC" w:rsidRDefault="002849EC" w:rsidP="002849EC">
      <w:pPr>
        <w:jc w:val="both"/>
        <w:rPr>
          <w:rFonts w:ascii="Arial" w:eastAsia="Arial" w:hAnsi="Arial" w:cs="Arial"/>
          <w:sz w:val="24"/>
          <w:szCs w:val="24"/>
        </w:rPr>
      </w:pPr>
      <w:r w:rsidRPr="40AD52C2">
        <w:rPr>
          <w:rFonts w:ascii="Arial" w:eastAsia="Arial" w:hAnsi="Arial" w:cs="Arial"/>
          <w:sz w:val="24"/>
          <w:szCs w:val="24"/>
        </w:rPr>
        <w:t xml:space="preserve">Respecto a la disposición de los activos, la normativa establece de manera expresa que, los Agentes Comercializadores a quienes se les haya transferido la propiedad no podrán </w:t>
      </w:r>
      <w:r w:rsidRPr="40AD52C2">
        <w:rPr>
          <w:rFonts w:ascii="Arial" w:eastAsia="Arial" w:hAnsi="Arial" w:cs="Arial"/>
          <w:sz w:val="24"/>
          <w:szCs w:val="24"/>
        </w:rPr>
        <w:lastRenderedPageBreak/>
        <w:t>enajenar a ningún título la propiedad de los activos adquiridos o que se construyan con recursos del programa Colombia Solar.</w:t>
      </w:r>
    </w:p>
    <w:p w14:paraId="6E0575B9" w14:textId="09E0C500" w:rsidR="002849EC" w:rsidRDefault="002849EC" w:rsidP="00CE1BA2">
      <w:pPr>
        <w:jc w:val="both"/>
        <w:rPr>
          <w:rFonts w:eastAsia="Arial" w:cs="Arial"/>
          <w:lang w:val="es"/>
        </w:rPr>
      </w:pPr>
      <w:r w:rsidRPr="40AD52C2">
        <w:rPr>
          <w:rFonts w:ascii="Arial" w:eastAsia="Arial" w:hAnsi="Arial" w:cs="Arial"/>
          <w:sz w:val="24"/>
          <w:szCs w:val="24"/>
        </w:rPr>
        <w:t xml:space="preserve">En relación con la gestión operativa de los activos se define que, para la ejecución de las actividades de AOM, el Comercializador al cual el Ministerio de Minas y Energía le haya transferido la propiedad de los activos construidos en </w:t>
      </w:r>
      <w:r w:rsidRPr="00A775B7">
        <w:rPr>
          <w:rFonts w:ascii="Arial" w:eastAsia="Arial" w:hAnsi="Arial" w:cs="Arial"/>
          <w:sz w:val="24"/>
          <w:szCs w:val="24"/>
          <w:highlight w:val="yellow"/>
        </w:rPr>
        <w:t>el</w:t>
      </w:r>
      <w:r w:rsidRPr="40AD52C2">
        <w:rPr>
          <w:rFonts w:ascii="Arial" w:eastAsia="Arial" w:hAnsi="Arial" w:cs="Arial"/>
          <w:sz w:val="24"/>
          <w:szCs w:val="24"/>
        </w:rPr>
        <w:t xml:space="preserve"> desarrollo del Programa, podrá subcontratar total o parcialmente dichas actividades. En estos casos, la subcontratación se sujetará al régimen jurídico de contratación aplicable al Comercializador y a su respectivo manual de contratación, sin perjuicio del cumplimiento de los estándares técnicos y de alcance previstos en la </w:t>
      </w:r>
      <w:r w:rsidRPr="00015381">
        <w:rPr>
          <w:rFonts w:ascii="Arial" w:eastAsia="Arial" w:hAnsi="Arial" w:cs="Arial"/>
          <w:sz w:val="24"/>
          <w:szCs w:val="24"/>
          <w:highlight w:val="yellow"/>
        </w:rPr>
        <w:t>presente</w:t>
      </w:r>
      <w:r w:rsidRPr="40AD52C2">
        <w:rPr>
          <w:rFonts w:ascii="Arial" w:eastAsia="Arial" w:hAnsi="Arial" w:cs="Arial"/>
          <w:sz w:val="24"/>
          <w:szCs w:val="24"/>
        </w:rPr>
        <w:t xml:space="preserve"> resolución y aquellas que la modifiquen o adicionen.</w:t>
      </w:r>
    </w:p>
    <w:p w14:paraId="6282244E" w14:textId="77777777" w:rsidR="002849EC" w:rsidRDefault="002849EC" w:rsidP="00CE1BA2">
      <w:pPr>
        <w:pStyle w:val="Ttulo3"/>
        <w:spacing w:before="0"/>
        <w:jc w:val="both"/>
        <w:rPr>
          <w:rFonts w:eastAsia="Arial" w:cs="Arial"/>
        </w:rPr>
      </w:pPr>
      <w:r w:rsidRPr="40AD52C2">
        <w:rPr>
          <w:rFonts w:eastAsia="Arial" w:cs="Arial"/>
        </w:rPr>
        <w:t xml:space="preserve">IV-5.7 Disposición Especial y el Anexo Técnico </w:t>
      </w:r>
    </w:p>
    <w:p w14:paraId="017E73DF" w14:textId="77777777" w:rsidR="00CE1BA2" w:rsidRPr="00CE1BA2" w:rsidRDefault="00CE1BA2" w:rsidP="00CE1BA2">
      <w:pPr>
        <w:spacing w:after="0"/>
      </w:pPr>
    </w:p>
    <w:p w14:paraId="35B7A5F8" w14:textId="77777777" w:rsidR="002849EC" w:rsidRDefault="002849EC" w:rsidP="00915BB5">
      <w:pPr>
        <w:spacing w:after="0"/>
        <w:jc w:val="both"/>
      </w:pPr>
      <w:r w:rsidRPr="40AD52C2">
        <w:rPr>
          <w:rFonts w:ascii="Arial" w:eastAsia="Arial" w:hAnsi="Arial" w:cs="Arial"/>
          <w:sz w:val="24"/>
          <w:szCs w:val="24"/>
        </w:rPr>
        <w:t xml:space="preserve">Los proyectos de autogeneración a pequeña escala (AGPE) financiados bajo el Programa Colombia Solar se regirán </w:t>
      </w:r>
      <w:r w:rsidRPr="006635EF">
        <w:rPr>
          <w:rFonts w:ascii="Arial" w:eastAsia="Arial" w:hAnsi="Arial" w:cs="Arial"/>
          <w:sz w:val="24"/>
          <w:szCs w:val="24"/>
          <w:highlight w:val="yellow"/>
        </w:rPr>
        <w:t>preferentemente</w:t>
      </w:r>
      <w:r w:rsidRPr="40AD52C2">
        <w:rPr>
          <w:rFonts w:ascii="Arial" w:eastAsia="Arial" w:hAnsi="Arial" w:cs="Arial"/>
          <w:sz w:val="24"/>
          <w:szCs w:val="24"/>
        </w:rPr>
        <w:t xml:space="preserve"> por las disposiciones del </w:t>
      </w:r>
      <w:r w:rsidRPr="00975830">
        <w:rPr>
          <w:rFonts w:ascii="Arial" w:eastAsia="Arial" w:hAnsi="Arial" w:cs="Arial"/>
          <w:sz w:val="24"/>
          <w:szCs w:val="24"/>
          <w:highlight w:val="yellow"/>
        </w:rPr>
        <w:t>presente</w:t>
      </w:r>
      <w:r w:rsidRPr="40AD52C2">
        <w:rPr>
          <w:rFonts w:ascii="Arial" w:eastAsia="Arial" w:hAnsi="Arial" w:cs="Arial"/>
          <w:sz w:val="24"/>
          <w:szCs w:val="24"/>
        </w:rPr>
        <w:t xml:space="preserve"> Anexo Técnico [1] de este </w:t>
      </w:r>
      <w:r w:rsidRPr="006635EF">
        <w:rPr>
          <w:rFonts w:ascii="Arial" w:eastAsia="Arial" w:hAnsi="Arial" w:cs="Arial"/>
          <w:sz w:val="24"/>
          <w:szCs w:val="24"/>
          <w:highlight w:val="yellow"/>
        </w:rPr>
        <w:t>m</w:t>
      </w:r>
      <w:r w:rsidRPr="40AD52C2">
        <w:rPr>
          <w:rFonts w:ascii="Arial" w:eastAsia="Arial" w:hAnsi="Arial" w:cs="Arial"/>
          <w:sz w:val="24"/>
          <w:szCs w:val="24"/>
        </w:rPr>
        <w:t xml:space="preserve">anual. En caso de discrepancia entre los procedimientos estándar de seguimiento y gestión de activos definidos en los </w:t>
      </w:r>
      <w:r w:rsidRPr="006635EF">
        <w:rPr>
          <w:rFonts w:ascii="Arial" w:eastAsia="Arial" w:hAnsi="Arial" w:cs="Arial"/>
          <w:sz w:val="24"/>
          <w:szCs w:val="24"/>
          <w:highlight w:val="yellow"/>
        </w:rPr>
        <w:t>Capítulos V y VI</w:t>
      </w:r>
      <w:r w:rsidRPr="40AD52C2">
        <w:rPr>
          <w:rFonts w:ascii="Arial" w:eastAsia="Arial" w:hAnsi="Arial" w:cs="Arial"/>
          <w:sz w:val="24"/>
          <w:szCs w:val="24"/>
        </w:rPr>
        <w:t xml:space="preserve"> y lo establecido en dicho Anexo, prevalecerán las condiciones técnicas y contractuales de la Resolución 40159 de 2026 y el Decreto 0972 de 2025, dadas las particularidades de sostenibilidad (25 años) y el esquema de Administración, Operación y Mantenimiento (AOM) propio del programa.</w:t>
      </w:r>
      <w:r w:rsidRPr="40AD52C2">
        <w:rPr>
          <w:rFonts w:ascii="Arial" w:eastAsia="Arial" w:hAnsi="Arial" w:cs="Arial"/>
          <w:sz w:val="24"/>
          <w:szCs w:val="24"/>
          <w:lang w:val="es"/>
        </w:rPr>
        <w:t xml:space="preserve"> </w:t>
      </w:r>
    </w:p>
    <w:p w14:paraId="6166E891" w14:textId="77777777" w:rsidR="002849EC" w:rsidRDefault="002849EC" w:rsidP="00915BB5">
      <w:pPr>
        <w:spacing w:after="0"/>
        <w:jc w:val="both"/>
      </w:pPr>
      <w:r w:rsidRPr="40AD52C2">
        <w:rPr>
          <w:rFonts w:ascii="Arial" w:eastAsia="Arial" w:hAnsi="Arial" w:cs="Arial"/>
          <w:sz w:val="24"/>
          <w:szCs w:val="24"/>
          <w:lang w:val="es"/>
        </w:rPr>
        <w:t xml:space="preserve"> </w:t>
      </w:r>
    </w:p>
    <w:p w14:paraId="43F4FBD6" w14:textId="77777777" w:rsidR="002849EC" w:rsidRDefault="002849EC" w:rsidP="007251EF">
      <w:pPr>
        <w:pStyle w:val="Ttulo6"/>
        <w:spacing w:before="0"/>
        <w:ind w:left="1152" w:hanging="1152"/>
        <w:jc w:val="both"/>
        <w:rPr>
          <w:rFonts w:eastAsia="Arial" w:cs="Arial"/>
          <w:bCs/>
          <w:szCs w:val="24"/>
        </w:rPr>
      </w:pPr>
      <w:r w:rsidRPr="40AD52C2">
        <w:rPr>
          <w:rFonts w:eastAsia="Arial" w:cs="Arial"/>
          <w:bCs/>
          <w:szCs w:val="24"/>
        </w:rPr>
        <w:t xml:space="preserve">IV-5.7.1 </w:t>
      </w:r>
      <w:commentRangeStart w:id="259"/>
      <w:r w:rsidRPr="40AD52C2">
        <w:rPr>
          <w:rFonts w:eastAsia="Arial" w:cs="Arial"/>
          <w:bCs/>
          <w:szCs w:val="24"/>
        </w:rPr>
        <w:t>An</w:t>
      </w:r>
      <w:commentRangeStart w:id="260"/>
      <w:r w:rsidRPr="40AD52C2">
        <w:rPr>
          <w:rFonts w:eastAsia="Arial" w:cs="Arial"/>
          <w:bCs/>
          <w:szCs w:val="24"/>
        </w:rPr>
        <w:t>exo Técnico [</w:t>
      </w:r>
      <w:commentRangeEnd w:id="259"/>
      <w:r w:rsidR="0040404A" w:rsidRPr="40AD52C2">
        <w:rPr>
          <w:rStyle w:val="Refdecomentario"/>
          <w:rFonts w:eastAsia="Arial" w:cs="Arial"/>
          <w:bCs/>
          <w:sz w:val="24"/>
          <w:szCs w:val="24"/>
        </w:rPr>
        <w:commentReference w:id="259"/>
      </w:r>
      <w:r w:rsidRPr="40AD52C2">
        <w:rPr>
          <w:rFonts w:eastAsia="Arial" w:cs="Arial"/>
          <w:bCs/>
          <w:szCs w:val="24"/>
        </w:rPr>
        <w:t>1]: Sistema De Medición Y Seguimiento Técnico - Programa Colombia Solar</w:t>
      </w:r>
      <w:commentRangeEnd w:id="260"/>
      <w:r>
        <w:rPr>
          <w:rStyle w:val="Refdecomentario"/>
          <w:rFonts w:eastAsia="Arial" w:cs="Arial"/>
          <w:bCs/>
          <w:sz w:val="24"/>
          <w:szCs w:val="24"/>
        </w:rPr>
        <w:commentReference w:id="260"/>
      </w:r>
    </w:p>
    <w:p w14:paraId="4408C758" w14:textId="77777777" w:rsidR="007251EF" w:rsidRPr="007251EF" w:rsidRDefault="007251EF" w:rsidP="007251EF">
      <w:pPr>
        <w:spacing w:after="0"/>
      </w:pPr>
    </w:p>
    <w:p w14:paraId="286E0F92" w14:textId="77777777" w:rsidR="002849EC" w:rsidRDefault="002849EC" w:rsidP="00915BB5">
      <w:pPr>
        <w:pStyle w:val="Ttulo6"/>
        <w:spacing w:before="0"/>
        <w:ind w:left="1152" w:hanging="1152"/>
        <w:jc w:val="both"/>
        <w:rPr>
          <w:rFonts w:eastAsia="Arial" w:cs="Arial"/>
          <w:bCs/>
          <w:szCs w:val="24"/>
        </w:rPr>
      </w:pPr>
      <w:r w:rsidRPr="40AD52C2">
        <w:rPr>
          <w:rFonts w:eastAsia="Arial" w:cs="Arial"/>
          <w:bCs/>
          <w:szCs w:val="24"/>
        </w:rPr>
        <w:t>IV-5.7.1.1. Objeto</w:t>
      </w:r>
    </w:p>
    <w:p w14:paraId="307E5298" w14:textId="77777777" w:rsidR="007251EF" w:rsidRPr="007251EF" w:rsidRDefault="007251EF" w:rsidP="00915BB5">
      <w:pPr>
        <w:spacing w:after="0"/>
      </w:pPr>
    </w:p>
    <w:p w14:paraId="21580AD0" w14:textId="77777777" w:rsidR="002849EC" w:rsidRDefault="002849EC" w:rsidP="002849EC">
      <w:pPr>
        <w:shd w:val="clear" w:color="auto" w:fill="FFFFFF" w:themeFill="background1"/>
        <w:spacing w:after="150"/>
        <w:jc w:val="both"/>
      </w:pPr>
      <w:r w:rsidRPr="40AD52C2">
        <w:rPr>
          <w:rFonts w:ascii="Arial" w:eastAsia="Arial" w:hAnsi="Arial" w:cs="Arial"/>
          <w:color w:val="1F1F1F"/>
          <w:sz w:val="24"/>
          <w:szCs w:val="24"/>
          <w:lang w:val="es"/>
        </w:rPr>
        <w:t>Establecer la metodología de cálculo y reporte de los indicadores técnicos obligatorios que garantizan la sostenibilidad y eficiencia de las soluciones fotovoltaicas durante su vida útil de 25 años.</w:t>
      </w:r>
    </w:p>
    <w:p w14:paraId="49A39EEF" w14:textId="77777777" w:rsidR="002849EC" w:rsidRDefault="002849EC" w:rsidP="00915BB5">
      <w:pPr>
        <w:pStyle w:val="Ttulo6"/>
        <w:spacing w:before="0"/>
        <w:ind w:left="1152" w:hanging="1152"/>
        <w:jc w:val="both"/>
        <w:rPr>
          <w:rFonts w:eastAsia="Arial" w:cs="Arial"/>
          <w:bCs/>
          <w:color w:val="1F1F1F"/>
          <w:szCs w:val="24"/>
        </w:rPr>
      </w:pPr>
      <w:r w:rsidRPr="40AD52C2">
        <w:rPr>
          <w:rFonts w:eastAsia="Arial" w:cs="Arial"/>
          <w:bCs/>
          <w:szCs w:val="24"/>
        </w:rPr>
        <w:t>IV-5.7.1.2.</w:t>
      </w:r>
      <w:r w:rsidRPr="40AD52C2">
        <w:rPr>
          <w:rFonts w:eastAsia="Arial" w:cs="Arial"/>
          <w:bCs/>
          <w:color w:val="1F1F1F"/>
          <w:szCs w:val="24"/>
        </w:rPr>
        <w:t xml:space="preserve"> Indicadores De Desempeño Técnico</w:t>
      </w:r>
    </w:p>
    <w:p w14:paraId="4545A89F" w14:textId="77777777" w:rsidR="007251EF" w:rsidRPr="007251EF" w:rsidRDefault="007251EF" w:rsidP="00915BB5">
      <w:pPr>
        <w:spacing w:after="0"/>
      </w:pPr>
    </w:p>
    <w:p w14:paraId="25151AB5" w14:textId="77777777" w:rsidR="002849EC" w:rsidRDefault="002849EC" w:rsidP="002849EC">
      <w:pPr>
        <w:shd w:val="clear" w:color="auto" w:fill="FFFFFF" w:themeFill="background1"/>
        <w:spacing w:after="150"/>
        <w:jc w:val="both"/>
      </w:pPr>
      <w:r w:rsidRPr="40AD52C2">
        <w:rPr>
          <w:rFonts w:ascii="Arial" w:eastAsia="Arial" w:hAnsi="Arial" w:cs="Arial"/>
          <w:color w:val="1F1F1F"/>
          <w:sz w:val="24"/>
          <w:szCs w:val="24"/>
          <w:lang w:val="es"/>
        </w:rPr>
        <w:t>El Agente Ejecutor (Comercializador) deberá reportar trimestralmente a la supervisión del Fondo los siguientes indicadores:</w:t>
      </w:r>
    </w:p>
    <w:p w14:paraId="35AE4A1A" w14:textId="77777777" w:rsidR="002849EC" w:rsidRDefault="002849EC" w:rsidP="00915BB5">
      <w:pPr>
        <w:shd w:val="clear" w:color="auto" w:fill="FFFFFF" w:themeFill="background1"/>
        <w:spacing w:after="0"/>
        <w:jc w:val="both"/>
        <w:rPr>
          <w:rFonts w:ascii="Arial" w:eastAsia="Arial" w:hAnsi="Arial" w:cs="Arial"/>
          <w:color w:val="1F1F1F"/>
          <w:sz w:val="24"/>
          <w:szCs w:val="24"/>
        </w:rPr>
      </w:pPr>
      <w:commentRangeStart w:id="261"/>
      <w:r w:rsidRPr="40AD52C2">
        <w:rPr>
          <w:rFonts w:ascii="Arial" w:eastAsia="Arial" w:hAnsi="Arial" w:cs="Arial"/>
          <w:b/>
          <w:bCs/>
          <w:color w:val="000000" w:themeColor="text1"/>
          <w:sz w:val="24"/>
          <w:szCs w:val="24"/>
        </w:rPr>
        <w:t>IV-5.7.1.2.2.1. Disponibilidad del Sistema Fotovoltaico (DSF)</w:t>
      </w:r>
      <w:r w:rsidRPr="40AD52C2">
        <w:rPr>
          <w:rFonts w:ascii="Arial" w:eastAsia="Arial" w:hAnsi="Arial" w:cs="Arial"/>
          <w:color w:val="1F1F1F"/>
          <w:sz w:val="24"/>
          <w:szCs w:val="24"/>
        </w:rPr>
        <w:t xml:space="preserve"> </w:t>
      </w:r>
      <w:commentRangeEnd w:id="261"/>
      <w:r>
        <w:rPr>
          <w:rStyle w:val="Refdecomentario"/>
          <w:rFonts w:ascii="Arial" w:eastAsia="Arial" w:hAnsi="Arial" w:cs="Arial"/>
          <w:color w:val="1F1F1F"/>
          <w:sz w:val="24"/>
          <w:szCs w:val="24"/>
        </w:rPr>
        <w:commentReference w:id="261"/>
      </w:r>
    </w:p>
    <w:p w14:paraId="107936A8" w14:textId="77777777" w:rsidR="007251EF" w:rsidRDefault="007251EF" w:rsidP="00915BB5">
      <w:pPr>
        <w:shd w:val="clear" w:color="auto" w:fill="FFFFFF" w:themeFill="background1"/>
        <w:spacing w:after="0"/>
        <w:jc w:val="both"/>
        <w:rPr>
          <w:rFonts w:ascii="Arial" w:eastAsia="Arial" w:hAnsi="Arial" w:cs="Arial"/>
          <w:color w:val="1F1F1F"/>
          <w:sz w:val="24"/>
          <w:szCs w:val="24"/>
        </w:rPr>
      </w:pPr>
    </w:p>
    <w:p w14:paraId="7A5D91B2" w14:textId="77777777" w:rsidR="002849EC" w:rsidRDefault="002849EC" w:rsidP="002849EC">
      <w:pPr>
        <w:shd w:val="clear" w:color="auto" w:fill="FFFFFF" w:themeFill="background1"/>
        <w:spacing w:after="150"/>
        <w:jc w:val="both"/>
      </w:pPr>
      <w:r w:rsidRPr="40AD52C2">
        <w:rPr>
          <w:rFonts w:ascii="Arial" w:eastAsia="Arial" w:hAnsi="Arial" w:cs="Arial"/>
          <w:color w:val="1F1F1F"/>
          <w:sz w:val="24"/>
          <w:szCs w:val="24"/>
          <w:lang w:val="es"/>
        </w:rPr>
        <w:t>Mide la capacidad operativa del sistema durante las horas de recurso solar disponible.</w:t>
      </w:r>
    </w:p>
    <w:p w14:paraId="72AB5A17" w14:textId="77777777" w:rsidR="002849EC" w:rsidRDefault="002849EC" w:rsidP="002849EC">
      <w:pPr>
        <w:pStyle w:val="Prrafodelista"/>
        <w:numPr>
          <w:ilvl w:val="0"/>
          <w:numId w:val="168"/>
        </w:numPr>
        <w:shd w:val="clear" w:color="auto" w:fill="FFFFFF" w:themeFill="background1"/>
        <w:spacing w:after="0"/>
        <w:jc w:val="both"/>
        <w:rPr>
          <w:rFonts w:ascii="Arial" w:eastAsia="Arial" w:hAnsi="Arial" w:cs="Arial"/>
          <w:color w:val="1F1F1F"/>
          <w:sz w:val="24"/>
          <w:szCs w:val="24"/>
          <w:lang w:val="es"/>
        </w:rPr>
      </w:pPr>
      <w:r w:rsidRPr="40AD52C2">
        <w:rPr>
          <w:rFonts w:ascii="Arial" w:eastAsia="Arial" w:hAnsi="Arial" w:cs="Arial"/>
          <w:b/>
          <w:bCs/>
          <w:color w:val="1F1F1F"/>
          <w:sz w:val="24"/>
          <w:szCs w:val="24"/>
          <w:lang w:val="es"/>
        </w:rPr>
        <w:t>Fórmula:</w:t>
      </w:r>
      <w:r w:rsidRPr="40AD52C2">
        <w:rPr>
          <w:rFonts w:ascii="Arial" w:eastAsia="Arial" w:hAnsi="Arial" w:cs="Arial"/>
          <w:color w:val="1F1F1F"/>
          <w:sz w:val="24"/>
          <w:szCs w:val="24"/>
          <w:lang w:val="es"/>
        </w:rPr>
        <w:t xml:space="preserve"> </w:t>
      </w:r>
    </w:p>
    <w:p w14:paraId="32AC0B15" w14:textId="77777777" w:rsidR="002849EC" w:rsidRDefault="002849EC" w:rsidP="002849EC">
      <w:pPr>
        <w:pStyle w:val="Prrafodelista"/>
        <w:shd w:val="clear" w:color="auto" w:fill="FFFFFF" w:themeFill="background1"/>
        <w:spacing w:after="0"/>
        <w:ind w:hanging="360"/>
        <w:jc w:val="both"/>
      </w:pPr>
      <w:r>
        <w:rPr>
          <w:noProof/>
        </w:rPr>
        <w:drawing>
          <wp:inline distT="0" distB="0" distL="0" distR="0" wp14:anchorId="1E652003" wp14:editId="2889D1E2">
            <wp:extent cx="4230991" cy="554784"/>
            <wp:effectExtent l="0" t="0" r="0" b="0"/>
            <wp:docPr id="2206229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622918" name="Picture 220622918"/>
                    <pic:cNvPicPr/>
                  </pic:nvPicPr>
                  <pic:blipFill>
                    <a:blip r:embed="rId38">
                      <a:extLst>
                        <a:ext uri="{28A0092B-C50C-407E-A947-70E740481C1C}">
                          <a14:useLocalDpi xmlns:a14="http://schemas.microsoft.com/office/drawing/2010/main"/>
                        </a:ext>
                      </a:extLst>
                    </a:blip>
                    <a:stretch>
                      <a:fillRect/>
                    </a:stretch>
                  </pic:blipFill>
                  <pic:spPr>
                    <a:xfrm>
                      <a:off x="0" y="0"/>
                      <a:ext cx="4230991" cy="554784"/>
                    </a:xfrm>
                    <a:prstGeom prst="rect">
                      <a:avLst/>
                    </a:prstGeom>
                  </pic:spPr>
                </pic:pic>
              </a:graphicData>
            </a:graphic>
          </wp:inline>
        </w:drawing>
      </w:r>
    </w:p>
    <w:p w14:paraId="0D31FFAC" w14:textId="77777777" w:rsidR="002849EC" w:rsidRDefault="002849EC" w:rsidP="002849EC">
      <w:pPr>
        <w:pStyle w:val="Prrafodelista"/>
        <w:numPr>
          <w:ilvl w:val="0"/>
          <w:numId w:val="168"/>
        </w:numPr>
        <w:shd w:val="clear" w:color="auto" w:fill="FFFFFF" w:themeFill="background1"/>
        <w:spacing w:after="0"/>
        <w:jc w:val="both"/>
        <w:rPr>
          <w:rFonts w:ascii="Arial" w:eastAsia="Arial" w:hAnsi="Arial" w:cs="Arial"/>
          <w:color w:val="1F1F1F"/>
          <w:sz w:val="24"/>
          <w:szCs w:val="24"/>
          <w:highlight w:val="yellow"/>
          <w:lang w:val="es"/>
        </w:rPr>
      </w:pPr>
      <w:commentRangeStart w:id="262"/>
      <w:r w:rsidRPr="40AD52C2">
        <w:rPr>
          <w:rFonts w:ascii="Arial" w:eastAsia="Arial" w:hAnsi="Arial" w:cs="Arial"/>
          <w:b/>
          <w:bCs/>
          <w:color w:val="1F1F1F"/>
          <w:sz w:val="24"/>
          <w:szCs w:val="24"/>
          <w:highlight w:val="yellow"/>
          <w:lang w:val="es"/>
        </w:rPr>
        <w:t>Umbral Mínimo:</w:t>
      </w:r>
      <w:r w:rsidRPr="40AD52C2">
        <w:rPr>
          <w:rFonts w:ascii="Arial" w:eastAsia="Arial" w:hAnsi="Arial" w:cs="Arial"/>
          <w:color w:val="1F1F1F"/>
          <w:sz w:val="24"/>
          <w:szCs w:val="24"/>
          <w:highlight w:val="yellow"/>
          <w:lang w:val="es"/>
        </w:rPr>
        <w:t xml:space="preserve"> 95%.</w:t>
      </w:r>
      <w:commentRangeEnd w:id="262"/>
      <w:r>
        <w:rPr>
          <w:rStyle w:val="Refdecomentario"/>
          <w:rFonts w:ascii="Arial" w:eastAsia="Arial" w:hAnsi="Arial" w:cs="Arial"/>
          <w:color w:val="1F1F1F"/>
          <w:sz w:val="24"/>
          <w:szCs w:val="24"/>
          <w:highlight w:val="yellow"/>
          <w:lang w:val="es"/>
        </w:rPr>
        <w:commentReference w:id="262"/>
      </w:r>
    </w:p>
    <w:p w14:paraId="522A1132" w14:textId="77777777" w:rsidR="002849EC" w:rsidRDefault="002849EC" w:rsidP="002849EC">
      <w:pPr>
        <w:pStyle w:val="Prrafodelista"/>
        <w:numPr>
          <w:ilvl w:val="0"/>
          <w:numId w:val="168"/>
        </w:numPr>
        <w:shd w:val="clear" w:color="auto" w:fill="FFFFFF" w:themeFill="background1"/>
        <w:spacing w:after="0"/>
        <w:jc w:val="both"/>
        <w:rPr>
          <w:rFonts w:ascii="Arial" w:eastAsia="Arial" w:hAnsi="Arial" w:cs="Arial"/>
          <w:color w:val="1F1F1F"/>
          <w:sz w:val="24"/>
          <w:szCs w:val="24"/>
          <w:lang w:val="es"/>
        </w:rPr>
      </w:pPr>
      <w:r w:rsidRPr="40AD52C2">
        <w:rPr>
          <w:rFonts w:ascii="Arial" w:eastAsia="Arial" w:hAnsi="Arial" w:cs="Arial"/>
          <w:b/>
          <w:bCs/>
          <w:color w:val="1F1F1F"/>
          <w:sz w:val="24"/>
          <w:szCs w:val="24"/>
          <w:lang w:val="es"/>
        </w:rPr>
        <w:t>Propósito:</w:t>
      </w:r>
      <w:r w:rsidRPr="40AD52C2">
        <w:rPr>
          <w:rFonts w:ascii="Arial" w:eastAsia="Arial" w:hAnsi="Arial" w:cs="Arial"/>
          <w:color w:val="1F1F1F"/>
          <w:sz w:val="24"/>
          <w:szCs w:val="24"/>
          <w:lang w:val="es"/>
        </w:rPr>
        <w:t xml:space="preserve"> Asegurar que el sistema esté sincronizado y generando energía para el ahorro del usuario.</w:t>
      </w:r>
    </w:p>
    <w:p w14:paraId="01FC6163" w14:textId="77777777" w:rsidR="00915BB5" w:rsidRPr="00915BB5" w:rsidRDefault="00915BB5" w:rsidP="00915BB5">
      <w:pPr>
        <w:shd w:val="clear" w:color="auto" w:fill="FFFFFF" w:themeFill="background1"/>
        <w:spacing w:after="0"/>
        <w:ind w:left="360"/>
        <w:jc w:val="both"/>
        <w:rPr>
          <w:rFonts w:ascii="Arial" w:eastAsia="Arial" w:hAnsi="Arial" w:cs="Arial"/>
          <w:color w:val="1F1F1F"/>
          <w:sz w:val="24"/>
          <w:szCs w:val="24"/>
          <w:lang w:val="es"/>
        </w:rPr>
      </w:pPr>
    </w:p>
    <w:p w14:paraId="32E28F58" w14:textId="77777777" w:rsidR="002849EC" w:rsidRDefault="002849EC" w:rsidP="00915BB5">
      <w:pPr>
        <w:shd w:val="clear" w:color="auto" w:fill="FFFFFF" w:themeFill="background1"/>
        <w:spacing w:after="0"/>
        <w:jc w:val="both"/>
        <w:rPr>
          <w:rFonts w:ascii="Arial" w:eastAsia="Arial" w:hAnsi="Arial" w:cs="Arial"/>
          <w:b/>
          <w:bCs/>
          <w:color w:val="000000" w:themeColor="text1"/>
          <w:sz w:val="24"/>
          <w:szCs w:val="24"/>
        </w:rPr>
      </w:pPr>
      <w:r w:rsidRPr="40AD52C2">
        <w:rPr>
          <w:rFonts w:ascii="Arial" w:eastAsia="Arial" w:hAnsi="Arial" w:cs="Arial"/>
          <w:color w:val="1F1F1F"/>
          <w:sz w:val="24"/>
          <w:szCs w:val="24"/>
          <w:lang w:val="es"/>
        </w:rPr>
        <w:t xml:space="preserve"> </w:t>
      </w:r>
      <w:r w:rsidRPr="40AD52C2">
        <w:rPr>
          <w:rFonts w:ascii="Arial" w:eastAsia="Arial" w:hAnsi="Arial" w:cs="Arial"/>
          <w:b/>
          <w:bCs/>
          <w:color w:val="000000" w:themeColor="text1"/>
          <w:sz w:val="24"/>
          <w:szCs w:val="24"/>
        </w:rPr>
        <w:t>IV-5.7.1.2.2.2. Performance Ratio (PR) o Rendimiento del Sistema</w:t>
      </w:r>
    </w:p>
    <w:p w14:paraId="3777AD92" w14:textId="77777777" w:rsidR="00915BB5" w:rsidRDefault="00915BB5" w:rsidP="00915BB5">
      <w:pPr>
        <w:shd w:val="clear" w:color="auto" w:fill="FFFFFF" w:themeFill="background1"/>
        <w:spacing w:after="0"/>
        <w:jc w:val="both"/>
        <w:rPr>
          <w:rFonts w:ascii="Arial" w:eastAsia="Arial" w:hAnsi="Arial" w:cs="Arial"/>
          <w:color w:val="1F1F1F"/>
          <w:sz w:val="24"/>
          <w:szCs w:val="24"/>
          <w:lang w:val="es"/>
        </w:rPr>
      </w:pPr>
    </w:p>
    <w:p w14:paraId="38A1F730" w14:textId="77777777" w:rsidR="002849EC" w:rsidRDefault="002849EC" w:rsidP="002849EC">
      <w:pPr>
        <w:jc w:val="both"/>
      </w:pPr>
      <w:r w:rsidRPr="40AD52C2">
        <w:rPr>
          <w:rFonts w:ascii="Arial" w:eastAsia="Arial" w:hAnsi="Arial" w:cs="Arial"/>
          <w:sz w:val="24"/>
          <w:szCs w:val="24"/>
        </w:rPr>
        <w:lastRenderedPageBreak/>
        <w:t>Indica la eficiencia global del sistema, relacionando la energía realmente inyectada frente a la energía que teóricamente debería producirse según la irradiación captada, descontando pérdidas de diseño.</w:t>
      </w:r>
    </w:p>
    <w:p w14:paraId="3894CC92" w14:textId="77777777" w:rsidR="002849EC" w:rsidRDefault="002849EC" w:rsidP="002849EC">
      <w:pPr>
        <w:pStyle w:val="Prrafodelista"/>
        <w:numPr>
          <w:ilvl w:val="0"/>
          <w:numId w:val="167"/>
        </w:numPr>
        <w:spacing w:after="0"/>
        <w:jc w:val="both"/>
        <w:rPr>
          <w:rFonts w:ascii="Arial" w:eastAsia="Arial" w:hAnsi="Arial" w:cs="Arial"/>
          <w:sz w:val="24"/>
          <w:szCs w:val="24"/>
        </w:rPr>
      </w:pPr>
      <w:r w:rsidRPr="40AD52C2">
        <w:rPr>
          <w:rFonts w:ascii="Arial" w:eastAsia="Arial" w:hAnsi="Arial" w:cs="Arial"/>
          <w:b/>
          <w:bCs/>
          <w:sz w:val="24"/>
          <w:szCs w:val="24"/>
        </w:rPr>
        <w:t>Fórmula:</w:t>
      </w:r>
      <w:r w:rsidRPr="40AD52C2">
        <w:rPr>
          <w:rFonts w:ascii="Arial" w:eastAsia="Arial" w:hAnsi="Arial" w:cs="Arial"/>
          <w:sz w:val="24"/>
          <w:szCs w:val="24"/>
        </w:rPr>
        <w:t xml:space="preserve"> </w:t>
      </w:r>
    </w:p>
    <w:p w14:paraId="3F78D89A" w14:textId="77777777" w:rsidR="002849EC" w:rsidRDefault="002849EC" w:rsidP="002849EC">
      <w:pPr>
        <w:pStyle w:val="Prrafodelista"/>
        <w:spacing w:after="0"/>
        <w:jc w:val="both"/>
      </w:pPr>
      <w:r>
        <w:rPr>
          <w:noProof/>
        </w:rPr>
        <w:drawing>
          <wp:inline distT="0" distB="0" distL="0" distR="0" wp14:anchorId="4A4586D2" wp14:editId="6851F736">
            <wp:extent cx="4523624" cy="457240"/>
            <wp:effectExtent l="0" t="0" r="0" b="0"/>
            <wp:docPr id="120180624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806242" name="Picture 1201806242"/>
                    <pic:cNvPicPr/>
                  </pic:nvPicPr>
                  <pic:blipFill>
                    <a:blip r:embed="rId39">
                      <a:extLst>
                        <a:ext uri="{28A0092B-C50C-407E-A947-70E740481C1C}">
                          <a14:useLocalDpi xmlns:a14="http://schemas.microsoft.com/office/drawing/2010/main"/>
                        </a:ext>
                      </a:extLst>
                    </a:blip>
                    <a:stretch>
                      <a:fillRect/>
                    </a:stretch>
                  </pic:blipFill>
                  <pic:spPr>
                    <a:xfrm>
                      <a:off x="0" y="0"/>
                      <a:ext cx="4523624" cy="457240"/>
                    </a:xfrm>
                    <a:prstGeom prst="rect">
                      <a:avLst/>
                    </a:prstGeom>
                  </pic:spPr>
                </pic:pic>
              </a:graphicData>
            </a:graphic>
          </wp:inline>
        </w:drawing>
      </w:r>
    </w:p>
    <w:p w14:paraId="1A1A6470" w14:textId="77777777" w:rsidR="002849EC" w:rsidRDefault="002849EC" w:rsidP="002849EC">
      <w:pPr>
        <w:pStyle w:val="Prrafodelista"/>
        <w:numPr>
          <w:ilvl w:val="0"/>
          <w:numId w:val="166"/>
        </w:numPr>
        <w:spacing w:after="0"/>
        <w:jc w:val="both"/>
        <w:rPr>
          <w:rFonts w:ascii="Arial" w:eastAsia="Arial" w:hAnsi="Arial" w:cs="Arial"/>
          <w:sz w:val="24"/>
          <w:szCs w:val="24"/>
          <w:highlight w:val="yellow"/>
        </w:rPr>
      </w:pPr>
      <w:commentRangeStart w:id="263"/>
      <w:r w:rsidRPr="40AD52C2">
        <w:rPr>
          <w:rFonts w:ascii="Arial" w:eastAsia="Arial" w:hAnsi="Arial" w:cs="Arial"/>
          <w:b/>
          <w:bCs/>
          <w:sz w:val="24"/>
          <w:szCs w:val="24"/>
          <w:highlight w:val="yellow"/>
        </w:rPr>
        <w:t>Umbral Sugerido:</w:t>
      </w:r>
      <w:r w:rsidRPr="40AD52C2">
        <w:rPr>
          <w:rFonts w:ascii="Arial" w:eastAsia="Arial" w:hAnsi="Arial" w:cs="Arial"/>
          <w:sz w:val="24"/>
          <w:szCs w:val="24"/>
          <w:highlight w:val="yellow"/>
        </w:rPr>
        <w:t xml:space="preserve"> &gt; 75% (Ajustable según zona climática).</w:t>
      </w:r>
      <w:commentRangeEnd w:id="263"/>
      <w:r>
        <w:rPr>
          <w:rStyle w:val="Refdecomentario"/>
          <w:rFonts w:ascii="Arial" w:eastAsia="Arial" w:hAnsi="Arial" w:cs="Arial"/>
          <w:sz w:val="24"/>
          <w:szCs w:val="24"/>
          <w:highlight w:val="yellow"/>
        </w:rPr>
        <w:commentReference w:id="263"/>
      </w:r>
    </w:p>
    <w:p w14:paraId="018BE406" w14:textId="77777777" w:rsidR="002849EC" w:rsidRDefault="002849EC" w:rsidP="002849EC">
      <w:pPr>
        <w:pStyle w:val="Prrafodelista"/>
        <w:numPr>
          <w:ilvl w:val="0"/>
          <w:numId w:val="166"/>
        </w:numPr>
        <w:spacing w:after="0"/>
        <w:jc w:val="both"/>
        <w:rPr>
          <w:rFonts w:ascii="Arial" w:eastAsia="Arial" w:hAnsi="Arial" w:cs="Arial"/>
          <w:sz w:val="24"/>
          <w:szCs w:val="24"/>
        </w:rPr>
      </w:pPr>
      <w:r w:rsidRPr="40AD52C2">
        <w:rPr>
          <w:rFonts w:ascii="Arial" w:eastAsia="Arial" w:hAnsi="Arial" w:cs="Arial"/>
          <w:b/>
          <w:bCs/>
          <w:sz w:val="24"/>
          <w:szCs w:val="24"/>
        </w:rPr>
        <w:t>Propósito:</w:t>
      </w:r>
      <w:r w:rsidRPr="40AD52C2">
        <w:rPr>
          <w:rFonts w:ascii="Arial" w:eastAsia="Arial" w:hAnsi="Arial" w:cs="Arial"/>
          <w:sz w:val="24"/>
          <w:szCs w:val="24"/>
        </w:rPr>
        <w:t xml:space="preserve"> Detectar suciedad excesiva en paneles, sombreados no previstos o fallas de eficiencia en el inversor.</w:t>
      </w:r>
    </w:p>
    <w:p w14:paraId="6EB76AA8" w14:textId="77777777" w:rsidR="002849EC" w:rsidRDefault="002849EC" w:rsidP="002849EC">
      <w:pPr>
        <w:shd w:val="clear" w:color="auto" w:fill="FFFFFF" w:themeFill="background1"/>
        <w:spacing w:before="120" w:after="150"/>
        <w:jc w:val="both"/>
      </w:pPr>
      <w:r w:rsidRPr="40AD52C2">
        <w:rPr>
          <w:rFonts w:ascii="Arial" w:eastAsia="Arial" w:hAnsi="Arial" w:cs="Arial"/>
          <w:color w:val="1F1F1F"/>
          <w:sz w:val="24"/>
          <w:szCs w:val="24"/>
          <w:lang w:val="es"/>
        </w:rPr>
        <w:t xml:space="preserve"> </w:t>
      </w:r>
      <w:r w:rsidRPr="40AD52C2">
        <w:rPr>
          <w:rFonts w:ascii="Arial" w:eastAsia="Arial" w:hAnsi="Arial" w:cs="Arial"/>
          <w:b/>
          <w:bCs/>
          <w:color w:val="000000" w:themeColor="text1"/>
          <w:sz w:val="24"/>
          <w:szCs w:val="24"/>
        </w:rPr>
        <w:t>IV-5.7.1.2.2.3. Tasa de Degradación Anual de Potencia (TDP)</w:t>
      </w:r>
    </w:p>
    <w:p w14:paraId="0D839CE1" w14:textId="77777777" w:rsidR="002849EC" w:rsidRDefault="002849EC" w:rsidP="002849EC">
      <w:pPr>
        <w:jc w:val="both"/>
      </w:pPr>
      <w:r w:rsidRPr="40AD52C2">
        <w:rPr>
          <w:rFonts w:ascii="Arial" w:eastAsia="Arial" w:hAnsi="Arial" w:cs="Arial"/>
          <w:sz w:val="24"/>
          <w:szCs w:val="24"/>
        </w:rPr>
        <w:t>Mide la pérdida de eficiencia natural de los módulos fotovoltaicos con el paso del tiempo.</w:t>
      </w:r>
    </w:p>
    <w:p w14:paraId="0D262DB2" w14:textId="77777777" w:rsidR="002849EC" w:rsidRDefault="002849EC" w:rsidP="002849EC">
      <w:pPr>
        <w:pStyle w:val="Prrafodelista"/>
        <w:numPr>
          <w:ilvl w:val="0"/>
          <w:numId w:val="165"/>
        </w:numPr>
        <w:spacing w:after="0"/>
        <w:jc w:val="both"/>
        <w:rPr>
          <w:rFonts w:ascii="Arial" w:eastAsia="Arial" w:hAnsi="Arial" w:cs="Arial"/>
          <w:b/>
          <w:bCs/>
          <w:sz w:val="24"/>
          <w:szCs w:val="24"/>
        </w:rPr>
      </w:pPr>
      <w:r w:rsidRPr="40AD52C2">
        <w:rPr>
          <w:rFonts w:ascii="Arial" w:eastAsia="Arial" w:hAnsi="Arial" w:cs="Arial"/>
          <w:b/>
          <w:bCs/>
          <w:sz w:val="24"/>
          <w:szCs w:val="24"/>
        </w:rPr>
        <w:t>Fórmula:</w:t>
      </w:r>
    </w:p>
    <w:p w14:paraId="0CB3C3DC" w14:textId="77777777" w:rsidR="002849EC" w:rsidRDefault="002849EC" w:rsidP="002849EC">
      <w:pPr>
        <w:pStyle w:val="Prrafodelista"/>
        <w:spacing w:after="0"/>
        <w:jc w:val="both"/>
      </w:pPr>
      <w:r>
        <w:rPr>
          <w:noProof/>
        </w:rPr>
        <w:drawing>
          <wp:inline distT="0" distB="0" distL="0" distR="0" wp14:anchorId="2B85B30D" wp14:editId="4332CACC">
            <wp:extent cx="3657917" cy="475529"/>
            <wp:effectExtent l="0" t="0" r="0" b="0"/>
            <wp:docPr id="13299040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904046" name="Picture 1329904046"/>
                    <pic:cNvPicPr/>
                  </pic:nvPicPr>
                  <pic:blipFill>
                    <a:blip r:embed="rId40">
                      <a:extLst>
                        <a:ext uri="{28A0092B-C50C-407E-A947-70E740481C1C}">
                          <a14:useLocalDpi xmlns:a14="http://schemas.microsoft.com/office/drawing/2010/main"/>
                        </a:ext>
                      </a:extLst>
                    </a:blip>
                    <a:stretch>
                      <a:fillRect/>
                    </a:stretch>
                  </pic:blipFill>
                  <pic:spPr>
                    <a:xfrm>
                      <a:off x="0" y="0"/>
                      <a:ext cx="3657917" cy="475529"/>
                    </a:xfrm>
                    <a:prstGeom prst="rect">
                      <a:avLst/>
                    </a:prstGeom>
                  </pic:spPr>
                </pic:pic>
              </a:graphicData>
            </a:graphic>
          </wp:inline>
        </w:drawing>
      </w:r>
    </w:p>
    <w:p w14:paraId="676D7941" w14:textId="77777777" w:rsidR="002849EC" w:rsidRDefault="002849EC" w:rsidP="002849EC">
      <w:pPr>
        <w:pStyle w:val="Prrafodelista"/>
        <w:numPr>
          <w:ilvl w:val="0"/>
          <w:numId w:val="164"/>
        </w:numPr>
        <w:spacing w:after="0"/>
        <w:jc w:val="both"/>
        <w:rPr>
          <w:rFonts w:ascii="Arial" w:eastAsia="Arial" w:hAnsi="Arial" w:cs="Arial"/>
          <w:sz w:val="24"/>
          <w:szCs w:val="24"/>
          <w:highlight w:val="yellow"/>
        </w:rPr>
      </w:pPr>
      <w:commentRangeStart w:id="264"/>
      <w:r w:rsidRPr="40AD52C2">
        <w:rPr>
          <w:rFonts w:ascii="Arial" w:eastAsia="Arial" w:hAnsi="Arial" w:cs="Arial"/>
          <w:b/>
          <w:bCs/>
          <w:sz w:val="24"/>
          <w:szCs w:val="24"/>
          <w:highlight w:val="yellow"/>
        </w:rPr>
        <w:t>Umbral Máximo:</w:t>
      </w:r>
      <w:r w:rsidRPr="40AD52C2">
        <w:rPr>
          <w:rFonts w:ascii="Arial" w:eastAsia="Arial" w:hAnsi="Arial" w:cs="Arial"/>
          <w:sz w:val="24"/>
          <w:szCs w:val="24"/>
          <w:highlight w:val="yellow"/>
        </w:rPr>
        <w:t xml:space="preserve"> 0.7% anual (según estándar Tier 1).</w:t>
      </w:r>
      <w:commentRangeEnd w:id="264"/>
      <w:r>
        <w:rPr>
          <w:rStyle w:val="Refdecomentario"/>
          <w:rFonts w:ascii="Arial" w:eastAsia="Arial" w:hAnsi="Arial" w:cs="Arial"/>
          <w:sz w:val="24"/>
          <w:szCs w:val="24"/>
          <w:highlight w:val="yellow"/>
        </w:rPr>
        <w:commentReference w:id="264"/>
      </w:r>
    </w:p>
    <w:p w14:paraId="6DD1A480" w14:textId="77777777" w:rsidR="002849EC" w:rsidRDefault="002849EC" w:rsidP="002849EC">
      <w:pPr>
        <w:pStyle w:val="Prrafodelista"/>
        <w:numPr>
          <w:ilvl w:val="0"/>
          <w:numId w:val="164"/>
        </w:numPr>
        <w:spacing w:after="0"/>
        <w:jc w:val="both"/>
        <w:rPr>
          <w:rFonts w:ascii="Arial" w:eastAsia="Arial" w:hAnsi="Arial" w:cs="Arial"/>
          <w:sz w:val="24"/>
          <w:szCs w:val="24"/>
        </w:rPr>
      </w:pPr>
      <w:r w:rsidRPr="40AD52C2">
        <w:rPr>
          <w:rFonts w:ascii="Arial" w:eastAsia="Arial" w:hAnsi="Arial" w:cs="Arial"/>
          <w:b/>
          <w:bCs/>
          <w:sz w:val="24"/>
          <w:szCs w:val="24"/>
        </w:rPr>
        <w:t>Propósito:</w:t>
      </w:r>
      <w:r w:rsidRPr="40AD52C2">
        <w:rPr>
          <w:rFonts w:ascii="Arial" w:eastAsia="Arial" w:hAnsi="Arial" w:cs="Arial"/>
          <w:sz w:val="24"/>
          <w:szCs w:val="24"/>
        </w:rPr>
        <w:t xml:space="preserve"> Validar la calidad de los activos y prever el cumplimiento de la vida útil técnica de 25 años.</w:t>
      </w:r>
    </w:p>
    <w:p w14:paraId="1EA0C64D" w14:textId="77777777" w:rsidR="002849EC" w:rsidRDefault="002849EC" w:rsidP="002849EC">
      <w:pPr>
        <w:pStyle w:val="Ttulo6"/>
        <w:ind w:left="1152" w:hanging="1152"/>
        <w:jc w:val="both"/>
      </w:pPr>
      <w:r w:rsidRPr="40AD52C2">
        <w:rPr>
          <w:rFonts w:eastAsia="Arial" w:cs="Arial"/>
          <w:bCs/>
          <w:szCs w:val="24"/>
        </w:rPr>
        <w:t>IV-5.7.1.2.2.4. Cumplimiento del Plan de Mantenimiento Preventivo (CPMP)</w:t>
      </w:r>
    </w:p>
    <w:p w14:paraId="18E43EEF" w14:textId="77777777" w:rsidR="002849EC" w:rsidRDefault="002849EC" w:rsidP="002849EC"/>
    <w:p w14:paraId="074F0AD4" w14:textId="77777777" w:rsidR="002849EC" w:rsidRDefault="002849EC" w:rsidP="002849EC">
      <w:pPr>
        <w:jc w:val="both"/>
      </w:pPr>
      <w:r w:rsidRPr="40AD52C2">
        <w:rPr>
          <w:rFonts w:ascii="Arial" w:eastAsia="Arial" w:hAnsi="Arial" w:cs="Arial"/>
          <w:sz w:val="24"/>
          <w:szCs w:val="24"/>
        </w:rPr>
        <w:t>Mide el nivel de ejecución de las visitas técnicas programadas.</w:t>
      </w:r>
    </w:p>
    <w:p w14:paraId="7E5F1CBC" w14:textId="77777777" w:rsidR="002849EC" w:rsidRDefault="002849EC" w:rsidP="002849EC">
      <w:pPr>
        <w:pStyle w:val="Prrafodelista"/>
        <w:numPr>
          <w:ilvl w:val="0"/>
          <w:numId w:val="163"/>
        </w:numPr>
        <w:spacing w:after="0"/>
        <w:jc w:val="both"/>
        <w:rPr>
          <w:rFonts w:ascii="Arial" w:eastAsia="Arial" w:hAnsi="Arial" w:cs="Arial"/>
          <w:b/>
          <w:bCs/>
          <w:sz w:val="24"/>
          <w:szCs w:val="24"/>
        </w:rPr>
      </w:pPr>
      <w:r w:rsidRPr="40AD52C2">
        <w:rPr>
          <w:rFonts w:ascii="Arial" w:eastAsia="Arial" w:hAnsi="Arial" w:cs="Arial"/>
          <w:b/>
          <w:bCs/>
          <w:sz w:val="24"/>
          <w:szCs w:val="24"/>
        </w:rPr>
        <w:t>Fórmula:</w:t>
      </w:r>
    </w:p>
    <w:p w14:paraId="21DE6191" w14:textId="77777777" w:rsidR="002849EC" w:rsidRDefault="002849EC" w:rsidP="002849EC">
      <w:pPr>
        <w:pStyle w:val="Prrafodelista"/>
        <w:spacing w:after="0"/>
        <w:jc w:val="both"/>
      </w:pPr>
      <w:r>
        <w:rPr>
          <w:noProof/>
        </w:rPr>
        <w:drawing>
          <wp:inline distT="0" distB="0" distL="0" distR="0" wp14:anchorId="0E9ABC1E" wp14:editId="612F93BA">
            <wp:extent cx="4419983" cy="506012"/>
            <wp:effectExtent l="0" t="0" r="0" b="0"/>
            <wp:docPr id="15628167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16798" name="Picture 1562816798"/>
                    <pic:cNvPicPr/>
                  </pic:nvPicPr>
                  <pic:blipFill>
                    <a:blip r:embed="rId41">
                      <a:extLst>
                        <a:ext uri="{28A0092B-C50C-407E-A947-70E740481C1C}">
                          <a14:useLocalDpi xmlns:a14="http://schemas.microsoft.com/office/drawing/2010/main"/>
                        </a:ext>
                      </a:extLst>
                    </a:blip>
                    <a:stretch>
                      <a:fillRect/>
                    </a:stretch>
                  </pic:blipFill>
                  <pic:spPr>
                    <a:xfrm>
                      <a:off x="0" y="0"/>
                      <a:ext cx="4419983" cy="506012"/>
                    </a:xfrm>
                    <a:prstGeom prst="rect">
                      <a:avLst/>
                    </a:prstGeom>
                  </pic:spPr>
                </pic:pic>
              </a:graphicData>
            </a:graphic>
          </wp:inline>
        </w:drawing>
      </w:r>
    </w:p>
    <w:p w14:paraId="6B51C885" w14:textId="77777777" w:rsidR="002849EC" w:rsidRDefault="002849EC" w:rsidP="002849EC">
      <w:pPr>
        <w:pStyle w:val="Prrafodelista"/>
        <w:numPr>
          <w:ilvl w:val="0"/>
          <w:numId w:val="162"/>
        </w:numPr>
        <w:spacing w:after="0"/>
        <w:jc w:val="both"/>
        <w:rPr>
          <w:rFonts w:ascii="Arial" w:eastAsia="Arial" w:hAnsi="Arial" w:cs="Arial"/>
          <w:sz w:val="24"/>
          <w:szCs w:val="24"/>
          <w:highlight w:val="yellow"/>
        </w:rPr>
      </w:pPr>
      <w:r w:rsidRPr="40AD52C2">
        <w:rPr>
          <w:rFonts w:ascii="Arial" w:eastAsia="Arial" w:hAnsi="Arial" w:cs="Arial"/>
          <w:b/>
          <w:bCs/>
          <w:sz w:val="24"/>
          <w:szCs w:val="24"/>
          <w:highlight w:val="yellow"/>
        </w:rPr>
        <w:t>Umbral Mínimo:</w:t>
      </w:r>
      <w:r w:rsidRPr="40AD52C2">
        <w:rPr>
          <w:rFonts w:ascii="Arial" w:eastAsia="Arial" w:hAnsi="Arial" w:cs="Arial"/>
          <w:sz w:val="24"/>
          <w:szCs w:val="24"/>
          <w:highlight w:val="yellow"/>
        </w:rPr>
        <w:t xml:space="preserve"> 100%.</w:t>
      </w:r>
    </w:p>
    <w:p w14:paraId="3B869625" w14:textId="77777777" w:rsidR="002849EC" w:rsidRDefault="002849EC" w:rsidP="002849EC">
      <w:pPr>
        <w:pStyle w:val="Prrafodelista"/>
        <w:numPr>
          <w:ilvl w:val="0"/>
          <w:numId w:val="162"/>
        </w:numPr>
        <w:spacing w:after="0"/>
        <w:jc w:val="both"/>
        <w:rPr>
          <w:rFonts w:ascii="Arial" w:eastAsia="Arial" w:hAnsi="Arial" w:cs="Arial"/>
          <w:sz w:val="24"/>
          <w:szCs w:val="24"/>
        </w:rPr>
      </w:pPr>
      <w:r w:rsidRPr="40AD52C2">
        <w:rPr>
          <w:rFonts w:ascii="Arial" w:eastAsia="Arial" w:hAnsi="Arial" w:cs="Arial"/>
          <w:b/>
          <w:bCs/>
          <w:sz w:val="24"/>
          <w:szCs w:val="24"/>
        </w:rPr>
        <w:t>Propósito:</w:t>
      </w:r>
      <w:r w:rsidRPr="40AD52C2">
        <w:rPr>
          <w:rFonts w:ascii="Arial" w:eastAsia="Arial" w:hAnsi="Arial" w:cs="Arial"/>
          <w:sz w:val="24"/>
          <w:szCs w:val="24"/>
        </w:rPr>
        <w:t xml:space="preserve"> Garantizar que el activo recibe la limpieza, ajuste de torques y revisión de protecciones necesarias para evitar daños mayores.</w:t>
      </w:r>
    </w:p>
    <w:p w14:paraId="353ADEC9" w14:textId="77777777" w:rsidR="002849EC" w:rsidRDefault="002849EC" w:rsidP="002849EC">
      <w:pPr>
        <w:jc w:val="both"/>
      </w:pPr>
      <w:r w:rsidRPr="40AD52C2">
        <w:rPr>
          <w:rFonts w:ascii="Arial" w:eastAsia="Arial" w:hAnsi="Arial" w:cs="Arial"/>
          <w:b/>
          <w:bCs/>
          <w:sz w:val="24"/>
          <w:szCs w:val="24"/>
        </w:rPr>
        <w:t xml:space="preserve"> </w:t>
      </w:r>
    </w:p>
    <w:p w14:paraId="2E819A97" w14:textId="77777777" w:rsidR="002849EC" w:rsidRDefault="002849EC" w:rsidP="002849EC">
      <w:pPr>
        <w:pStyle w:val="Ttulo6"/>
        <w:ind w:left="1152" w:hanging="1152"/>
        <w:jc w:val="both"/>
      </w:pPr>
      <w:r w:rsidRPr="40AD52C2">
        <w:rPr>
          <w:rFonts w:eastAsia="Arial" w:cs="Arial"/>
          <w:bCs/>
          <w:szCs w:val="24"/>
        </w:rPr>
        <w:t>IV-5.7.1.3. MECANISMO DE VERIFICACIÓN</w:t>
      </w:r>
    </w:p>
    <w:p w14:paraId="3D1456F7" w14:textId="77777777" w:rsidR="002849EC" w:rsidRDefault="002849EC" w:rsidP="002849EC">
      <w:pPr>
        <w:pStyle w:val="Prrafodelista"/>
        <w:numPr>
          <w:ilvl w:val="0"/>
          <w:numId w:val="161"/>
        </w:numPr>
        <w:spacing w:after="0"/>
        <w:jc w:val="both"/>
        <w:rPr>
          <w:rFonts w:ascii="Arial" w:eastAsia="Arial" w:hAnsi="Arial" w:cs="Arial"/>
          <w:sz w:val="24"/>
          <w:szCs w:val="24"/>
          <w:lang w:val="es"/>
        </w:rPr>
      </w:pPr>
      <w:r w:rsidRPr="40AD52C2">
        <w:rPr>
          <w:rFonts w:ascii="Arial" w:eastAsia="Arial" w:hAnsi="Arial" w:cs="Arial"/>
          <w:b/>
          <w:bCs/>
          <w:sz w:val="24"/>
          <w:szCs w:val="24"/>
          <w:lang w:val="es"/>
        </w:rPr>
        <w:t>Fuente de datos:</w:t>
      </w:r>
      <w:r w:rsidRPr="40AD52C2">
        <w:rPr>
          <w:rFonts w:ascii="Arial" w:eastAsia="Arial" w:hAnsi="Arial" w:cs="Arial"/>
          <w:sz w:val="24"/>
          <w:szCs w:val="24"/>
          <w:lang w:val="es"/>
        </w:rPr>
        <w:t xml:space="preserve"> Los indicadores </w:t>
      </w:r>
      <w:r w:rsidRPr="40AD52C2">
        <w:rPr>
          <w:rFonts w:ascii="Arial" w:eastAsia="Arial" w:hAnsi="Arial" w:cs="Arial"/>
          <w:b/>
          <w:bCs/>
          <w:color w:val="000000" w:themeColor="text1"/>
          <w:sz w:val="24"/>
          <w:szCs w:val="24"/>
        </w:rPr>
        <w:t>IV-5.7.1.2.2.1.</w:t>
      </w:r>
      <w:r w:rsidRPr="40AD52C2">
        <w:rPr>
          <w:rFonts w:ascii="Arial" w:eastAsia="Arial" w:hAnsi="Arial" w:cs="Arial"/>
          <w:sz w:val="24"/>
          <w:szCs w:val="24"/>
          <w:lang w:val="es"/>
        </w:rPr>
        <w:t xml:space="preserve"> y </w:t>
      </w:r>
      <w:r w:rsidRPr="40AD52C2">
        <w:rPr>
          <w:rFonts w:ascii="Arial" w:eastAsia="Arial" w:hAnsi="Arial" w:cs="Arial"/>
          <w:b/>
          <w:bCs/>
          <w:color w:val="000000" w:themeColor="text1"/>
          <w:sz w:val="24"/>
          <w:szCs w:val="24"/>
        </w:rPr>
        <w:t>IV-5.7.1.2.2.2.</w:t>
      </w:r>
      <w:r w:rsidRPr="40AD52C2">
        <w:rPr>
          <w:rFonts w:ascii="Arial" w:eastAsia="Arial" w:hAnsi="Arial" w:cs="Arial"/>
          <w:sz w:val="24"/>
          <w:szCs w:val="24"/>
          <w:lang w:val="es"/>
        </w:rPr>
        <w:t xml:space="preserve"> deberán ser extraídos directamente de los sistemas de </w:t>
      </w:r>
      <w:r w:rsidRPr="40AD52C2">
        <w:rPr>
          <w:rFonts w:ascii="Arial" w:eastAsia="Arial" w:hAnsi="Arial" w:cs="Arial"/>
          <w:b/>
          <w:bCs/>
          <w:sz w:val="24"/>
          <w:szCs w:val="24"/>
          <w:lang w:val="es"/>
        </w:rPr>
        <w:t>Telemetría</w:t>
      </w:r>
      <w:r w:rsidRPr="40AD52C2">
        <w:rPr>
          <w:rFonts w:ascii="Arial" w:eastAsia="Arial" w:hAnsi="Arial" w:cs="Arial"/>
          <w:sz w:val="24"/>
          <w:szCs w:val="24"/>
          <w:lang w:val="es"/>
        </w:rPr>
        <w:t xml:space="preserve"> de los inversores.</w:t>
      </w:r>
    </w:p>
    <w:p w14:paraId="50591FD7" w14:textId="77777777" w:rsidR="002849EC" w:rsidRDefault="002849EC" w:rsidP="002849EC">
      <w:pPr>
        <w:pStyle w:val="Prrafodelista"/>
        <w:numPr>
          <w:ilvl w:val="0"/>
          <w:numId w:val="161"/>
        </w:numPr>
        <w:spacing w:after="0"/>
        <w:jc w:val="both"/>
        <w:rPr>
          <w:rFonts w:ascii="Arial" w:eastAsia="Arial" w:hAnsi="Arial" w:cs="Arial"/>
          <w:sz w:val="24"/>
          <w:szCs w:val="24"/>
          <w:lang w:val="es"/>
        </w:rPr>
      </w:pPr>
      <w:r w:rsidRPr="40AD52C2">
        <w:rPr>
          <w:rFonts w:ascii="Arial" w:eastAsia="Arial" w:hAnsi="Arial" w:cs="Arial"/>
          <w:b/>
          <w:bCs/>
          <w:sz w:val="24"/>
          <w:szCs w:val="24"/>
          <w:lang w:val="es"/>
        </w:rPr>
        <w:t>Auditoría:</w:t>
      </w:r>
      <w:r w:rsidRPr="40AD52C2">
        <w:rPr>
          <w:rFonts w:ascii="Arial" w:eastAsia="Arial" w:hAnsi="Arial" w:cs="Arial"/>
          <w:sz w:val="24"/>
          <w:szCs w:val="24"/>
          <w:lang w:val="es"/>
        </w:rPr>
        <w:t xml:space="preserve"> FONENERGÍA podrá realizar visitas aleatorias de verificación técnica para validar la veracidad de los reportes de mantenimiento (</w:t>
      </w:r>
      <w:r w:rsidRPr="40AD52C2">
        <w:rPr>
          <w:rFonts w:ascii="Arial" w:eastAsia="Arial" w:hAnsi="Arial" w:cs="Arial"/>
          <w:b/>
          <w:bCs/>
          <w:color w:val="000000" w:themeColor="text1"/>
          <w:sz w:val="24"/>
          <w:szCs w:val="24"/>
        </w:rPr>
        <w:t>IV-5.7.1.2.2.4.</w:t>
      </w:r>
      <w:r w:rsidRPr="40AD52C2">
        <w:rPr>
          <w:rFonts w:ascii="Arial" w:eastAsia="Arial" w:hAnsi="Arial" w:cs="Arial"/>
          <w:sz w:val="24"/>
          <w:szCs w:val="24"/>
          <w:lang w:val="es"/>
        </w:rPr>
        <w:t>) y las mediciones de potencia (</w:t>
      </w:r>
      <w:r w:rsidRPr="40AD52C2">
        <w:rPr>
          <w:rFonts w:ascii="Arial" w:eastAsia="Arial" w:hAnsi="Arial" w:cs="Arial"/>
          <w:b/>
          <w:bCs/>
          <w:color w:val="000000" w:themeColor="text1"/>
          <w:sz w:val="24"/>
          <w:szCs w:val="24"/>
        </w:rPr>
        <w:t>IV-5.7.1.2.2.3.</w:t>
      </w:r>
      <w:r w:rsidRPr="40AD52C2">
        <w:rPr>
          <w:rFonts w:ascii="Arial" w:eastAsia="Arial" w:hAnsi="Arial" w:cs="Arial"/>
          <w:sz w:val="24"/>
          <w:szCs w:val="24"/>
          <w:lang w:val="es"/>
        </w:rPr>
        <w:t>).</w:t>
      </w:r>
    </w:p>
    <w:p w14:paraId="06275A58" w14:textId="77777777" w:rsidR="002849EC" w:rsidRDefault="002849EC" w:rsidP="002849EC">
      <w:pPr>
        <w:pStyle w:val="Prrafodelista"/>
        <w:numPr>
          <w:ilvl w:val="0"/>
          <w:numId w:val="161"/>
        </w:numPr>
        <w:spacing w:after="0"/>
        <w:jc w:val="both"/>
        <w:rPr>
          <w:rFonts w:ascii="Arial" w:eastAsia="Arial" w:hAnsi="Arial" w:cs="Arial"/>
          <w:sz w:val="24"/>
          <w:szCs w:val="24"/>
          <w:highlight w:val="yellow"/>
          <w:lang w:val="es"/>
        </w:rPr>
      </w:pPr>
      <w:commentRangeStart w:id="265"/>
      <w:r w:rsidRPr="40AD52C2">
        <w:rPr>
          <w:rFonts w:ascii="Arial" w:eastAsia="Arial" w:hAnsi="Arial" w:cs="Arial"/>
          <w:b/>
          <w:bCs/>
          <w:sz w:val="24"/>
          <w:szCs w:val="24"/>
          <w:highlight w:val="yellow"/>
          <w:lang w:val="es"/>
        </w:rPr>
        <w:t>Consecuencias de Incumplimiento:</w:t>
      </w:r>
      <w:r w:rsidRPr="40AD52C2">
        <w:rPr>
          <w:rFonts w:ascii="Arial" w:eastAsia="Arial" w:hAnsi="Arial" w:cs="Arial"/>
          <w:sz w:val="24"/>
          <w:szCs w:val="24"/>
          <w:highlight w:val="yellow"/>
          <w:lang w:val="es"/>
        </w:rPr>
        <w:t xml:space="preserve"> El no cumplimiento de los umbrales mínimos en el DSF y el CPMP facultará a FONENERGÍA para realizar descuentos proporcionales en los pagos por administración del AOM al Agente Implementador.</w:t>
      </w:r>
      <w:commentRangeEnd w:id="265"/>
      <w:r>
        <w:rPr>
          <w:rStyle w:val="Refdecomentario"/>
          <w:rFonts w:ascii="Arial" w:eastAsia="Arial" w:hAnsi="Arial" w:cs="Arial"/>
          <w:sz w:val="24"/>
          <w:szCs w:val="24"/>
          <w:highlight w:val="yellow"/>
          <w:lang w:val="es"/>
        </w:rPr>
        <w:commentReference w:id="265"/>
      </w:r>
    </w:p>
    <w:p w14:paraId="2EC19047" w14:textId="77777777" w:rsidR="002849EC" w:rsidRDefault="002849EC" w:rsidP="002849EC">
      <w:pPr>
        <w:spacing w:after="0"/>
        <w:jc w:val="both"/>
        <w:rPr>
          <w:rFonts w:ascii="Arial" w:eastAsia="Arial" w:hAnsi="Arial" w:cs="Arial"/>
          <w:sz w:val="24"/>
          <w:szCs w:val="24"/>
          <w:highlight w:val="yellow"/>
          <w:lang w:val="es"/>
        </w:rPr>
      </w:pPr>
    </w:p>
    <w:p w14:paraId="3250DE6E" w14:textId="77777777" w:rsidR="00FE4F70" w:rsidRPr="006E0A33" w:rsidRDefault="00FE4F70" w:rsidP="7969CD65">
      <w:pPr>
        <w:shd w:val="clear" w:color="auto" w:fill="FFFFFF" w:themeFill="background1"/>
        <w:suppressAutoHyphens w:val="0"/>
        <w:spacing w:after="0"/>
        <w:jc w:val="both"/>
        <w:textAlignment w:val="baseline"/>
        <w:rPr>
          <w:rFonts w:ascii="Arial" w:hAnsi="Arial" w:cs="Arial"/>
          <w:sz w:val="24"/>
          <w:szCs w:val="24"/>
        </w:rPr>
      </w:pPr>
    </w:p>
    <w:p w14:paraId="32DDAA23" w14:textId="77777777" w:rsidR="00070C42" w:rsidRPr="00FA6DE4" w:rsidRDefault="00070C42" w:rsidP="00FA6DE4">
      <w:pPr>
        <w:shd w:val="clear" w:color="auto" w:fill="FFFFFF"/>
        <w:suppressAutoHyphens w:val="0"/>
        <w:spacing w:after="0"/>
        <w:jc w:val="both"/>
        <w:textAlignment w:val="baseline"/>
        <w:rPr>
          <w:rFonts w:ascii="Arial" w:hAnsi="Arial" w:cs="Arial"/>
          <w:b/>
          <w:bCs/>
          <w:sz w:val="24"/>
          <w:szCs w:val="24"/>
        </w:rPr>
      </w:pPr>
    </w:p>
    <w:tbl>
      <w:tblPr>
        <w:tblStyle w:val="Tablaconcuadrcula"/>
        <w:tblW w:w="0" w:type="auto"/>
        <w:tblLook w:val="04A0" w:firstRow="1" w:lastRow="0" w:firstColumn="1" w:lastColumn="0" w:noHBand="0" w:noVBand="1"/>
      </w:tblPr>
      <w:tblGrid>
        <w:gridCol w:w="3131"/>
        <w:gridCol w:w="3131"/>
        <w:gridCol w:w="3132"/>
      </w:tblGrid>
      <w:tr w:rsidR="00695553" w:rsidRPr="00C63186" w14:paraId="0C3125E9" w14:textId="77777777" w:rsidTr="5AB7284D">
        <w:tc>
          <w:tcPr>
            <w:tcW w:w="3131" w:type="dxa"/>
          </w:tcPr>
          <w:p w14:paraId="6B4DBF6F" w14:textId="77777777"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t>Elaborado por:</w:t>
            </w:r>
          </w:p>
        </w:tc>
        <w:tc>
          <w:tcPr>
            <w:tcW w:w="3131" w:type="dxa"/>
          </w:tcPr>
          <w:p w14:paraId="20B5FF29" w14:textId="77777777"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t>Revisado por:</w:t>
            </w:r>
          </w:p>
        </w:tc>
        <w:tc>
          <w:tcPr>
            <w:tcW w:w="3132" w:type="dxa"/>
          </w:tcPr>
          <w:p w14:paraId="010A88DD" w14:textId="77777777"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t>Aprobado por:</w:t>
            </w:r>
          </w:p>
        </w:tc>
      </w:tr>
      <w:tr w:rsidR="00695553" w:rsidRPr="00C63186" w14:paraId="3CB7C4EB" w14:textId="77777777" w:rsidTr="5AB7284D">
        <w:tc>
          <w:tcPr>
            <w:tcW w:w="3131" w:type="dxa"/>
          </w:tcPr>
          <w:p w14:paraId="548801C9"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sz w:val="20"/>
                <w:szCs w:val="20"/>
                <w:lang w:eastAsia="es-CO"/>
              </w:rPr>
              <w:t>Belfredi Prieto Osorno (Parámetros – Coordinación general)</w:t>
            </w:r>
          </w:p>
          <w:p w14:paraId="00B94C76" w14:textId="77777777"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lastRenderedPageBreak/>
              <w:t>Secretaría General MME</w:t>
            </w:r>
          </w:p>
        </w:tc>
        <w:tc>
          <w:tcPr>
            <w:tcW w:w="3131" w:type="dxa"/>
          </w:tcPr>
          <w:p w14:paraId="5FB6EAC9"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sz w:val="20"/>
                <w:szCs w:val="20"/>
                <w:lang w:eastAsia="es-CO"/>
              </w:rPr>
              <w:lastRenderedPageBreak/>
              <w:t>Belfredi Prieto Osorno</w:t>
            </w:r>
          </w:p>
          <w:p w14:paraId="075A0966"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sz w:val="20"/>
                <w:szCs w:val="20"/>
                <w:lang w:eastAsia="es-CO"/>
              </w:rPr>
              <w:t>Profesional Especializado</w:t>
            </w:r>
          </w:p>
          <w:p w14:paraId="24274DF8" w14:textId="77777777"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t>Secretaría General</w:t>
            </w:r>
          </w:p>
        </w:tc>
        <w:tc>
          <w:tcPr>
            <w:tcW w:w="3132" w:type="dxa"/>
          </w:tcPr>
          <w:p w14:paraId="42291281" w14:textId="32712DAB" w:rsidR="00695553" w:rsidRPr="00C63186" w:rsidRDefault="00E00655" w:rsidP="008E39FD">
            <w:pPr>
              <w:suppressAutoHyphens w:val="0"/>
              <w:spacing w:after="0"/>
              <w:jc w:val="both"/>
              <w:textAlignment w:val="baseline"/>
              <w:rPr>
                <w:rFonts w:ascii="Arial" w:eastAsia="Times New Roman" w:hAnsi="Arial" w:cs="Arial"/>
                <w:b/>
                <w:bCs/>
                <w:sz w:val="20"/>
                <w:szCs w:val="20"/>
                <w:lang w:eastAsia="es-CO"/>
              </w:rPr>
            </w:pPr>
            <w:r w:rsidRPr="00695553">
              <w:rPr>
                <w:rFonts w:ascii="Arial" w:eastAsia="Times New Roman" w:hAnsi="Arial" w:cs="Arial"/>
                <w:sz w:val="20"/>
                <w:szCs w:val="20"/>
                <w:lang w:eastAsia="es-CO"/>
              </w:rPr>
              <w:t>Elkin Leonardo Pérez Zambrano</w:t>
            </w:r>
            <w:r>
              <w:rPr>
                <w:rFonts w:ascii="Arial" w:eastAsia="Times New Roman" w:hAnsi="Arial" w:cs="Arial"/>
                <w:sz w:val="20"/>
                <w:szCs w:val="20"/>
                <w:lang w:eastAsia="es-CO"/>
              </w:rPr>
              <w:t xml:space="preserve"> </w:t>
            </w:r>
            <w:r w:rsidRPr="00C63186">
              <w:rPr>
                <w:rFonts w:ascii="Arial" w:eastAsia="Times New Roman" w:hAnsi="Arial" w:cs="Arial"/>
                <w:b/>
                <w:bCs/>
                <w:sz w:val="20"/>
                <w:szCs w:val="20"/>
                <w:lang w:eastAsia="es-CO"/>
              </w:rPr>
              <w:t>Secretario General</w:t>
            </w:r>
          </w:p>
        </w:tc>
      </w:tr>
      <w:tr w:rsidR="00695553" w:rsidRPr="00C63186" w14:paraId="2390AB01" w14:textId="77777777" w:rsidTr="5AB7284D">
        <w:tc>
          <w:tcPr>
            <w:tcW w:w="3131" w:type="dxa"/>
          </w:tcPr>
          <w:p w14:paraId="710A2DFB" w14:textId="724B268E" w:rsidR="00695553" w:rsidRPr="00B03685" w:rsidRDefault="00317710" w:rsidP="008E39FD">
            <w:pPr>
              <w:suppressAutoHyphens w:val="0"/>
              <w:spacing w:after="0"/>
              <w:jc w:val="both"/>
              <w:textAlignment w:val="baseline"/>
              <w:rPr>
                <w:rFonts w:ascii="Arial" w:eastAsia="Times New Roman" w:hAnsi="Arial" w:cs="Arial"/>
                <w:sz w:val="20"/>
                <w:szCs w:val="20"/>
                <w:lang w:val="pt-PT" w:eastAsia="es-CO"/>
              </w:rPr>
            </w:pPr>
            <w:r w:rsidRPr="00B03685">
              <w:rPr>
                <w:rFonts w:ascii="Arial" w:eastAsia="Times New Roman" w:hAnsi="Arial" w:cs="Arial"/>
                <w:sz w:val="20"/>
                <w:szCs w:val="20"/>
                <w:lang w:val="pt-PT" w:eastAsia="es-CO"/>
              </w:rPr>
              <w:t>Omar Carmona Arias, Eddy Augusto Romero Garzón</w:t>
            </w:r>
            <w:r w:rsidR="00DB324F" w:rsidRPr="00B03685">
              <w:rPr>
                <w:rFonts w:ascii="Arial" w:eastAsia="Times New Roman" w:hAnsi="Arial" w:cs="Arial"/>
                <w:sz w:val="20"/>
                <w:szCs w:val="20"/>
                <w:lang w:val="pt-PT" w:eastAsia="es-CO"/>
              </w:rPr>
              <w:t xml:space="preserve">, </w:t>
            </w:r>
            <w:r w:rsidR="00695553" w:rsidRPr="00B03685">
              <w:rPr>
                <w:rFonts w:ascii="Arial" w:eastAsia="Times New Roman" w:hAnsi="Arial" w:cs="Arial"/>
                <w:sz w:val="20"/>
                <w:szCs w:val="20"/>
                <w:lang w:val="pt-PT" w:eastAsia="es-CO"/>
              </w:rPr>
              <w:t>William Alexander Cardona Díaz (recursos financieros)</w:t>
            </w:r>
          </w:p>
          <w:p w14:paraId="39B10674" w14:textId="2CFAF45A" w:rsidR="00045497" w:rsidRPr="00045497" w:rsidRDefault="00045497" w:rsidP="008E39FD">
            <w:pPr>
              <w:suppressAutoHyphens w:val="0"/>
              <w:spacing w:after="0"/>
              <w:jc w:val="both"/>
              <w:textAlignment w:val="baseline"/>
              <w:rPr>
                <w:rFonts w:ascii="Arial" w:eastAsia="Times New Roman" w:hAnsi="Arial" w:cs="Arial"/>
                <w:sz w:val="20"/>
                <w:szCs w:val="20"/>
                <w:lang w:eastAsia="es-CO"/>
              </w:rPr>
            </w:pPr>
            <w:r w:rsidRPr="00045497">
              <w:rPr>
                <w:rFonts w:ascii="Arial" w:eastAsia="Times New Roman" w:hAnsi="Arial" w:cs="Arial"/>
                <w:sz w:val="20"/>
                <w:szCs w:val="20"/>
                <w:lang w:eastAsia="es-CO"/>
              </w:rPr>
              <w:t>Cl</w:t>
            </w:r>
            <w:r>
              <w:rPr>
                <w:rFonts w:ascii="Arial" w:eastAsia="Times New Roman" w:hAnsi="Arial" w:cs="Arial"/>
                <w:sz w:val="20"/>
                <w:szCs w:val="20"/>
                <w:lang w:eastAsia="es-CO"/>
              </w:rPr>
              <w:t>audia</w:t>
            </w:r>
          </w:p>
          <w:p w14:paraId="3809B17D" w14:textId="3CF0781C" w:rsidR="00702418" w:rsidRPr="00045497" w:rsidRDefault="00702418" w:rsidP="008E39FD">
            <w:pPr>
              <w:suppressAutoHyphens w:val="0"/>
              <w:spacing w:after="0"/>
              <w:jc w:val="both"/>
              <w:textAlignment w:val="baseline"/>
              <w:rPr>
                <w:rFonts w:ascii="Arial" w:eastAsia="Times New Roman" w:hAnsi="Arial" w:cs="Arial"/>
                <w:sz w:val="20"/>
                <w:szCs w:val="20"/>
                <w:lang w:eastAsia="es-CO"/>
              </w:rPr>
            </w:pPr>
            <w:r>
              <w:rPr>
                <w:rFonts w:ascii="Arial" w:eastAsia="Times New Roman" w:hAnsi="Arial" w:cs="Arial"/>
                <w:sz w:val="20"/>
                <w:szCs w:val="20"/>
                <w:lang w:eastAsia="es-CO"/>
              </w:rPr>
              <w:t xml:space="preserve">(Grupo </w:t>
            </w:r>
            <w:r w:rsidR="003D6140">
              <w:rPr>
                <w:rFonts w:ascii="Arial" w:eastAsia="Times New Roman" w:hAnsi="Arial" w:cs="Arial"/>
                <w:sz w:val="20"/>
                <w:szCs w:val="20"/>
                <w:lang w:eastAsia="es-CO"/>
              </w:rPr>
              <w:t>Gestión Contractual</w:t>
            </w:r>
            <w:r>
              <w:rPr>
                <w:rFonts w:ascii="Arial" w:eastAsia="Times New Roman" w:hAnsi="Arial" w:cs="Arial"/>
                <w:sz w:val="20"/>
                <w:szCs w:val="20"/>
                <w:lang w:eastAsia="es-CO"/>
              </w:rPr>
              <w:t>)</w:t>
            </w:r>
          </w:p>
          <w:p w14:paraId="2E92E262"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b/>
                <w:bCs/>
                <w:sz w:val="20"/>
                <w:szCs w:val="20"/>
                <w:lang w:eastAsia="es-CO"/>
              </w:rPr>
              <w:t>Subdirección Administrativa-Financiera MME</w:t>
            </w:r>
            <w:r w:rsidRPr="00C63186">
              <w:rPr>
                <w:rFonts w:ascii="Arial" w:eastAsia="Times New Roman" w:hAnsi="Arial" w:cs="Arial"/>
                <w:sz w:val="20"/>
                <w:szCs w:val="20"/>
                <w:lang w:eastAsia="es-CO"/>
              </w:rPr>
              <w:t xml:space="preserve"> </w:t>
            </w:r>
          </w:p>
        </w:tc>
        <w:tc>
          <w:tcPr>
            <w:tcW w:w="3131" w:type="dxa"/>
          </w:tcPr>
          <w:p w14:paraId="5403882A"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p>
        </w:tc>
        <w:tc>
          <w:tcPr>
            <w:tcW w:w="3132" w:type="dxa"/>
          </w:tcPr>
          <w:p w14:paraId="568ABD65" w14:textId="6F400298"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p>
        </w:tc>
      </w:tr>
      <w:tr w:rsidR="00695553" w:rsidRPr="00695553" w14:paraId="689F978E" w14:textId="77777777" w:rsidTr="5AB7284D">
        <w:tc>
          <w:tcPr>
            <w:tcW w:w="3131" w:type="dxa"/>
          </w:tcPr>
          <w:p w14:paraId="7FFCFAA2"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sz w:val="20"/>
                <w:szCs w:val="20"/>
                <w:lang w:eastAsia="es-CO"/>
              </w:rPr>
              <w:t>Gustavo Adolfo Montero Guzman-David Felipe Hernández Taborda (FECFGN-GLP)</w:t>
            </w:r>
          </w:p>
          <w:p w14:paraId="2439E34E" w14:textId="5FF9B5AC" w:rsidR="000735A2" w:rsidRPr="00C63186" w:rsidRDefault="000735A2" w:rsidP="008E39FD">
            <w:pPr>
              <w:suppressAutoHyphens w:val="0"/>
              <w:spacing w:after="0"/>
              <w:jc w:val="both"/>
              <w:textAlignment w:val="baseline"/>
              <w:rPr>
                <w:rFonts w:ascii="Arial" w:eastAsia="Times New Roman" w:hAnsi="Arial" w:cs="Arial"/>
                <w:sz w:val="20"/>
                <w:szCs w:val="20"/>
                <w:lang w:eastAsia="es-CO"/>
              </w:rPr>
            </w:pPr>
            <w:r>
              <w:rPr>
                <w:rFonts w:ascii="Arial" w:eastAsia="Times New Roman" w:hAnsi="Arial" w:cs="Arial"/>
                <w:sz w:val="20"/>
                <w:szCs w:val="20"/>
                <w:lang w:eastAsia="es-CO"/>
              </w:rPr>
              <w:t>Claudia</w:t>
            </w:r>
          </w:p>
          <w:p w14:paraId="27281EAD" w14:textId="77777777" w:rsidR="00695553" w:rsidRPr="00C63186"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t>Dirección Hidrocarburos</w:t>
            </w:r>
          </w:p>
        </w:tc>
        <w:tc>
          <w:tcPr>
            <w:tcW w:w="3131" w:type="dxa"/>
          </w:tcPr>
          <w:p w14:paraId="492D9635"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p>
        </w:tc>
        <w:tc>
          <w:tcPr>
            <w:tcW w:w="3132" w:type="dxa"/>
          </w:tcPr>
          <w:p w14:paraId="05B067E0" w14:textId="77777777" w:rsidR="006A6987" w:rsidRPr="00C63186" w:rsidRDefault="006A6987" w:rsidP="006A6987">
            <w:pPr>
              <w:suppressAutoHyphens w:val="0"/>
              <w:spacing w:after="0"/>
              <w:jc w:val="both"/>
              <w:textAlignment w:val="baseline"/>
              <w:rPr>
                <w:rFonts w:ascii="Arial" w:eastAsia="Times New Roman" w:hAnsi="Arial" w:cs="Arial"/>
                <w:sz w:val="20"/>
                <w:szCs w:val="20"/>
                <w:lang w:eastAsia="es-CO"/>
              </w:rPr>
            </w:pPr>
            <w:r w:rsidRPr="5AB7284D">
              <w:rPr>
                <w:rFonts w:ascii="Arial" w:eastAsia="Times New Roman" w:hAnsi="Arial" w:cs="Arial"/>
                <w:sz w:val="20"/>
                <w:szCs w:val="20"/>
                <w:lang w:eastAsia="es-CO"/>
              </w:rPr>
              <w:t>Julián Flórez Quiroga</w:t>
            </w:r>
          </w:p>
          <w:p w14:paraId="2A9D1E49" w14:textId="5B8DAA28" w:rsidR="00695553" w:rsidRPr="00695553" w:rsidRDefault="006A6987" w:rsidP="008E39FD">
            <w:pPr>
              <w:suppressAutoHyphens w:val="0"/>
              <w:spacing w:after="0"/>
              <w:jc w:val="both"/>
              <w:textAlignment w:val="baseline"/>
              <w:rPr>
                <w:rFonts w:ascii="Arial" w:eastAsia="Times New Roman" w:hAnsi="Arial" w:cs="Arial"/>
                <w:b/>
                <w:bCs/>
                <w:sz w:val="20"/>
                <w:szCs w:val="20"/>
                <w:lang w:val="sv-SE" w:eastAsia="es-CO"/>
              </w:rPr>
            </w:pPr>
            <w:r w:rsidRPr="00C63186">
              <w:rPr>
                <w:rFonts w:ascii="Arial" w:eastAsia="Times New Roman" w:hAnsi="Arial" w:cs="Arial"/>
                <w:b/>
                <w:bCs/>
                <w:sz w:val="20"/>
                <w:szCs w:val="20"/>
                <w:lang w:eastAsia="es-CO"/>
              </w:rPr>
              <w:t>Director Hidrocarburos</w:t>
            </w:r>
          </w:p>
        </w:tc>
      </w:tr>
      <w:tr w:rsidR="00695553" w:rsidRPr="006755AD" w14:paraId="6EAD8E1A" w14:textId="77777777" w:rsidTr="5AB7284D">
        <w:tc>
          <w:tcPr>
            <w:tcW w:w="3131" w:type="dxa"/>
          </w:tcPr>
          <w:p w14:paraId="4D8615E6"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sz w:val="20"/>
                <w:szCs w:val="20"/>
                <w:lang w:eastAsia="es-CO"/>
              </w:rPr>
              <w:t>Eulogio Solarte (normalización redes)</w:t>
            </w:r>
          </w:p>
          <w:p w14:paraId="3ADFA03D" w14:textId="77777777" w:rsidR="00695553" w:rsidRDefault="00695553" w:rsidP="008E39FD">
            <w:pPr>
              <w:suppressAutoHyphens w:val="0"/>
              <w:spacing w:after="0"/>
              <w:jc w:val="both"/>
              <w:textAlignment w:val="baseline"/>
              <w:rPr>
                <w:rFonts w:ascii="Arial" w:eastAsia="Times New Roman" w:hAnsi="Arial" w:cs="Arial"/>
                <w:b/>
                <w:bCs/>
                <w:sz w:val="20"/>
                <w:szCs w:val="20"/>
                <w:lang w:eastAsia="es-CO"/>
              </w:rPr>
            </w:pPr>
            <w:r w:rsidRPr="00C63186">
              <w:rPr>
                <w:rFonts w:ascii="Arial" w:eastAsia="Times New Roman" w:hAnsi="Arial" w:cs="Arial"/>
                <w:b/>
                <w:bCs/>
                <w:sz w:val="20"/>
                <w:szCs w:val="20"/>
                <w:lang w:eastAsia="es-CO"/>
              </w:rPr>
              <w:t>Oficina Asuntos Regulatorios y Empresariales-OARE</w:t>
            </w:r>
          </w:p>
          <w:p w14:paraId="2C03074D" w14:textId="448EAB25" w:rsidR="00695553" w:rsidRPr="00B75D96" w:rsidRDefault="003F2AB1" w:rsidP="008E39FD">
            <w:pPr>
              <w:suppressAutoHyphens w:val="0"/>
              <w:spacing w:after="0"/>
              <w:jc w:val="both"/>
              <w:textAlignment w:val="baseline"/>
              <w:rPr>
                <w:rFonts w:ascii="Arial" w:eastAsia="Times New Roman" w:hAnsi="Arial" w:cs="Arial"/>
                <w:sz w:val="20"/>
                <w:szCs w:val="20"/>
                <w:lang w:eastAsia="es-CO"/>
              </w:rPr>
            </w:pPr>
            <w:r w:rsidRPr="00B75D96">
              <w:rPr>
                <w:rFonts w:ascii="Arial" w:eastAsia="Times New Roman" w:hAnsi="Arial" w:cs="Arial"/>
                <w:sz w:val="20"/>
                <w:szCs w:val="20"/>
                <w:lang w:eastAsia="es-CO"/>
              </w:rPr>
              <w:t>Martha</w:t>
            </w:r>
            <w:r w:rsidR="00B75D96">
              <w:rPr>
                <w:rFonts w:ascii="Arial" w:eastAsia="Times New Roman" w:hAnsi="Arial" w:cs="Arial"/>
                <w:sz w:val="20"/>
                <w:szCs w:val="20"/>
                <w:lang w:eastAsia="es-CO"/>
              </w:rPr>
              <w:t xml:space="preserve"> </w:t>
            </w:r>
            <w:r w:rsidR="005539A9">
              <w:rPr>
                <w:rFonts w:ascii="Arial" w:eastAsia="Times New Roman" w:hAnsi="Arial" w:cs="Arial"/>
                <w:sz w:val="20"/>
                <w:szCs w:val="20"/>
                <w:lang w:eastAsia="es-CO"/>
              </w:rPr>
              <w:t>Barreto</w:t>
            </w:r>
          </w:p>
        </w:tc>
        <w:tc>
          <w:tcPr>
            <w:tcW w:w="3131" w:type="dxa"/>
          </w:tcPr>
          <w:p w14:paraId="0B3BDA49" w14:textId="77777777" w:rsidR="00695553" w:rsidRPr="00C63186" w:rsidRDefault="00695553" w:rsidP="008E39FD">
            <w:pPr>
              <w:suppressAutoHyphens w:val="0"/>
              <w:spacing w:after="0"/>
              <w:jc w:val="both"/>
              <w:textAlignment w:val="baseline"/>
              <w:rPr>
                <w:rFonts w:ascii="Arial" w:eastAsia="Times New Roman" w:hAnsi="Arial" w:cs="Arial"/>
                <w:sz w:val="20"/>
                <w:szCs w:val="20"/>
                <w:lang w:eastAsia="es-CO"/>
              </w:rPr>
            </w:pPr>
          </w:p>
        </w:tc>
        <w:tc>
          <w:tcPr>
            <w:tcW w:w="3132" w:type="dxa"/>
          </w:tcPr>
          <w:p w14:paraId="1272F407" w14:textId="77777777" w:rsidR="00594141" w:rsidRDefault="00594141" w:rsidP="008E39FD">
            <w:pPr>
              <w:suppressAutoHyphens w:val="0"/>
              <w:spacing w:after="0"/>
              <w:jc w:val="both"/>
              <w:textAlignment w:val="baseline"/>
              <w:rPr>
                <w:rFonts w:ascii="Arial" w:eastAsia="Times New Roman" w:hAnsi="Arial" w:cs="Arial"/>
                <w:b/>
                <w:bCs/>
                <w:sz w:val="20"/>
                <w:szCs w:val="20"/>
                <w:lang w:eastAsia="es-CO"/>
              </w:rPr>
            </w:pPr>
          </w:p>
          <w:p w14:paraId="1D054826" w14:textId="45A628AB" w:rsidR="00695553" w:rsidRPr="006755AD" w:rsidRDefault="006A6987" w:rsidP="008E39FD">
            <w:pPr>
              <w:suppressAutoHyphens w:val="0"/>
              <w:spacing w:after="0"/>
              <w:jc w:val="both"/>
              <w:textAlignment w:val="baseline"/>
              <w:rPr>
                <w:rFonts w:ascii="Arial" w:eastAsia="Times New Roman" w:hAnsi="Arial" w:cs="Arial"/>
                <w:sz w:val="20"/>
                <w:szCs w:val="20"/>
                <w:lang w:eastAsia="es-CO"/>
              </w:rPr>
            </w:pPr>
            <w:r w:rsidRPr="00C63186">
              <w:rPr>
                <w:rFonts w:ascii="Arial" w:eastAsia="Times New Roman" w:hAnsi="Arial" w:cs="Arial"/>
                <w:b/>
                <w:bCs/>
                <w:sz w:val="20"/>
                <w:szCs w:val="20"/>
                <w:lang w:eastAsia="es-CO"/>
              </w:rPr>
              <w:t>Director Energía Eléctrica</w:t>
            </w:r>
          </w:p>
        </w:tc>
      </w:tr>
      <w:tr w:rsidR="00695553" w:rsidRPr="006755AD" w14:paraId="140C496F" w14:textId="77777777" w:rsidTr="5AB7284D">
        <w:tc>
          <w:tcPr>
            <w:tcW w:w="3131" w:type="dxa"/>
          </w:tcPr>
          <w:p w14:paraId="13317369" w14:textId="77777777" w:rsidR="00695553" w:rsidRPr="006755AD" w:rsidRDefault="00695553" w:rsidP="008E39FD">
            <w:pPr>
              <w:suppressAutoHyphens w:val="0"/>
              <w:spacing w:after="0"/>
              <w:jc w:val="both"/>
              <w:textAlignment w:val="baseline"/>
              <w:rPr>
                <w:rFonts w:ascii="Arial" w:eastAsia="Times New Roman" w:hAnsi="Arial" w:cs="Arial"/>
                <w:sz w:val="20"/>
                <w:szCs w:val="20"/>
                <w:lang w:eastAsia="es-CO"/>
              </w:rPr>
            </w:pPr>
          </w:p>
        </w:tc>
        <w:tc>
          <w:tcPr>
            <w:tcW w:w="3131" w:type="dxa"/>
          </w:tcPr>
          <w:p w14:paraId="6B252F46" w14:textId="77777777" w:rsidR="00695553" w:rsidRPr="006755AD" w:rsidRDefault="00695553" w:rsidP="008E39FD">
            <w:pPr>
              <w:suppressAutoHyphens w:val="0"/>
              <w:spacing w:after="0"/>
              <w:jc w:val="both"/>
              <w:textAlignment w:val="baseline"/>
              <w:rPr>
                <w:rFonts w:ascii="Arial" w:eastAsia="Times New Roman" w:hAnsi="Arial" w:cs="Arial"/>
                <w:sz w:val="20"/>
                <w:szCs w:val="20"/>
                <w:lang w:eastAsia="es-CO"/>
              </w:rPr>
            </w:pPr>
          </w:p>
        </w:tc>
        <w:tc>
          <w:tcPr>
            <w:tcW w:w="3132" w:type="dxa"/>
          </w:tcPr>
          <w:p w14:paraId="0C93901C" w14:textId="77777777" w:rsidR="00695553" w:rsidRPr="006755AD" w:rsidRDefault="00695553" w:rsidP="008E39FD">
            <w:pPr>
              <w:suppressAutoHyphens w:val="0"/>
              <w:spacing w:after="0"/>
              <w:jc w:val="both"/>
              <w:textAlignment w:val="baseline"/>
              <w:rPr>
                <w:rFonts w:ascii="Arial" w:eastAsia="Times New Roman" w:hAnsi="Arial" w:cs="Arial"/>
                <w:sz w:val="20"/>
                <w:szCs w:val="20"/>
                <w:lang w:eastAsia="es-CO"/>
              </w:rPr>
            </w:pPr>
          </w:p>
        </w:tc>
      </w:tr>
    </w:tbl>
    <w:p w14:paraId="06B866D5" w14:textId="77777777" w:rsidR="00695553" w:rsidRPr="000F2C0D" w:rsidRDefault="00695553" w:rsidP="008E39FD">
      <w:pPr>
        <w:jc w:val="both"/>
        <w:rPr>
          <w:rFonts w:ascii="Arial" w:hAnsi="Arial" w:cs="Arial"/>
          <w:sz w:val="24"/>
          <w:szCs w:val="24"/>
        </w:rPr>
      </w:pPr>
    </w:p>
    <w:sectPr w:rsidR="00695553" w:rsidRPr="000F2C0D" w:rsidSect="004E3B38">
      <w:headerReference w:type="default" r:id="rId42"/>
      <w:footerReference w:type="default" r:id="rId43"/>
      <w:pgSz w:w="12240" w:h="20160" w:code="5"/>
      <w:pgMar w:top="1991" w:right="1418" w:bottom="1588" w:left="1418" w:header="573" w:footer="1531" w:gutter="0"/>
      <w:cols w:space="720"/>
      <w:formProt w:val="0"/>
      <w:docGrid w:linePitch="36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 w:author="CLAUDIA ESPERANZA GARZON ESCOBAR" w:date="2026-03-31T11:00:00Z" w:initials="CG">
    <w:p w14:paraId="53078A22" w14:textId="77777777" w:rsidR="003B2CF6" w:rsidRDefault="003B2CF6" w:rsidP="00F22DBD">
      <w:pPr>
        <w:pStyle w:val="Textocomentario"/>
      </w:pPr>
      <w:r>
        <w:rPr>
          <w:rStyle w:val="Refdecomentario"/>
        </w:rPr>
        <w:annotationRef/>
      </w:r>
      <w:r>
        <w:t>Se pagarán únicamente los estudios que adelante el Fonenergía para la estructuración de proyectos.</w:t>
      </w:r>
    </w:p>
  </w:comment>
  <w:comment w:id="85" w:author="BELFREDI PRIETO OSORNO" w:date="2026-04-01T08:18:00Z" w:initials="BP">
    <w:p w14:paraId="397E0A39" w14:textId="77777777" w:rsidR="00621630" w:rsidRDefault="00621630" w:rsidP="00621630">
      <w:pPr>
        <w:pStyle w:val="Textocomentario"/>
      </w:pPr>
      <w:r>
        <w:rPr>
          <w:rStyle w:val="Refdecomentario"/>
        </w:rPr>
        <w:annotationRef/>
      </w:r>
      <w:r>
        <w:t>Claudia: Eliminaron “centro poblado”. Eso quiere decir que se refiere a las cabeceras municipales y su zona rural, así ésta última no sea centro poblado ?</w:t>
      </w:r>
    </w:p>
  </w:comment>
  <w:comment w:id="93" w:author="BELFREDI PRIETO OSORNO" w:date="2026-04-01T09:02:00Z" w:initials="BP">
    <w:p w14:paraId="5D473AC8" w14:textId="77777777" w:rsidR="00B56C62" w:rsidRDefault="00B56C62" w:rsidP="00B56C62">
      <w:pPr>
        <w:pStyle w:val="Textocomentario"/>
      </w:pPr>
      <w:r>
        <w:rPr>
          <w:rStyle w:val="Refdecomentario"/>
        </w:rPr>
        <w:annotationRef/>
      </w:r>
      <w:r>
        <w:t xml:space="preserve">Claudia: Fonenergía está sujeto a las disposiciones del Estatuto Orgánico de Presupuesto. Cómo queda aquí la aplicación del principio de anualidad presupuestal? En qué momento se va a ejecutar (asignar recursos y contratar). </w:t>
      </w:r>
    </w:p>
  </w:comment>
  <w:comment w:id="136" w:author="BELFREDI PRIETO OSORNO" w:date="2026-04-01T10:56:00Z" w:initials="BP">
    <w:p w14:paraId="0885BD41" w14:textId="77777777" w:rsidR="00672A12" w:rsidRDefault="00672A12" w:rsidP="00672A12">
      <w:pPr>
        <w:pStyle w:val="Textocomentario"/>
      </w:pPr>
      <w:r>
        <w:rPr>
          <w:rStyle w:val="Refdecomentario"/>
        </w:rPr>
        <w:annotationRef/>
      </w:r>
      <w:r>
        <w:t>Laura: Esto es lo mismo que se menciona en el numeral 5 siguiente? Se pueden fusionar?</w:t>
      </w:r>
    </w:p>
  </w:comment>
  <w:comment w:id="137" w:author="LAURA ISABEL BARACALDO CALDERON" w:date="2026-03-31T09:21:00Z" w:initials="LB">
    <w:p w14:paraId="38351656" w14:textId="77777777" w:rsidR="000E7C59" w:rsidRDefault="000E7C59" w:rsidP="000E7C59">
      <w:pPr>
        <w:pStyle w:val="Textocomentario"/>
      </w:pPr>
      <w:r>
        <w:rPr>
          <w:rStyle w:val="Refdecomentario"/>
        </w:rPr>
        <w:annotationRef/>
      </w:r>
      <w:r>
        <w:t>Consideramos eliminar este requisito</w:t>
      </w:r>
    </w:p>
  </w:comment>
  <w:comment w:id="138" w:author="LAURA ISABEL BARACALDO CALDERON" w:date="2026-03-31T11:42:00Z" w:initials="LB">
    <w:p w14:paraId="76C6ED5C" w14:textId="77777777" w:rsidR="000629F6" w:rsidRDefault="000629F6" w:rsidP="000629F6">
      <w:pPr>
        <w:pStyle w:val="Textocomentario"/>
      </w:pPr>
      <w:r>
        <w:rPr>
          <w:rStyle w:val="Refdecomentario"/>
        </w:rPr>
        <w:annotationRef/>
      </w:r>
      <w:r>
        <w:t>Quedamos aquí.</w:t>
      </w:r>
    </w:p>
  </w:comment>
  <w:comment w:id="255" w:author="LAURA ISABEL BARACALDO CALDERON" w:date="2026-03-30T08:45:00Z" w:initials="LB">
    <w:p w14:paraId="5B240861" w14:textId="77777777" w:rsidR="00D1685A" w:rsidRDefault="00D1685A" w:rsidP="007228D8">
      <w:pPr>
        <w:pStyle w:val="Textocomentario"/>
      </w:pPr>
      <w:r>
        <w:rPr>
          <w:rStyle w:val="Refdecomentario"/>
        </w:rPr>
        <w:annotationRef/>
      </w:r>
      <w:r>
        <w:t>Colocar pie de pagina</w:t>
      </w:r>
    </w:p>
  </w:comment>
  <w:comment w:id="258" w:author="BELFREDI PRIETO OSORNO" w:date="2026-03-31T05:42:00Z" w:initials="BP">
    <w:p w14:paraId="098EDE1F" w14:textId="77777777" w:rsidR="00242444" w:rsidRDefault="00242444" w:rsidP="00242444">
      <w:pPr>
        <w:pStyle w:val="Textocomentario"/>
      </w:pPr>
      <w:r>
        <w:rPr>
          <w:rStyle w:val="Refdecomentario"/>
        </w:rPr>
        <w:annotationRef/>
      </w:r>
      <w:r>
        <w:t>Para darle autonomía al Manual se deben mencionar directamente los objetivos y no remitir a la consulta de la norma</w:t>
      </w:r>
    </w:p>
  </w:comment>
  <w:comment w:id="259" w:author="BELFREDI PRIETO OSORNO" w:date="2026-03-31T06:58:00Z" w:initials="BP">
    <w:p w14:paraId="0E7EBB1C" w14:textId="77777777" w:rsidR="00EC7B90" w:rsidRDefault="0040404A" w:rsidP="00EC7B90">
      <w:pPr>
        <w:pStyle w:val="Textocomentario"/>
      </w:pPr>
      <w:r>
        <w:rPr>
          <w:rStyle w:val="Refdecomentario"/>
        </w:rPr>
        <w:annotationRef/>
      </w:r>
      <w:r w:rsidR="00EC7B90">
        <w:t>Si es anexo debe ir por fuera del documento. Si además, se le da la misma numeración del documento principal NO es anexo</w:t>
      </w:r>
    </w:p>
  </w:comment>
  <w:comment w:id="260" w:author="LARRY PUELLO ORTIZ" w:date="2026-03-28T00:59:00Z" w:initials="LO">
    <w:p w14:paraId="794335B0" w14:textId="77777777" w:rsidR="002849EC" w:rsidRDefault="002849EC" w:rsidP="002849EC">
      <w:pPr>
        <w:pStyle w:val="Textocomentario"/>
      </w:pPr>
      <w:r>
        <w:rPr>
          <w:rStyle w:val="Refdecomentario"/>
        </w:rPr>
        <w:annotationRef/>
      </w:r>
      <w:r w:rsidRPr="3F43F9ED">
        <w:t>Referenciación Normativa UPME</w:t>
      </w:r>
    </w:p>
    <w:p w14:paraId="226F8917" w14:textId="77777777" w:rsidR="002849EC" w:rsidRDefault="002849EC" w:rsidP="002849EC">
      <w:pPr>
        <w:pStyle w:val="Textocomentario"/>
      </w:pPr>
      <w:r w:rsidRPr="060E216B">
        <w:t xml:space="preserve">La normativa que sustenta la medición del recurso solar y los estándares de eficiencia en Colombia está centralizada por la </w:t>
      </w:r>
      <w:r w:rsidRPr="2B6FCDBF">
        <w:rPr>
          <w:b/>
          <w:bCs/>
        </w:rPr>
        <w:t>Unidad de Planeación Minero Energética (UPME)</w:t>
      </w:r>
      <w:r w:rsidRPr="221FD1A5">
        <w:t xml:space="preserve"> y el </w:t>
      </w:r>
      <w:r w:rsidRPr="257A8ED6">
        <w:rPr>
          <w:b/>
          <w:bCs/>
        </w:rPr>
        <w:t>IDEAM</w:t>
      </w:r>
      <w:r w:rsidRPr="4D50B1B2">
        <w:t>.</w:t>
      </w:r>
    </w:p>
    <w:p w14:paraId="2BEAFD6A" w14:textId="77777777" w:rsidR="002849EC" w:rsidRDefault="002849EC" w:rsidP="002849EC">
      <w:pPr>
        <w:pStyle w:val="Textocomentario"/>
      </w:pPr>
      <w:r w:rsidRPr="0126D541">
        <w:t>Marco Normativo Aplicable:</w:t>
      </w:r>
    </w:p>
    <w:p w14:paraId="71089EFA" w14:textId="77777777" w:rsidR="002849EC" w:rsidRDefault="002849EC" w:rsidP="002849EC">
      <w:pPr>
        <w:pStyle w:val="Textocomentario"/>
      </w:pPr>
      <w:r w:rsidRPr="3EDCEC00">
        <w:rPr>
          <w:b/>
          <w:bCs/>
        </w:rPr>
        <w:t>Atlas de Radiación Solar, Ultravioleta y Ozono de Colombia:</w:t>
      </w:r>
      <w:r w:rsidRPr="663F8EA8">
        <w:t xml:space="preserve"> Es el documento técnico oficial para determinar las "Horas sol totales" ($H_{total}$) por municipio.</w:t>
      </w:r>
    </w:p>
    <w:p w14:paraId="72C7C3FE" w14:textId="77777777" w:rsidR="002849EC" w:rsidRDefault="002849EC" w:rsidP="002849EC">
      <w:pPr>
        <w:pStyle w:val="Textocomentario"/>
      </w:pPr>
      <w:r w:rsidRPr="4A00F2F7">
        <w:rPr>
          <w:b/>
          <w:bCs/>
        </w:rPr>
        <w:t>Resolución UPME 0520 de 2024 (y sus actualizaciones):</w:t>
      </w:r>
      <w:r w:rsidRPr="119F3B0B">
        <w:t xml:space="preserve"> Define los requisitos técnicos para la certificación de proyectos de fuentes no convencionales de energía (FNCE).</w:t>
      </w:r>
    </w:p>
    <w:p w14:paraId="74B6EC1E" w14:textId="77777777" w:rsidR="002849EC" w:rsidRDefault="002849EC" w:rsidP="002849EC">
      <w:pPr>
        <w:pStyle w:val="Textocomentario"/>
      </w:pPr>
      <w:r w:rsidRPr="5DD53CE2">
        <w:rPr>
          <w:b/>
          <w:bCs/>
        </w:rPr>
        <w:t>Ley 1715 de 2014:</w:t>
      </w:r>
      <w:r w:rsidRPr="53DBC6FD">
        <w:t xml:space="preserve"> Marco general para la promoción de energías renovables.</w:t>
      </w:r>
    </w:p>
    <w:p w14:paraId="288D3D0D" w14:textId="77777777" w:rsidR="002849EC" w:rsidRDefault="002849EC" w:rsidP="002849EC">
      <w:pPr>
        <w:pStyle w:val="Textocomentario"/>
      </w:pPr>
      <w:r w:rsidRPr="3B1B3991">
        <w:t>Enlaces de Descarga y Consulta:</w:t>
      </w:r>
    </w:p>
    <w:p w14:paraId="4D6BE2D4" w14:textId="77777777" w:rsidR="002849EC" w:rsidRDefault="002849EC" w:rsidP="002849EC">
      <w:pPr>
        <w:pStyle w:val="Textocomentario"/>
      </w:pPr>
      <w:r w:rsidRPr="4E3A1DDE">
        <w:rPr>
          <w:b/>
          <w:bCs/>
        </w:rPr>
        <w:t>Atlas de Radiación Solar (Interactivo):</w:t>
      </w:r>
      <w:r w:rsidRPr="5ABB047E">
        <w:t xml:space="preserve"> </w:t>
      </w:r>
      <w:hyperlink r:id="rId1">
        <w:r w:rsidRPr="4C486281">
          <w:rPr>
            <w:rStyle w:val="Hipervnculo"/>
          </w:rPr>
          <w:t>Enlace al visor geográfico IDEAM/UPME</w:t>
        </w:r>
      </w:hyperlink>
    </w:p>
    <w:p w14:paraId="3EE9C751" w14:textId="77777777" w:rsidR="002849EC" w:rsidRDefault="002849EC" w:rsidP="002849EC">
      <w:pPr>
        <w:pStyle w:val="Textocomentario"/>
      </w:pPr>
      <w:r w:rsidRPr="152B1AB8">
        <w:rPr>
          <w:b/>
          <w:bCs/>
        </w:rPr>
        <w:t>Normatividad UPME - Incentivos y Requisitos Técnicos:</w:t>
      </w:r>
      <w:r w:rsidRPr="5C36DB83">
        <w:t xml:space="preserve"> </w:t>
      </w:r>
      <w:hyperlink r:id="rId2">
        <w:r w:rsidRPr="570E4441">
          <w:rPr>
            <w:rStyle w:val="Hipervnculo"/>
          </w:rPr>
          <w:t>Descarga de Resoluciones UPME</w:t>
        </w:r>
      </w:hyperlink>
    </w:p>
    <w:p w14:paraId="29904246" w14:textId="77777777" w:rsidR="002849EC" w:rsidRDefault="002849EC" w:rsidP="002849EC">
      <w:pPr>
        <w:pStyle w:val="Textocomentario"/>
      </w:pPr>
      <w:r w:rsidRPr="5EA36888">
        <w:rPr>
          <w:b/>
          <w:bCs/>
        </w:rPr>
        <w:t>Documentos Técnicos de Soporte (FNCER):</w:t>
      </w:r>
      <w:r w:rsidRPr="0F38FAE5">
        <w:t xml:space="preserve"> </w:t>
      </w:r>
      <w:hyperlink r:id="rId3">
        <w:r w:rsidRPr="24CCFB23">
          <w:rPr>
            <w:rStyle w:val="Hipervnculo"/>
          </w:rPr>
          <w:t>Portal de Energía UPME</w:t>
        </w:r>
      </w:hyperlink>
    </w:p>
  </w:comment>
  <w:comment w:id="261" w:author="LARRY PUELLO ORTIZ" w:date="2026-03-28T01:01:00Z" w:initials="LO">
    <w:p w14:paraId="1E4B34B9" w14:textId="77777777" w:rsidR="002849EC" w:rsidRDefault="002849EC">
      <w:pPr>
        <w:pStyle w:val="Textocomentario"/>
      </w:pPr>
      <w:r>
        <w:rPr>
          <w:rStyle w:val="Refdecomentario"/>
        </w:rPr>
        <w:annotationRef/>
      </w:r>
      <w:r w:rsidRPr="31530C84">
        <w:t>Para el cálculo, el Agente Implementador deberá tomar como base de comparación los datos de radiación del Atlas UPME/IDEAM vigente al momento de la Puesta en Operación.</w:t>
      </w:r>
    </w:p>
  </w:comment>
  <w:comment w:id="262" w:author="LARRY PUELLO ORTIZ" w:date="2026-03-28T01:02:00Z" w:initials="LO">
    <w:p w14:paraId="46326703" w14:textId="77777777" w:rsidR="002849EC" w:rsidRDefault="002849EC">
      <w:pPr>
        <w:pStyle w:val="Textocomentario"/>
      </w:pPr>
      <w:r>
        <w:rPr>
          <w:rStyle w:val="Refdecomentario"/>
        </w:rPr>
        <w:annotationRef/>
      </w:r>
      <w:r w:rsidRPr="4FFE767E">
        <w:t xml:space="preserve">El AOM debe definir las </w:t>
      </w:r>
      <w:r w:rsidRPr="39FB4E2C">
        <w:rPr>
          <w:b/>
          <w:bCs/>
        </w:rPr>
        <w:t>metas operativas</w:t>
      </w:r>
      <w:r w:rsidRPr="135F7316">
        <w:t xml:space="preserve"> (cuánto se espera alcanzar), considerando las condiciones específicas de la zona.</w:t>
      </w:r>
    </w:p>
  </w:comment>
  <w:comment w:id="263" w:author="LARRY PUELLO ORTIZ" w:date="2026-03-28T01:02:00Z" w:initials="LO">
    <w:p w14:paraId="16A6B4B6" w14:textId="77777777" w:rsidR="002849EC" w:rsidRDefault="002849EC">
      <w:pPr>
        <w:pStyle w:val="Textocomentario"/>
      </w:pPr>
      <w:r>
        <w:rPr>
          <w:rStyle w:val="Refdecomentario"/>
        </w:rPr>
        <w:annotationRef/>
      </w:r>
      <w:r w:rsidRPr="724AC2EA">
        <w:t xml:space="preserve">El AOM debe definir las </w:t>
      </w:r>
      <w:r w:rsidRPr="20527463">
        <w:rPr>
          <w:b/>
          <w:bCs/>
        </w:rPr>
        <w:t>metas operativas</w:t>
      </w:r>
      <w:r w:rsidRPr="32D878A7">
        <w:t xml:space="preserve"> (cuánto se espera alcanzar), considerando las condiciones específicas de la zona.</w:t>
      </w:r>
    </w:p>
  </w:comment>
  <w:comment w:id="264" w:author="LARRY PUELLO ORTIZ" w:date="2026-03-28T01:07:00Z" w:initials="LO">
    <w:p w14:paraId="146F5CB2" w14:textId="77777777" w:rsidR="002849EC" w:rsidRDefault="002849EC" w:rsidP="002849EC">
      <w:pPr>
        <w:pStyle w:val="Textocomentario"/>
      </w:pPr>
      <w:r>
        <w:rPr>
          <w:rStyle w:val="Refdecomentario"/>
        </w:rPr>
        <w:annotationRef/>
      </w:r>
      <w:r w:rsidRPr="5B4E0F67">
        <w:t xml:space="preserve">El cálculo de sostenibilidad del Programa Colombia Solar se basa en que, al año 25, los paneles conserven al menos el </w:t>
      </w:r>
      <w:r w:rsidRPr="633A453C">
        <w:rPr>
          <w:b/>
          <w:bCs/>
        </w:rPr>
        <w:t>80% de su capacidad inicial</w:t>
      </w:r>
      <w:r w:rsidRPr="3DD55FA4">
        <w:t>.</w:t>
      </w:r>
    </w:p>
    <w:p w14:paraId="0F43E372" w14:textId="77777777" w:rsidR="002849EC" w:rsidRDefault="002849EC" w:rsidP="002849EC">
      <w:pPr>
        <w:pStyle w:val="Textocomentario"/>
      </w:pPr>
      <w:r w:rsidRPr="5A4DF266">
        <w:rPr>
          <w:b/>
          <w:bCs/>
        </w:rPr>
        <w:t>Con 0.7% anual:</w:t>
      </w:r>
      <w:r w:rsidRPr="7C6DB08E">
        <w:t xml:space="preserve"> El panel llega al año 25 con un </w:t>
      </w:r>
      <w:r w:rsidRPr="1C3502B6">
        <w:rPr>
          <w:b/>
          <w:bCs/>
        </w:rPr>
        <w:t>82.5%</w:t>
      </w:r>
      <w:r w:rsidRPr="27BB9295">
        <w:t xml:space="preserve"> de eficiencia (Cumple).</w:t>
      </w:r>
    </w:p>
    <w:p w14:paraId="3A794A88" w14:textId="77777777" w:rsidR="002849EC" w:rsidRDefault="002849EC" w:rsidP="002849EC">
      <w:pPr>
        <w:pStyle w:val="Textocomentario"/>
      </w:pPr>
      <w:r w:rsidRPr="0DE5854E">
        <w:rPr>
          <w:b/>
          <w:bCs/>
        </w:rPr>
        <w:t>Si el AOM define un 1% por "zona":</w:t>
      </w:r>
      <w:r w:rsidRPr="62524BF2">
        <w:t xml:space="preserve"> El panel llega al año 25 con un </w:t>
      </w:r>
      <w:r w:rsidRPr="5303C659">
        <w:rPr>
          <w:b/>
          <w:bCs/>
        </w:rPr>
        <w:t>75%</w:t>
      </w:r>
      <w:r w:rsidRPr="26A4B51D">
        <w:t xml:space="preserve"> (El programa fracasa antes de tiempo)</w:t>
      </w:r>
    </w:p>
    <w:p w14:paraId="5A2D0D22" w14:textId="77777777" w:rsidR="002849EC" w:rsidRDefault="002849EC">
      <w:pPr>
        <w:pStyle w:val="Textocomentario"/>
      </w:pPr>
    </w:p>
  </w:comment>
  <w:comment w:id="265" w:author="LARRY PUELLO ORTIZ" w:date="2026-03-28T01:17:00Z" w:initials="LO">
    <w:p w14:paraId="0D5DC75E" w14:textId="77777777" w:rsidR="002849EC" w:rsidRDefault="002849EC">
      <w:pPr>
        <w:pStyle w:val="Textocomentario"/>
      </w:pPr>
      <w:r>
        <w:rPr>
          <w:rStyle w:val="Refdecomentario"/>
        </w:rPr>
        <w:annotationRef/>
      </w:r>
      <w:r w:rsidRPr="7E81D25A">
        <w:t>Debe tener una naturaleza mixta (Legal y Administrativa) dentro del Manual Operativo de FONENERGÍA.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078A22" w15:done="0"/>
  <w15:commentEx w15:paraId="397E0A39" w15:done="0"/>
  <w15:commentEx w15:paraId="5D473AC8" w15:done="0"/>
  <w15:commentEx w15:paraId="0885BD41" w15:done="0"/>
  <w15:commentEx w15:paraId="38351656" w15:done="0"/>
  <w15:commentEx w15:paraId="76C6ED5C" w15:done="0"/>
  <w15:commentEx w15:paraId="5B240861" w15:done="0"/>
  <w15:commentEx w15:paraId="098EDE1F" w15:done="0"/>
  <w15:commentEx w15:paraId="0E7EBB1C" w15:done="0"/>
  <w15:commentEx w15:paraId="29904246" w15:done="0"/>
  <w15:commentEx w15:paraId="1E4B34B9" w15:done="0"/>
  <w15:commentEx w15:paraId="46326703" w15:done="0"/>
  <w15:commentEx w15:paraId="16A6B4B6" w15:done="0"/>
  <w15:commentEx w15:paraId="5A2D0D22" w15:done="0"/>
  <w15:commentEx w15:paraId="0D5DC7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3E0303" w16cex:dateUtc="2026-03-31T16:00:00Z"/>
  <w16cex:commentExtensible w16cex:durableId="7120053D" w16cex:dateUtc="2026-04-01T13:18:00Z"/>
  <w16cex:commentExtensible w16cex:durableId="495CA93F" w16cex:dateUtc="2026-04-01T14:02:00Z"/>
  <w16cex:commentExtensible w16cex:durableId="6B1895A2" w16cex:dateUtc="2026-04-01T15:56:00Z"/>
  <w16cex:commentExtensible w16cex:durableId="2B4CC923" w16cex:dateUtc="2026-03-31T14:21:00Z"/>
  <w16cex:commentExtensible w16cex:durableId="5E7A91CE" w16cex:dateUtc="2026-03-31T16:42:00Z"/>
  <w16cex:commentExtensible w16cex:durableId="32814BDB" w16cex:dateUtc="2026-03-30T13:45:00Z"/>
  <w16cex:commentExtensible w16cex:durableId="3CF2230D" w16cex:dateUtc="2026-03-31T10:42:00Z"/>
  <w16cex:commentExtensible w16cex:durableId="02E442E0" w16cex:dateUtc="2026-03-31T11:58:00Z"/>
  <w16cex:commentExtensible w16cex:durableId="1C2A7DD4" w16cex:dateUtc="2026-03-28T05:59:00Z"/>
  <w16cex:commentExtensible w16cex:durableId="5AA8D0A3" w16cex:dateUtc="2026-03-28T06:01:00Z"/>
  <w16cex:commentExtensible w16cex:durableId="04F50C4B" w16cex:dateUtc="2026-03-28T06:02:00Z"/>
  <w16cex:commentExtensible w16cex:durableId="0FCAC318" w16cex:dateUtc="2026-03-28T06:02:00Z"/>
  <w16cex:commentExtensible w16cex:durableId="67BA34DA" w16cex:dateUtc="2026-03-28T06:07:00Z"/>
  <w16cex:commentExtensible w16cex:durableId="46233063" w16cex:dateUtc="2026-03-28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078A22" w16cid:durableId="4A3E0303"/>
  <w16cid:commentId w16cid:paraId="397E0A39" w16cid:durableId="7120053D"/>
  <w16cid:commentId w16cid:paraId="5D473AC8" w16cid:durableId="495CA93F"/>
  <w16cid:commentId w16cid:paraId="0885BD41" w16cid:durableId="6B1895A2"/>
  <w16cid:commentId w16cid:paraId="38351656" w16cid:durableId="2B4CC923"/>
  <w16cid:commentId w16cid:paraId="76C6ED5C" w16cid:durableId="5E7A91CE"/>
  <w16cid:commentId w16cid:paraId="5B240861" w16cid:durableId="32814BDB"/>
  <w16cid:commentId w16cid:paraId="098EDE1F" w16cid:durableId="3CF2230D"/>
  <w16cid:commentId w16cid:paraId="0E7EBB1C" w16cid:durableId="02E442E0"/>
  <w16cid:commentId w16cid:paraId="29904246" w16cid:durableId="1C2A7DD4"/>
  <w16cid:commentId w16cid:paraId="1E4B34B9" w16cid:durableId="5AA8D0A3"/>
  <w16cid:commentId w16cid:paraId="46326703" w16cid:durableId="04F50C4B"/>
  <w16cid:commentId w16cid:paraId="16A6B4B6" w16cid:durableId="0FCAC318"/>
  <w16cid:commentId w16cid:paraId="5A2D0D22" w16cid:durableId="67BA34DA"/>
  <w16cid:commentId w16cid:paraId="0D5DC75E" w16cid:durableId="462330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FD73" w14:textId="77777777" w:rsidR="00714090" w:rsidRDefault="00714090">
      <w:pPr>
        <w:spacing w:after="0" w:line="240" w:lineRule="auto"/>
      </w:pPr>
      <w:r>
        <w:separator/>
      </w:r>
    </w:p>
  </w:endnote>
  <w:endnote w:type="continuationSeparator" w:id="0">
    <w:p w14:paraId="295C7654" w14:textId="77777777" w:rsidR="00714090" w:rsidRDefault="00714090">
      <w:pPr>
        <w:spacing w:after="0" w:line="240" w:lineRule="auto"/>
      </w:pPr>
      <w:r>
        <w:continuationSeparator/>
      </w:r>
    </w:p>
  </w:endnote>
  <w:endnote w:type="continuationNotice" w:id="1">
    <w:p w14:paraId="7F335BCC" w14:textId="77777777" w:rsidR="00714090" w:rsidRDefault="007140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Work Sans">
    <w:altName w:val="Work Sans"/>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7BC83B1F" w:rsidR="00C04679" w:rsidRDefault="009E4327" w:rsidP="009E4327">
    <w:pPr>
      <w:pStyle w:val="Piedepgina"/>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Pr>
        <w:rFonts w:ascii="Work Sans" w:hAnsi="Work Sans"/>
        <w:b/>
        <w:bCs/>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Pr>
        <w:rFonts w:ascii="Work Sans" w:hAnsi="Work Sans"/>
        <w:b/>
        <w:bCs/>
        <w:sz w:val="18"/>
        <w:szCs w:val="24"/>
      </w:rPr>
      <w:t>144</w:t>
    </w:r>
    <w:r>
      <w:rPr>
        <w:rFonts w:ascii="Work Sans" w:hAnsi="Work Sans" w:cs="Arial"/>
        <w:b/>
        <w:bCs/>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2DE7" w14:textId="77777777" w:rsidR="00714090" w:rsidRDefault="00714090">
      <w:pPr>
        <w:spacing w:after="0" w:line="240" w:lineRule="auto"/>
      </w:pPr>
      <w:r>
        <w:separator/>
      </w:r>
    </w:p>
  </w:footnote>
  <w:footnote w:type="continuationSeparator" w:id="0">
    <w:p w14:paraId="7C576DC5" w14:textId="77777777" w:rsidR="00714090" w:rsidRDefault="00714090">
      <w:pPr>
        <w:spacing w:after="0" w:line="240" w:lineRule="auto"/>
      </w:pPr>
      <w:r>
        <w:continuationSeparator/>
      </w:r>
    </w:p>
  </w:footnote>
  <w:footnote w:type="continuationNotice" w:id="1">
    <w:p w14:paraId="4533D142" w14:textId="77777777" w:rsidR="00714090" w:rsidRDefault="00714090">
      <w:pPr>
        <w:spacing w:after="0" w:line="240" w:lineRule="auto"/>
      </w:pPr>
    </w:p>
  </w:footnote>
  <w:footnote w:id="2">
    <w:p w14:paraId="624E05A9" w14:textId="77777777" w:rsidR="004B40A4" w:rsidRDefault="004B40A4" w:rsidP="004B40A4">
      <w:pPr>
        <w:pStyle w:val="Textonotapie"/>
      </w:pPr>
      <w:r>
        <w:rPr>
          <w:rStyle w:val="Refdenotaalpie"/>
        </w:rPr>
        <w:footnoteRef/>
      </w:r>
      <w:r>
        <w:t xml:space="preserve"> Ver numeral 14.16 artículo 14 Ley 142 de 1994</w:t>
      </w:r>
    </w:p>
  </w:footnote>
  <w:footnote w:id="3">
    <w:p w14:paraId="663C0F51" w14:textId="77777777" w:rsidR="004B40A4" w:rsidRDefault="004B40A4" w:rsidP="004B40A4">
      <w:pPr>
        <w:pStyle w:val="Textonotapie"/>
      </w:pPr>
      <w:r>
        <w:rPr>
          <w:rStyle w:val="Refdenotaalpie"/>
        </w:rPr>
        <w:footnoteRef/>
      </w:r>
      <w:r>
        <w:t xml:space="preserve"> Ver RETIE, Titulo 2 - Definiciones</w:t>
      </w:r>
    </w:p>
  </w:footnote>
  <w:footnote w:id="4">
    <w:p w14:paraId="292477FC" w14:textId="77777777" w:rsidR="004B40A4" w:rsidRDefault="004B40A4" w:rsidP="004B40A4">
      <w:pPr>
        <w:pStyle w:val="Textonotapie"/>
      </w:pPr>
      <w:r>
        <w:rPr>
          <w:rStyle w:val="Refdenotaalpie"/>
        </w:rPr>
        <w:footnoteRef/>
      </w:r>
      <w:r>
        <w:t xml:space="preserve"> Ver Manual de contratación general del MME</w:t>
      </w:r>
    </w:p>
  </w:footnote>
  <w:footnote w:id="5">
    <w:p w14:paraId="771BC50D" w14:textId="77777777" w:rsidR="004B40A4" w:rsidRDefault="004B40A4" w:rsidP="004B40A4">
      <w:pPr>
        <w:pStyle w:val="Textonotapie"/>
      </w:pPr>
      <w:r>
        <w:rPr>
          <w:rStyle w:val="Refdenotaalpie"/>
        </w:rPr>
        <w:footnoteRef/>
      </w:r>
      <w:r>
        <w:t xml:space="preserve"> Ver </w:t>
      </w:r>
      <w:r w:rsidRPr="00A33B48">
        <w:t>Resolución CREG-174 de 23 de noviembre de 2021</w:t>
      </w:r>
    </w:p>
  </w:footnote>
  <w:footnote w:id="6">
    <w:p w14:paraId="7F638100" w14:textId="77777777" w:rsidR="004B40A4" w:rsidRDefault="004B40A4" w:rsidP="004B40A4">
      <w:pPr>
        <w:pStyle w:val="Textonotapie"/>
      </w:pPr>
      <w:r w:rsidRPr="4622A9B7">
        <w:rPr>
          <w:rStyle w:val="Refdenotaalpie"/>
        </w:rPr>
        <w:footnoteRef/>
      </w:r>
      <w:r>
        <w:t xml:space="preserve"> </w:t>
      </w:r>
      <w:r w:rsidRPr="4622A9B7">
        <w:t xml:space="preserve">Congreso de la República de Colombia. (2014). </w:t>
      </w:r>
      <w:r w:rsidRPr="4622A9B7">
        <w:rPr>
          <w:i/>
          <w:iCs/>
        </w:rPr>
        <w:t>Ley 1715 de 2014, por medio de la cual se regula la integración de las energías renovables no convencionales al Sistema Energético Nacional</w:t>
      </w:r>
      <w:r w:rsidRPr="4622A9B7">
        <w:t>. Diario Oficial No. 49.150, del 13 de mayo de 2014. Bogotá: Congreso de la República. Artículo 5</w:t>
      </w:r>
    </w:p>
  </w:footnote>
  <w:footnote w:id="7">
    <w:p w14:paraId="2758D1D1" w14:textId="77777777" w:rsidR="004B40A4" w:rsidRDefault="004B40A4" w:rsidP="004B40A4">
      <w:pPr>
        <w:pStyle w:val="Textonotapie"/>
        <w:rPr>
          <w:lang w:val="es-ES"/>
        </w:rPr>
      </w:pPr>
      <w:r w:rsidRPr="4622A9B7">
        <w:rPr>
          <w:rStyle w:val="Refdenotaalpie"/>
        </w:rPr>
        <w:footnoteRef/>
      </w:r>
      <w:r>
        <w:t xml:space="preserve"> Ver </w:t>
      </w:r>
      <w:r w:rsidRPr="4622A9B7">
        <w:rPr>
          <w:lang w:val="es-ES"/>
        </w:rPr>
        <w:t>Resolución CREG-174 de 23 de noviembre de 2021</w:t>
      </w:r>
    </w:p>
  </w:footnote>
  <w:footnote w:id="8">
    <w:p w14:paraId="1575F94C" w14:textId="77777777" w:rsidR="004B40A4" w:rsidRDefault="004B40A4" w:rsidP="004B40A4">
      <w:pPr>
        <w:pStyle w:val="Textonotapie"/>
        <w:rPr>
          <w:lang w:val="es-ES"/>
        </w:rPr>
      </w:pPr>
      <w:r w:rsidRPr="4622A9B7">
        <w:rPr>
          <w:rStyle w:val="Refdenotaalpie"/>
        </w:rPr>
        <w:footnoteRef/>
      </w:r>
      <w:r>
        <w:t xml:space="preserve"> Tomado del Decreto</w:t>
      </w:r>
      <w:r w:rsidRPr="4622A9B7">
        <w:rPr>
          <w:lang w:val="es-ES"/>
        </w:rPr>
        <w:t xml:space="preserve"> del Ministerio de Minas y Energía 2236 de 2023.</w:t>
      </w:r>
    </w:p>
  </w:footnote>
  <w:footnote w:id="9">
    <w:p w14:paraId="69E99F31" w14:textId="77777777" w:rsidR="004B40A4" w:rsidRDefault="004B40A4" w:rsidP="004B40A4">
      <w:pPr>
        <w:pStyle w:val="Textonotapie"/>
        <w:rPr>
          <w:lang w:val="es-ES"/>
        </w:rPr>
      </w:pPr>
      <w:r w:rsidRPr="4622A9B7">
        <w:rPr>
          <w:rStyle w:val="Refdenotaalpie"/>
        </w:rPr>
        <w:footnoteRef/>
      </w:r>
      <w:r>
        <w:t xml:space="preserve"> Tomado del Decreto</w:t>
      </w:r>
      <w:r w:rsidRPr="4622A9B7">
        <w:rPr>
          <w:lang w:val="es-ES"/>
        </w:rPr>
        <w:t xml:space="preserve"> del Ministerio de Minas y Energía 2236 de 2023.</w:t>
      </w:r>
    </w:p>
  </w:footnote>
  <w:footnote w:id="10">
    <w:p w14:paraId="428CF8B0" w14:textId="77777777" w:rsidR="004B40A4" w:rsidRDefault="004B40A4" w:rsidP="004B40A4">
      <w:pPr>
        <w:pStyle w:val="Textonotapie"/>
      </w:pPr>
      <w:r>
        <w:rPr>
          <w:rStyle w:val="Refdenotaalpie"/>
        </w:rPr>
        <w:footnoteRef/>
      </w:r>
      <w:r>
        <w:t xml:space="preserve"> Ver Decreto 111 de 2012</w:t>
      </w:r>
    </w:p>
  </w:footnote>
  <w:footnote w:id="11">
    <w:p w14:paraId="381CE9C5" w14:textId="77777777" w:rsidR="00D87739" w:rsidRDefault="00D87739" w:rsidP="00D87739">
      <w:pPr>
        <w:pStyle w:val="Textonotapie"/>
      </w:pPr>
      <w:r>
        <w:rPr>
          <w:rStyle w:val="Refdenotaalpie"/>
        </w:rPr>
        <w:footnoteRef/>
      </w:r>
      <w:r>
        <w:t xml:space="preserve"> </w:t>
      </w:r>
      <w:r w:rsidRPr="00FA07EA">
        <w:t>Decreto 0972 de 2025</w:t>
      </w:r>
      <w:r>
        <w:t xml:space="preserve">, </w:t>
      </w:r>
      <w:r w:rsidRPr="00FA07EA">
        <w:t>artículo 2.2.3.2.4.13</w:t>
      </w:r>
    </w:p>
  </w:footnote>
  <w:footnote w:id="12">
    <w:p w14:paraId="352D4244" w14:textId="77777777" w:rsidR="004B40A4" w:rsidRDefault="004B40A4" w:rsidP="004B40A4">
      <w:pPr>
        <w:pStyle w:val="Textonotapie"/>
      </w:pPr>
      <w:r>
        <w:rPr>
          <w:rStyle w:val="Refdenotaalpie"/>
        </w:rPr>
        <w:footnoteRef/>
      </w:r>
      <w:r>
        <w:t xml:space="preserve"> </w:t>
      </w:r>
      <w:r w:rsidRPr="00FA07EA">
        <w:t>Decreto 2236 de 2023</w:t>
      </w:r>
    </w:p>
  </w:footnote>
  <w:footnote w:id="13">
    <w:p w14:paraId="24540BBD" w14:textId="77777777" w:rsidR="004B40A4" w:rsidRDefault="004B40A4" w:rsidP="004B40A4">
      <w:pPr>
        <w:pStyle w:val="Textonotapie"/>
      </w:pPr>
      <w:r>
        <w:rPr>
          <w:rStyle w:val="Refdenotaalpie"/>
        </w:rPr>
        <w:footnoteRef/>
      </w:r>
      <w:r>
        <w:t xml:space="preserve"> Ley 143 de 1994</w:t>
      </w:r>
    </w:p>
  </w:footnote>
  <w:footnote w:id="14">
    <w:p w14:paraId="4B64745A" w14:textId="36392B6B" w:rsidR="0075090F" w:rsidRDefault="0075090F">
      <w:pPr>
        <w:pStyle w:val="Textonotapie"/>
      </w:pPr>
      <w:r>
        <w:rPr>
          <w:rStyle w:val="Refdenotaalpie"/>
        </w:rPr>
        <w:footnoteRef/>
      </w:r>
      <w:r>
        <w:t xml:space="preserve"> </w:t>
      </w:r>
      <w:r w:rsidR="00914A92" w:rsidRPr="00B06F4F">
        <w:t xml:space="preserve">Concepto </w:t>
      </w:r>
      <w:r w:rsidR="00914A92">
        <w:t xml:space="preserve">CREG </w:t>
      </w:r>
      <w:r w:rsidR="00914A92" w:rsidRPr="00B06F4F">
        <w:t xml:space="preserve">2690 </w:t>
      </w:r>
      <w:r w:rsidR="00914A92">
        <w:t>de</w:t>
      </w:r>
      <w:r w:rsidR="00914A92" w:rsidRPr="00B06F4F">
        <w:t xml:space="preserve"> 2017</w:t>
      </w:r>
    </w:p>
  </w:footnote>
  <w:footnote w:id="15">
    <w:p w14:paraId="2E8CFDC8" w14:textId="77777777" w:rsidR="004B40A4" w:rsidRDefault="004B40A4" w:rsidP="004B40A4">
      <w:pPr>
        <w:pStyle w:val="Textonotapie"/>
      </w:pPr>
      <w:r>
        <w:rPr>
          <w:rStyle w:val="Refdenotaalpie"/>
        </w:rPr>
        <w:footnoteRef/>
      </w:r>
      <w:r>
        <w:t xml:space="preserve"> Ver concepto CREG 1713 de 2017</w:t>
      </w:r>
    </w:p>
  </w:footnote>
  <w:footnote w:id="16">
    <w:p w14:paraId="71F0B499" w14:textId="77777777" w:rsidR="004B40A4" w:rsidRDefault="004B40A4" w:rsidP="004B40A4">
      <w:pPr>
        <w:pStyle w:val="Textonotapie"/>
      </w:pPr>
      <w:r>
        <w:rPr>
          <w:rStyle w:val="Refdenotaalpie"/>
        </w:rPr>
        <w:footnoteRef/>
      </w:r>
      <w:r>
        <w:t xml:space="preserve"> </w:t>
      </w:r>
      <w:r w:rsidRPr="00B06F4F">
        <w:t>Resolución UPME 355 de 2004</w:t>
      </w:r>
    </w:p>
  </w:footnote>
  <w:footnote w:id="17">
    <w:p w14:paraId="3A4D54B5" w14:textId="77777777" w:rsidR="004B40A4" w:rsidRDefault="004B40A4" w:rsidP="004B40A4">
      <w:pPr>
        <w:pStyle w:val="Textonotapie"/>
      </w:pPr>
      <w:r>
        <w:rPr>
          <w:rStyle w:val="Refdenotaalpie"/>
        </w:rPr>
        <w:footnoteRef/>
      </w:r>
      <w:r>
        <w:t xml:space="preserve"> Ver </w:t>
      </w:r>
      <w:r w:rsidRPr="00C464CD">
        <w:t>Resolución 40072 de 2018</w:t>
      </w:r>
    </w:p>
  </w:footnote>
  <w:footnote w:id="18">
    <w:p w14:paraId="43B778CC" w14:textId="77777777" w:rsidR="004B40A4" w:rsidRPr="00AA2487" w:rsidRDefault="004B40A4" w:rsidP="004B40A4">
      <w:pPr>
        <w:pStyle w:val="Textonotapie"/>
        <w:rPr>
          <w:lang w:val="es-ES"/>
        </w:rPr>
      </w:pPr>
      <w:r>
        <w:rPr>
          <w:rStyle w:val="Refdenotaalpie"/>
        </w:rPr>
        <w:footnoteRef/>
      </w:r>
      <w:r>
        <w:t xml:space="preserve"> Ver </w:t>
      </w:r>
      <w:r w:rsidRPr="00A55C83">
        <w:rPr>
          <w:lang w:val="es-ES"/>
        </w:rPr>
        <w:t>Resolución 40072 de 2018</w:t>
      </w:r>
    </w:p>
  </w:footnote>
  <w:footnote w:id="19">
    <w:p w14:paraId="7125B59C" w14:textId="3B1F8629" w:rsidR="002821A7" w:rsidRDefault="002821A7">
      <w:pPr>
        <w:pStyle w:val="Textonotapie"/>
      </w:pPr>
      <w:r>
        <w:rPr>
          <w:rStyle w:val="Refdenotaalpie"/>
        </w:rPr>
        <w:footnoteRef/>
      </w:r>
      <w:r>
        <w:t xml:space="preserve">  Numeral 1.11 del Artículo 1 del Decreto 847 de 2001 compilado en el DUR 1073 de 2015</w:t>
      </w:r>
    </w:p>
  </w:footnote>
  <w:footnote w:id="20">
    <w:p w14:paraId="70A20A2A" w14:textId="77777777" w:rsidR="004B40A4" w:rsidRPr="00AF6DA8" w:rsidRDefault="004B40A4" w:rsidP="004B40A4">
      <w:pPr>
        <w:pStyle w:val="Textonotapie"/>
        <w:jc w:val="both"/>
      </w:pPr>
      <w:r>
        <w:rPr>
          <w:rStyle w:val="Refdenotaalpie"/>
        </w:rPr>
        <w:footnoteRef/>
      </w:r>
      <w:r>
        <w:t xml:space="preserve"> D</w:t>
      </w:r>
      <w:r w:rsidRPr="00AF6DA8">
        <w:rPr>
          <w:rFonts w:ascii="Arial" w:hAnsi="Arial" w:cs="Arial"/>
          <w:sz w:val="18"/>
          <w:szCs w:val="18"/>
        </w:rPr>
        <w:t>efinición establecida en el artículo 2.2.3.1.2. del Capítulo 1-Titulo III del Libro 2</w:t>
      </w:r>
      <w:r>
        <w:rPr>
          <w:rFonts w:ascii="Arial" w:hAnsi="Arial" w:cs="Arial"/>
          <w:sz w:val="18"/>
          <w:szCs w:val="18"/>
        </w:rPr>
        <w:t xml:space="preserve"> del DUR 1073 de 2015, adicionada por el artículo 1° del Decreto 099 del 27 enero de 2021</w:t>
      </w:r>
    </w:p>
  </w:footnote>
  <w:footnote w:id="21">
    <w:p w14:paraId="136CE838" w14:textId="77777777" w:rsidR="004B40A4" w:rsidRDefault="004B40A4" w:rsidP="004B40A4">
      <w:pPr>
        <w:pStyle w:val="Textonotapie"/>
      </w:pPr>
      <w:r>
        <w:rPr>
          <w:rStyle w:val="Refdenotaalpie"/>
        </w:rPr>
        <w:footnoteRef/>
      </w:r>
      <w:r>
        <w:t xml:space="preserve"> Ver RETIE, Titulo 2 - Definiciones</w:t>
      </w:r>
    </w:p>
  </w:footnote>
  <w:footnote w:id="22">
    <w:p w14:paraId="541562AA" w14:textId="77777777" w:rsidR="004B40A4" w:rsidRPr="00AF6DA8" w:rsidRDefault="004B40A4" w:rsidP="004B40A4">
      <w:pPr>
        <w:tabs>
          <w:tab w:val="left" w:pos="4474"/>
        </w:tabs>
        <w:spacing w:after="0"/>
        <w:jc w:val="both"/>
        <w:rPr>
          <w:rFonts w:ascii="Arial" w:hAnsi="Arial" w:cs="Arial"/>
          <w:sz w:val="18"/>
          <w:szCs w:val="18"/>
        </w:rPr>
      </w:pPr>
      <w:r>
        <w:rPr>
          <w:rStyle w:val="Refdenotaalpie"/>
        </w:rPr>
        <w:footnoteRef/>
      </w:r>
      <w:r>
        <w:t xml:space="preserve"> D</w:t>
      </w:r>
      <w:r w:rsidRPr="00AF6DA8">
        <w:rPr>
          <w:rFonts w:ascii="Arial" w:hAnsi="Arial" w:cs="Arial"/>
          <w:sz w:val="18"/>
          <w:szCs w:val="18"/>
        </w:rPr>
        <w:t>efinición establecida en el artículo 2.2.3.1.2. del Capítulo 1-Titulo III del Libro 2</w:t>
      </w:r>
      <w:r>
        <w:rPr>
          <w:rFonts w:ascii="Arial" w:hAnsi="Arial" w:cs="Arial"/>
          <w:sz w:val="18"/>
          <w:szCs w:val="18"/>
        </w:rPr>
        <w:t xml:space="preserve"> del DUR 1073 de 2015, adicionada por el artículo 1° del Decreto 099 del 27 enero de 2021 </w:t>
      </w:r>
    </w:p>
    <w:p w14:paraId="5377080C" w14:textId="77777777" w:rsidR="004B40A4" w:rsidRPr="00AF6DA8" w:rsidRDefault="004B40A4" w:rsidP="004B40A4">
      <w:pPr>
        <w:pStyle w:val="Textonotapie"/>
        <w:ind w:left="94"/>
      </w:pPr>
    </w:p>
  </w:footnote>
  <w:footnote w:id="23">
    <w:p w14:paraId="187C8A9B" w14:textId="77777777" w:rsidR="004B40A4" w:rsidRDefault="004B40A4" w:rsidP="004B40A4">
      <w:pPr>
        <w:pStyle w:val="Textonotapie"/>
      </w:pPr>
      <w:r>
        <w:rPr>
          <w:rStyle w:val="Refdenotaalpie"/>
        </w:rPr>
        <w:footnoteRef/>
      </w:r>
      <w:r>
        <w:t xml:space="preserve"> Definición establecida en el artículo 2.2.3.1.2 del DUR 1073 de 2015</w:t>
      </w:r>
    </w:p>
  </w:footnote>
  <w:footnote w:id="24">
    <w:p w14:paraId="7CDE1267" w14:textId="77777777" w:rsidR="004B40A4" w:rsidRPr="005834F2" w:rsidRDefault="004B40A4" w:rsidP="004B40A4">
      <w:pPr>
        <w:pStyle w:val="Textonotapie"/>
        <w:rPr>
          <w:lang w:val="es-ES"/>
        </w:rPr>
      </w:pPr>
      <w:r>
        <w:rPr>
          <w:rStyle w:val="Refdenotaalpie"/>
        </w:rPr>
        <w:footnoteRef/>
      </w:r>
      <w:r>
        <w:t xml:space="preserve"> D</w:t>
      </w:r>
      <w:r w:rsidRPr="00AF6DA8">
        <w:rPr>
          <w:rFonts w:ascii="Arial" w:hAnsi="Arial" w:cs="Arial"/>
          <w:sz w:val="18"/>
          <w:szCs w:val="18"/>
        </w:rPr>
        <w:t>efinición establecida en el artículo 2.2.3.1.2. del Capítulo 1-Titulo III del Libro 2</w:t>
      </w:r>
      <w:r>
        <w:rPr>
          <w:rFonts w:ascii="Arial" w:hAnsi="Arial" w:cs="Arial"/>
          <w:sz w:val="18"/>
          <w:szCs w:val="18"/>
        </w:rPr>
        <w:t xml:space="preserve"> del DUR 1073 de 2015, adicionada por el artículo 1° del Decreto 099 del 27 enero de 2021</w:t>
      </w:r>
    </w:p>
  </w:footnote>
  <w:footnote w:id="25">
    <w:p w14:paraId="6E74FF2A" w14:textId="77777777" w:rsidR="004B40A4" w:rsidRPr="005834F2" w:rsidRDefault="004B40A4" w:rsidP="004B40A4">
      <w:pPr>
        <w:pStyle w:val="Textonotapie"/>
        <w:rPr>
          <w:lang w:val="es-ES"/>
        </w:rPr>
      </w:pPr>
      <w:r>
        <w:rPr>
          <w:rStyle w:val="Refdenotaalpie"/>
        </w:rPr>
        <w:footnoteRef/>
      </w:r>
      <w:r>
        <w:t xml:space="preserve"> D</w:t>
      </w:r>
      <w:r w:rsidRPr="00AF6DA8">
        <w:rPr>
          <w:rFonts w:ascii="Arial" w:hAnsi="Arial" w:cs="Arial"/>
          <w:sz w:val="18"/>
          <w:szCs w:val="18"/>
        </w:rPr>
        <w:t>efinición establecida en el artículo 2.2.3.1.2. del Capítulo 1-Titulo III del Libro 2</w:t>
      </w:r>
      <w:r>
        <w:rPr>
          <w:rFonts w:ascii="Arial" w:hAnsi="Arial" w:cs="Arial"/>
          <w:sz w:val="18"/>
          <w:szCs w:val="18"/>
        </w:rPr>
        <w:t xml:space="preserve"> del DUR 1073 de 2015, adicionada por el artículo 1° del Decreto 099 del 27 enero de 2021</w:t>
      </w:r>
    </w:p>
  </w:footnote>
  <w:footnote w:id="26">
    <w:p w14:paraId="24F56992" w14:textId="77777777" w:rsidR="004B40A4" w:rsidRDefault="004B40A4" w:rsidP="004B40A4">
      <w:pPr>
        <w:pStyle w:val="Textonotapie"/>
      </w:pPr>
      <w:r>
        <w:rPr>
          <w:rStyle w:val="Refdenotaalpie"/>
        </w:rPr>
        <w:footnoteRef/>
      </w:r>
      <w:r>
        <w:t xml:space="preserve"> Definición establecida en el inciso 2, artículo 83 Ley 1474 de 2011</w:t>
      </w:r>
    </w:p>
  </w:footnote>
  <w:footnote w:id="27">
    <w:p w14:paraId="75DFCC78" w14:textId="77777777" w:rsidR="004B40A4" w:rsidRDefault="004B40A4" w:rsidP="004B40A4">
      <w:pPr>
        <w:pStyle w:val="Textonotapie"/>
      </w:pPr>
      <w:r>
        <w:rPr>
          <w:rStyle w:val="Refdenotaalpie"/>
        </w:rPr>
        <w:footnoteRef/>
      </w:r>
      <w:r>
        <w:t xml:space="preserve"> Definición establecida en el artículo 2.2.3.1.2 </w:t>
      </w:r>
      <w:r w:rsidRPr="00AF6DA8">
        <w:rPr>
          <w:rFonts w:ascii="Arial" w:hAnsi="Arial" w:cs="Arial"/>
          <w:sz w:val="18"/>
          <w:szCs w:val="18"/>
        </w:rPr>
        <w:t>del Capítulo 1-Titulo III del Libro 2</w:t>
      </w:r>
      <w:r>
        <w:rPr>
          <w:rFonts w:ascii="Arial" w:hAnsi="Arial" w:cs="Arial"/>
          <w:sz w:val="18"/>
          <w:szCs w:val="18"/>
        </w:rPr>
        <w:t xml:space="preserve"> del DUR 1073 de 2015, adicionada por el artículo 1° del Decreto 099 del 27 enero de 2021</w:t>
      </w:r>
    </w:p>
  </w:footnote>
  <w:footnote w:id="28">
    <w:p w14:paraId="25B40DE8" w14:textId="77777777" w:rsidR="004B40A4" w:rsidRPr="005834F2" w:rsidRDefault="004B40A4" w:rsidP="004B40A4">
      <w:pPr>
        <w:pStyle w:val="Textonotapie"/>
        <w:rPr>
          <w:lang w:val="es-ES"/>
        </w:rPr>
      </w:pPr>
      <w:r>
        <w:rPr>
          <w:rStyle w:val="Refdenotaalpie"/>
        </w:rPr>
        <w:footnoteRef/>
      </w:r>
      <w:r>
        <w:t xml:space="preserve"> D</w:t>
      </w:r>
      <w:r w:rsidRPr="00AF6DA8">
        <w:rPr>
          <w:rFonts w:ascii="Arial" w:hAnsi="Arial" w:cs="Arial"/>
          <w:sz w:val="18"/>
          <w:szCs w:val="18"/>
        </w:rPr>
        <w:t>efinición establecida en el artículo 2.2.3.1.2. del Capítulo 1-Titulo III del Libro 2</w:t>
      </w:r>
      <w:r>
        <w:rPr>
          <w:rFonts w:ascii="Arial" w:hAnsi="Arial" w:cs="Arial"/>
          <w:sz w:val="18"/>
          <w:szCs w:val="18"/>
        </w:rPr>
        <w:t xml:space="preserve"> del DUR 1073 de 2015, adicionada por el artículo 1° del Decreto 099 del 27 enero de 2021</w:t>
      </w:r>
    </w:p>
  </w:footnote>
  <w:footnote w:id="29">
    <w:p w14:paraId="208B5749" w14:textId="236F9726" w:rsidR="00386D97" w:rsidRDefault="00386D97">
      <w:pPr>
        <w:pStyle w:val="Textonotapie"/>
      </w:pPr>
      <w:r>
        <w:rPr>
          <w:rStyle w:val="Refdenotaalpie"/>
        </w:rPr>
        <w:footnoteRef/>
      </w:r>
      <w:r>
        <w:t xml:space="preserve"> Este valor corresponde al establecido por el artículo 63 de la Ley 1151 de 2007</w:t>
      </w:r>
    </w:p>
  </w:footnote>
  <w:footnote w:id="30">
    <w:p w14:paraId="0596DA02" w14:textId="77777777" w:rsidR="008945AF" w:rsidRDefault="008945AF" w:rsidP="008945AF">
      <w:pPr>
        <w:pStyle w:val="Textonotapie"/>
        <w:jc w:val="both"/>
      </w:pPr>
      <w:r>
        <w:rPr>
          <w:rStyle w:val="Refdenotaalpie"/>
        </w:rPr>
        <w:footnoteRef/>
      </w:r>
      <w:r>
        <w:t xml:space="preserve"> La cual adoptó el régimen de los servicios públicos domiciliarios, siendo posterior a la Ley 80 de 1993.</w:t>
      </w:r>
    </w:p>
  </w:footnote>
  <w:footnote w:id="31">
    <w:p w14:paraId="073621CC" w14:textId="77777777" w:rsidR="008945AF" w:rsidRDefault="008945AF" w:rsidP="008945AF">
      <w:pPr>
        <w:pStyle w:val="Textonotapie"/>
      </w:pPr>
      <w:r w:rsidRPr="00E90F81">
        <w:rPr>
          <w:rStyle w:val="Refdenotaalpie"/>
          <w:sz w:val="28"/>
          <w:szCs w:val="28"/>
        </w:rPr>
        <w:footnoteRef/>
      </w:r>
      <w:r>
        <w:t xml:space="preserve"> Las entidades oficiales</w:t>
      </w:r>
    </w:p>
  </w:footnote>
  <w:footnote w:id="32">
    <w:p w14:paraId="42BB42E3" w14:textId="77777777" w:rsidR="008945AF" w:rsidRDefault="008945AF" w:rsidP="008945AF">
      <w:pPr>
        <w:pStyle w:val="Textonotapie"/>
      </w:pPr>
      <w:r>
        <w:rPr>
          <w:rStyle w:val="Refdenotaalpie"/>
        </w:rPr>
        <w:footnoteRef/>
      </w:r>
      <w:r>
        <w:t xml:space="preserve"> Entiéndanse también sus actividades complementarias</w:t>
      </w:r>
    </w:p>
  </w:footnote>
  <w:footnote w:id="33">
    <w:p w14:paraId="453BC54E" w14:textId="77777777" w:rsidR="00A65C1C" w:rsidRPr="001D3ED0" w:rsidRDefault="00A65C1C" w:rsidP="00434507">
      <w:pPr>
        <w:pStyle w:val="Textonotapie"/>
        <w:jc w:val="both"/>
        <w:rPr>
          <w:lang w:val="es-MX"/>
        </w:rPr>
      </w:pPr>
      <w:r>
        <w:rPr>
          <w:rStyle w:val="Refdenotaalpie"/>
        </w:rPr>
        <w:footnoteRef/>
      </w:r>
      <w:r>
        <w:t xml:space="preserve"> </w:t>
      </w:r>
      <w:r>
        <w:rPr>
          <w:rStyle w:val="normaltextrun"/>
          <w:rFonts w:ascii="Calibri" w:hAnsi="Calibri" w:cs="Calibri"/>
          <w:color w:val="000000"/>
          <w:shd w:val="clear" w:color="auto" w:fill="FFFFFF"/>
        </w:rPr>
        <w:t>202 de 2013 para los activos de gas y las 015-2018, 101 026-2022 y 091-2007 para los activos de energía, o aquellas que las modifique o las sustituya.</w:t>
      </w:r>
    </w:p>
  </w:footnote>
  <w:footnote w:id="34">
    <w:p w14:paraId="210D0CB7" w14:textId="77777777" w:rsidR="00A65C1C" w:rsidRPr="005E45C5" w:rsidRDefault="00A65C1C" w:rsidP="00A65C1C">
      <w:pPr>
        <w:pStyle w:val="Textonotapie"/>
        <w:jc w:val="both"/>
        <w:rPr>
          <w:rFonts w:ascii="Arial" w:hAnsi="Arial" w:cs="Arial"/>
          <w:i/>
          <w:iCs/>
          <w:lang w:val="es-ES"/>
        </w:rPr>
      </w:pPr>
      <w:r w:rsidRPr="005E45C5">
        <w:rPr>
          <w:rStyle w:val="Refdenotaalpie"/>
          <w:rFonts w:ascii="Arial" w:hAnsi="Arial" w:cs="Arial"/>
          <w:i/>
          <w:iCs/>
        </w:rPr>
        <w:footnoteRef/>
      </w:r>
      <w:r w:rsidRPr="005E45C5">
        <w:rPr>
          <w:rFonts w:ascii="Arial" w:hAnsi="Arial" w:cs="Arial"/>
          <w:i/>
          <w:iCs/>
        </w:rPr>
        <w:t xml:space="preserve"> Los consumos empleados para definir los cargos de distribución Qj (m-3), serán los facturados por el Distribuidor durante el trimestre anterior, m-3.</w:t>
      </w:r>
    </w:p>
  </w:footnote>
  <w:footnote w:id="35">
    <w:p w14:paraId="1C179046" w14:textId="77777777" w:rsidR="000F2C0D" w:rsidRPr="001D3ED0" w:rsidRDefault="000F2C0D" w:rsidP="000F2C0D">
      <w:pPr>
        <w:pStyle w:val="Textonotapie"/>
        <w:rPr>
          <w:lang w:val="es-MX"/>
        </w:rPr>
      </w:pPr>
      <w:r>
        <w:rPr>
          <w:rStyle w:val="Refdenotaalpie"/>
        </w:rPr>
        <w:footnoteRef/>
      </w:r>
      <w:r>
        <w:t xml:space="preserve"> </w:t>
      </w:r>
      <w:r>
        <w:rPr>
          <w:rStyle w:val="normaltextrun"/>
          <w:rFonts w:ascii="Calibri" w:hAnsi="Calibri" w:cs="Calibri"/>
          <w:color w:val="000000"/>
          <w:shd w:val="clear" w:color="auto" w:fill="FFFFFF"/>
        </w:rPr>
        <w:t>202 de 2013 para los activos de gas y las 015-2018, 101 026-2022 y 091-2007 para los activos de energía, o aquellas que las modifique o las sustituya.</w:t>
      </w:r>
    </w:p>
  </w:footnote>
  <w:footnote w:id="36">
    <w:p w14:paraId="470AA811" w14:textId="0F06D1E5" w:rsidR="00EE5006" w:rsidRPr="00E41363" w:rsidRDefault="00396C51" w:rsidP="00EE5006">
      <w:pPr>
        <w:suppressAutoHyphens w:val="0"/>
        <w:spacing w:before="100" w:beforeAutospacing="1" w:after="100" w:afterAutospacing="1"/>
        <w:jc w:val="both"/>
      </w:pPr>
      <w:r>
        <w:rPr>
          <w:rStyle w:val="Refdenotaalpie"/>
        </w:rPr>
        <w:footnoteRef/>
      </w:r>
      <w:r>
        <w:t xml:space="preserve"> </w:t>
      </w:r>
      <w:r w:rsidR="00EE5006">
        <w:t xml:space="preserve">El </w:t>
      </w:r>
      <w:r w:rsidR="00A54FE6">
        <w:t xml:space="preserve">parágrafo 6° del </w:t>
      </w:r>
      <w:r w:rsidR="00E41363">
        <w:t xml:space="preserve">artículo </w:t>
      </w:r>
      <w:r w:rsidR="00EE5006">
        <w:t xml:space="preserve">800-1 del Estatuto Tributario nacional, de conformidad </w:t>
      </w:r>
      <w:r w:rsidR="00A54FE6">
        <w:t xml:space="preserve">con la modificación que le introdujo el artículo 79 de la Ley 2010 de 2019, </w:t>
      </w:r>
      <w:r w:rsidR="00EE5006">
        <w:t xml:space="preserve">dispone: </w:t>
      </w:r>
      <w:r w:rsidR="00E41363" w:rsidRPr="00E41363">
        <w:rPr>
          <w:i/>
          <w:iCs/>
        </w:rPr>
        <w:t>“</w:t>
      </w:r>
      <w:r w:rsidR="00EE5006" w:rsidRPr="00E41363">
        <w:rPr>
          <w:i/>
          <w:iCs/>
        </w:rPr>
        <w:t>La referencia al mecanismo de obras por impuestos realizada por el artículo </w:t>
      </w:r>
      <w:hyperlink r:id="rId1" w:anchor="285" w:history="1">
        <w:r w:rsidR="00EE5006" w:rsidRPr="00E41363">
          <w:rPr>
            <w:i/>
            <w:iCs/>
          </w:rPr>
          <w:t>285</w:t>
        </w:r>
      </w:hyperlink>
      <w:r w:rsidR="00EE5006" w:rsidRPr="00E41363">
        <w:rPr>
          <w:i/>
          <w:iCs/>
        </w:rPr>
        <w:t> de la Ley 1955 de 2019 entiéndase hecha a este artículo.</w:t>
      </w:r>
      <w:r w:rsidR="00E41363" w:rsidRPr="00E41363">
        <w:rPr>
          <w:i/>
          <w:iCs/>
        </w:rPr>
        <w:t>”</w:t>
      </w:r>
    </w:p>
    <w:p w14:paraId="7BCC7280" w14:textId="7EDE689E" w:rsidR="00396C51" w:rsidRDefault="00396C51">
      <w:pPr>
        <w:pStyle w:val="Textonotapie"/>
      </w:pPr>
    </w:p>
  </w:footnote>
  <w:footnote w:id="37">
    <w:p w14:paraId="10625592" w14:textId="77777777" w:rsidR="00D1685A" w:rsidRPr="00913505" w:rsidRDefault="00D1685A" w:rsidP="00D1685A">
      <w:pPr>
        <w:pStyle w:val="Textonotapie"/>
        <w:jc w:val="both"/>
      </w:pPr>
      <w:r>
        <w:rPr>
          <w:rStyle w:val="Refdenotaalpie"/>
        </w:rPr>
        <w:footnoteRef/>
      </w:r>
      <w:r>
        <w:t xml:space="preserve"> </w:t>
      </w:r>
      <w:r w:rsidRPr="00913505">
        <w:rPr>
          <w:sz w:val="18"/>
          <w:szCs w:val="18"/>
        </w:rPr>
        <w:t>La aplicación de este Decreto orienta la estructuración, financiación, contratación y ejecución de iniciativas de energía solar, al permitir la identificación y gestión de barreras administrativas, regulatorias y operativas, contribuyendo así a la aceleración de la transición energética y a la implementación efectiva de soluciones de autogeneración y generación distribuida en el país.</w:t>
      </w:r>
    </w:p>
    <w:p w14:paraId="27797DD5" w14:textId="77777777" w:rsidR="00D1685A" w:rsidRDefault="00D1685A" w:rsidP="00D1685A">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52F664D0" w14:textId="1DE4583A" w:rsidR="00D33464" w:rsidRDefault="009E4327" w:rsidP="003D1807">
        <w:pPr>
          <w:pStyle w:val="Encabezado"/>
        </w:pPr>
        <w:r w:rsidRPr="00814311">
          <w:rPr>
            <w:noProof/>
          </w:rPr>
          <w:drawing>
            <wp:anchor distT="0" distB="0" distL="114300" distR="114300" simplePos="0" relativeHeight="251658240" behindDoc="0" locked="0" layoutInCell="1" allowOverlap="1" wp14:anchorId="070C9321" wp14:editId="59AEABF8">
              <wp:simplePos x="0" y="0"/>
              <wp:positionH relativeFrom="margin">
                <wp:posOffset>4632325</wp:posOffset>
              </wp:positionH>
              <wp:positionV relativeFrom="paragraph">
                <wp:posOffset>-170815</wp:posOffset>
              </wp:positionV>
              <wp:extent cx="1634490" cy="48006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4490" cy="48006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807" w:rsidRPr="00814311">
          <w:rPr>
            <w:noProof/>
          </w:rPr>
          <w:drawing>
            <wp:anchor distT="0" distB="0" distL="114300" distR="114300" simplePos="0" relativeHeight="251658241" behindDoc="0" locked="0" layoutInCell="1" allowOverlap="1" wp14:anchorId="0AC5A16D" wp14:editId="043B0AF1">
              <wp:simplePos x="0" y="0"/>
              <wp:positionH relativeFrom="margin">
                <wp:posOffset>-619125</wp:posOffset>
              </wp:positionH>
              <wp:positionV relativeFrom="paragraph">
                <wp:posOffset>-273685</wp:posOffset>
              </wp:positionV>
              <wp:extent cx="2386330" cy="70104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8633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6D800A" w14:textId="16A27644" w:rsidR="00D33464" w:rsidRDefault="003D1807">
        <w:pPr>
          <w:pStyle w:val="Encabezado"/>
          <w:jc w:val="right"/>
        </w:pPr>
        <w:r>
          <w:rPr>
            <w:rFonts w:ascii="Times New Roman" w:hAnsi="Times New Roman" w:cs="Times New Roman"/>
            <w:noProof/>
            <w:sz w:val="20"/>
          </w:rPr>
          <w:drawing>
            <wp:anchor distT="0" distB="0" distL="114300" distR="114300" simplePos="0" relativeHeight="251658242" behindDoc="0" locked="0" layoutInCell="1" allowOverlap="1" wp14:anchorId="1DE67D5E" wp14:editId="489CE8AC">
              <wp:simplePos x="0" y="0"/>
              <wp:positionH relativeFrom="column">
                <wp:posOffset>4603750</wp:posOffset>
              </wp:positionH>
              <wp:positionV relativeFrom="paragraph">
                <wp:posOffset>257175</wp:posOffset>
              </wp:positionV>
              <wp:extent cx="1353185" cy="454660"/>
              <wp:effectExtent l="0" t="0" r="0" b="2540"/>
              <wp:wrapNone/>
              <wp:docPr id="9599135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l="11174" t="22099" r="11345" b="22292"/>
                      <a:stretch>
                        <a:fillRect/>
                      </a:stretch>
                    </pic:blipFill>
                    <pic:spPr bwMode="auto">
                      <a:xfrm>
                        <a:off x="0" y="0"/>
                        <a:ext cx="1353185" cy="454660"/>
                      </a:xfrm>
                      <a:prstGeom prst="rect">
                        <a:avLst/>
                      </a:prstGeom>
                      <a:noFill/>
                    </pic:spPr>
                  </pic:pic>
                </a:graphicData>
              </a:graphic>
              <wp14:sizeRelH relativeFrom="page">
                <wp14:pctWidth>0</wp14:pctWidth>
              </wp14:sizeRelH>
              <wp14:sizeRelV relativeFrom="page">
                <wp14:pctHeight>0</wp14:pctHeight>
              </wp14:sizeRelV>
            </wp:anchor>
          </w:drawing>
        </w:r>
      </w:p>
      <w:tbl>
        <w:tblPr>
          <w:tblW w:w="502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5"/>
          <w:gridCol w:w="1097"/>
          <w:gridCol w:w="1210"/>
          <w:gridCol w:w="9"/>
        </w:tblGrid>
        <w:tr w:rsidR="003D1807" w14:paraId="7EB1BE8A" w14:textId="77777777" w:rsidTr="003D1807">
          <w:trPr>
            <w:gridAfter w:val="1"/>
            <w:wAfter w:w="4" w:type="pct"/>
            <w:trHeight w:val="701"/>
          </w:trPr>
          <w:bookmarkStart w:id="266" w:name="_Hlk126915421" w:displacedByCustomXml="next"/>
          <w:sdt>
            <w:sdtPr>
              <w:rPr>
                <w:b/>
                <w:sz w:val="24"/>
              </w:rPr>
              <w:alias w:val="CTmsFormato"/>
              <w:tag w:val="CTmsFormato"/>
              <w:id w:val="-268632938"/>
              <w:placeholder>
                <w:docPart w:val="F9AE6AFC42CA4BC9BF2FF65758EE03B6"/>
              </w:placeholder>
              <w15:color w:val="FFFFFF"/>
              <w15:appearance w15:val="hidden"/>
            </w:sdtPr>
            <w:sdtContent>
              <w:sdt>
                <w:sdtPr>
                  <w:rPr>
                    <w:b/>
                    <w:sz w:val="24"/>
                  </w:rPr>
                  <w:alias w:val="CTmsFormato"/>
                  <w:tag w:val="CTmsFormato"/>
                  <w:id w:val="-1996333351"/>
                  <w15:color w:val="FFFFFF"/>
                  <w15:appearance w15:val="hidden"/>
                </w:sdtPr>
                <w:sdtContent>
                  <w:tc>
                    <w:tcPr>
                      <w:tcW w:w="3773" w:type="pct"/>
                      <w:vMerge w:val="restart"/>
                      <w:tcBorders>
                        <w:top w:val="single" w:sz="4" w:space="0" w:color="auto"/>
                        <w:left w:val="single" w:sz="4" w:space="0" w:color="auto"/>
                        <w:bottom w:val="single" w:sz="4" w:space="0" w:color="auto"/>
                        <w:right w:val="single" w:sz="4" w:space="0" w:color="auto"/>
                      </w:tcBorders>
                      <w:vAlign w:val="center"/>
                      <w:hideMark/>
                    </w:tcPr>
                    <w:p w14:paraId="26C23F25" w14:textId="21E1AFAF" w:rsidR="003D1807" w:rsidRDefault="009E4327" w:rsidP="009E4327">
                      <w:pPr>
                        <w:spacing w:after="0"/>
                        <w:jc w:val="center"/>
                        <w:rPr>
                          <w:rFonts w:eastAsia="Times New Roman"/>
                          <w:b/>
                          <w:sz w:val="24"/>
                          <w:lang w:val="es-ES_tradnl"/>
                        </w:rPr>
                      </w:pPr>
                      <w:r>
                        <w:rPr>
                          <w:b/>
                          <w:sz w:val="24"/>
                        </w:rPr>
                        <w:t>MANUAL OPERATIVO</w:t>
                      </w:r>
                    </w:p>
                  </w:tc>
                </w:sdtContent>
              </w:sdt>
            </w:sdtContent>
          </w:sdt>
          <w:tc>
            <w:tcPr>
              <w:tcW w:w="1222" w:type="pct"/>
              <w:gridSpan w:val="2"/>
              <w:tcBorders>
                <w:top w:val="single" w:sz="4" w:space="0" w:color="auto"/>
                <w:left w:val="single" w:sz="4" w:space="0" w:color="auto"/>
                <w:bottom w:val="single" w:sz="4" w:space="0" w:color="auto"/>
                <w:right w:val="single" w:sz="4" w:space="0" w:color="auto"/>
              </w:tcBorders>
              <w:vAlign w:val="center"/>
              <w:hideMark/>
            </w:tcPr>
            <w:p w14:paraId="04FD2644" w14:textId="61BFD02F" w:rsidR="003D1807" w:rsidRDefault="003D1807" w:rsidP="003D1807">
              <w:pPr>
                <w:ind w:left="-113" w:right="-113"/>
                <w:jc w:val="center"/>
                <w:rPr>
                  <w:sz w:val="20"/>
                </w:rPr>
              </w:pPr>
            </w:p>
          </w:tc>
        </w:tr>
        <w:tr w:rsidR="003D1807" w14:paraId="6EC88206" w14:textId="77777777" w:rsidTr="009E4327">
          <w:trPr>
            <w:gridAfter w:val="1"/>
            <w:wAfter w:w="4" w:type="pct"/>
            <w:trHeight w:val="284"/>
          </w:trPr>
          <w:tc>
            <w:tcPr>
              <w:tcW w:w="3773" w:type="pct"/>
              <w:vMerge/>
              <w:tcBorders>
                <w:top w:val="single" w:sz="4" w:space="0" w:color="auto"/>
                <w:left w:val="single" w:sz="4" w:space="0" w:color="auto"/>
                <w:bottom w:val="single" w:sz="4" w:space="0" w:color="auto"/>
                <w:right w:val="single" w:sz="4" w:space="0" w:color="auto"/>
              </w:tcBorders>
              <w:vAlign w:val="center"/>
              <w:hideMark/>
            </w:tcPr>
            <w:p w14:paraId="6999A906" w14:textId="77777777" w:rsidR="003D1807" w:rsidRDefault="003D1807" w:rsidP="009E4327">
              <w:pPr>
                <w:spacing w:after="0"/>
                <w:rPr>
                  <w:rFonts w:eastAsia="Times New Roman"/>
                  <w:b/>
                  <w:sz w:val="24"/>
                  <w:lang w:val="es-ES_tradnl" w:eastAsia="es-MX"/>
                </w:rPr>
              </w:pPr>
            </w:p>
          </w:tc>
          <w:tc>
            <w:tcPr>
              <w:tcW w:w="1222" w:type="pct"/>
              <w:gridSpan w:val="2"/>
              <w:tcBorders>
                <w:top w:val="single" w:sz="4" w:space="0" w:color="auto"/>
                <w:left w:val="single" w:sz="4" w:space="0" w:color="auto"/>
                <w:bottom w:val="single" w:sz="4" w:space="0" w:color="auto"/>
                <w:right w:val="single" w:sz="4" w:space="0" w:color="auto"/>
              </w:tcBorders>
              <w:vAlign w:val="center"/>
              <w:hideMark/>
            </w:tcPr>
            <w:p w14:paraId="46F637D3" w14:textId="6E249A08" w:rsidR="003D1807" w:rsidRDefault="005C0CA0" w:rsidP="009E4327">
              <w:pPr>
                <w:spacing w:after="0"/>
                <w:jc w:val="center"/>
                <w:outlineLvl w:val="0"/>
                <w:rPr>
                  <w:sz w:val="14"/>
                  <w:szCs w:val="16"/>
                </w:rPr>
              </w:pPr>
              <w:r>
                <w:rPr>
                  <w:sz w:val="14"/>
                  <w:szCs w:val="16"/>
                </w:rPr>
                <w:t>XXXXXXXX</w:t>
              </w:r>
            </w:p>
          </w:tc>
        </w:tr>
        <w:bookmarkEnd w:id="266"/>
        <w:tr w:rsidR="003D1807" w14:paraId="7CE22800" w14:textId="77777777" w:rsidTr="003D1807">
          <w:trPr>
            <w:trHeight w:val="227"/>
          </w:trPr>
          <w:tc>
            <w:tcPr>
              <w:tcW w:w="3773" w:type="pct"/>
              <w:vMerge/>
              <w:tcBorders>
                <w:top w:val="single" w:sz="4" w:space="0" w:color="auto"/>
                <w:left w:val="single" w:sz="4" w:space="0" w:color="auto"/>
                <w:bottom w:val="single" w:sz="4" w:space="0" w:color="auto"/>
                <w:right w:val="single" w:sz="4" w:space="0" w:color="auto"/>
              </w:tcBorders>
              <w:vAlign w:val="center"/>
              <w:hideMark/>
            </w:tcPr>
            <w:p w14:paraId="00D97F99" w14:textId="77777777" w:rsidR="003D1807" w:rsidRDefault="003D1807" w:rsidP="009E4327">
              <w:pPr>
                <w:spacing w:after="0"/>
                <w:rPr>
                  <w:rFonts w:eastAsia="Times New Roman"/>
                  <w:b/>
                  <w:sz w:val="24"/>
                  <w:lang w:val="es-ES_tradnl" w:eastAsia="es-MX"/>
                </w:rPr>
              </w:pPr>
            </w:p>
          </w:tc>
          <w:tc>
            <w:tcPr>
              <w:tcW w:w="581" w:type="pct"/>
              <w:tcBorders>
                <w:top w:val="single" w:sz="4" w:space="0" w:color="auto"/>
                <w:left w:val="single" w:sz="4" w:space="0" w:color="auto"/>
                <w:bottom w:val="single" w:sz="4" w:space="0" w:color="auto"/>
                <w:right w:val="single" w:sz="4" w:space="0" w:color="auto"/>
              </w:tcBorders>
              <w:vAlign w:val="center"/>
              <w:hideMark/>
            </w:tcPr>
            <w:p w14:paraId="3300B466" w14:textId="77777777" w:rsidR="003D1807" w:rsidRDefault="003D1807" w:rsidP="009E4327">
              <w:pPr>
                <w:spacing w:after="0"/>
                <w:jc w:val="center"/>
                <w:outlineLvl w:val="0"/>
                <w:rPr>
                  <w:sz w:val="14"/>
                  <w:szCs w:val="16"/>
                </w:rPr>
              </w:pPr>
              <w:r>
                <w:rPr>
                  <w:sz w:val="14"/>
                  <w:szCs w:val="16"/>
                </w:rPr>
                <w:t>dd – mm - aaaa</w:t>
              </w:r>
            </w:p>
          </w:tc>
          <w:tc>
            <w:tcPr>
              <w:tcW w:w="646" w:type="pct"/>
              <w:gridSpan w:val="2"/>
              <w:tcBorders>
                <w:top w:val="single" w:sz="4" w:space="0" w:color="auto"/>
                <w:left w:val="single" w:sz="4" w:space="0" w:color="auto"/>
                <w:bottom w:val="single" w:sz="4" w:space="0" w:color="auto"/>
                <w:right w:val="single" w:sz="4" w:space="0" w:color="auto"/>
              </w:tcBorders>
              <w:vAlign w:val="center"/>
            </w:tcPr>
            <w:p w14:paraId="3D158027" w14:textId="77777777" w:rsidR="003D1807" w:rsidRDefault="003D1807" w:rsidP="009E4327">
              <w:pPr>
                <w:spacing w:after="0"/>
                <w:jc w:val="center"/>
                <w:outlineLvl w:val="0"/>
                <w:rPr>
                  <w:sz w:val="14"/>
                  <w:szCs w:val="16"/>
                </w:rPr>
              </w:pPr>
              <w:r>
                <w:rPr>
                  <w:sz w:val="14"/>
                  <w:szCs w:val="16"/>
                </w:rPr>
                <w:t>V-3</w:t>
              </w:r>
            </w:p>
          </w:tc>
        </w:tr>
      </w:tbl>
      <w:p w14:paraId="4E3C8D1E" w14:textId="391E8D4A" w:rsidR="00C04679" w:rsidRPr="009E4327" w:rsidRDefault="00000000" w:rsidP="009E4327">
        <w:pPr>
          <w:pStyle w:val="Encabezado"/>
          <w:rPr>
            <w:rFonts w:ascii="Arial" w:eastAsia="Times New Roman" w:hAnsi="Arial" w:cs="Arial"/>
            <w:sz w:val="16"/>
            <w:lang w:val="es-E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5907"/>
    <w:multiLevelType w:val="hybridMultilevel"/>
    <w:tmpl w:val="480078FA"/>
    <w:lvl w:ilvl="0" w:tplc="816802DC">
      <w:start w:val="1"/>
      <w:numFmt w:val="decimal"/>
      <w:lvlText w:val="%1."/>
      <w:lvlJc w:val="left"/>
      <w:pPr>
        <w:ind w:left="720" w:hanging="360"/>
      </w:pPr>
      <w:rPr>
        <w:rFonts w:ascii="Arial" w:hAnsi="Arial" w:hint="default"/>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32798A"/>
    <w:multiLevelType w:val="multilevel"/>
    <w:tmpl w:val="C5BE97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65E8BF"/>
    <w:multiLevelType w:val="hybridMultilevel"/>
    <w:tmpl w:val="D670306A"/>
    <w:lvl w:ilvl="0" w:tplc="B6CE99FA">
      <w:start w:val="1"/>
      <w:numFmt w:val="bullet"/>
      <w:lvlText w:val="·"/>
      <w:lvlJc w:val="left"/>
      <w:pPr>
        <w:ind w:left="720" w:hanging="360"/>
      </w:pPr>
      <w:rPr>
        <w:rFonts w:ascii="Symbol" w:hAnsi="Symbol" w:hint="default"/>
      </w:rPr>
    </w:lvl>
    <w:lvl w:ilvl="1" w:tplc="B3CE90D4">
      <w:start w:val="1"/>
      <w:numFmt w:val="bullet"/>
      <w:lvlText w:val="o"/>
      <w:lvlJc w:val="left"/>
      <w:pPr>
        <w:ind w:left="1440" w:hanging="360"/>
      </w:pPr>
      <w:rPr>
        <w:rFonts w:ascii="Courier New" w:hAnsi="Courier New" w:hint="default"/>
      </w:rPr>
    </w:lvl>
    <w:lvl w:ilvl="2" w:tplc="9020A59C">
      <w:start w:val="1"/>
      <w:numFmt w:val="bullet"/>
      <w:lvlText w:val=""/>
      <w:lvlJc w:val="left"/>
      <w:pPr>
        <w:ind w:left="2160" w:hanging="360"/>
      </w:pPr>
      <w:rPr>
        <w:rFonts w:ascii="Wingdings" w:hAnsi="Wingdings" w:hint="default"/>
      </w:rPr>
    </w:lvl>
    <w:lvl w:ilvl="3" w:tplc="FB8CB602">
      <w:start w:val="1"/>
      <w:numFmt w:val="bullet"/>
      <w:lvlText w:val=""/>
      <w:lvlJc w:val="left"/>
      <w:pPr>
        <w:ind w:left="2880" w:hanging="360"/>
      </w:pPr>
      <w:rPr>
        <w:rFonts w:ascii="Symbol" w:hAnsi="Symbol" w:hint="default"/>
      </w:rPr>
    </w:lvl>
    <w:lvl w:ilvl="4" w:tplc="0C6C0A9A">
      <w:start w:val="1"/>
      <w:numFmt w:val="bullet"/>
      <w:lvlText w:val="o"/>
      <w:lvlJc w:val="left"/>
      <w:pPr>
        <w:ind w:left="3600" w:hanging="360"/>
      </w:pPr>
      <w:rPr>
        <w:rFonts w:ascii="Courier New" w:hAnsi="Courier New" w:hint="default"/>
      </w:rPr>
    </w:lvl>
    <w:lvl w:ilvl="5" w:tplc="16CABDEE">
      <w:start w:val="1"/>
      <w:numFmt w:val="bullet"/>
      <w:lvlText w:val=""/>
      <w:lvlJc w:val="left"/>
      <w:pPr>
        <w:ind w:left="4320" w:hanging="360"/>
      </w:pPr>
      <w:rPr>
        <w:rFonts w:ascii="Wingdings" w:hAnsi="Wingdings" w:hint="default"/>
      </w:rPr>
    </w:lvl>
    <w:lvl w:ilvl="6" w:tplc="CED0833A">
      <w:start w:val="1"/>
      <w:numFmt w:val="bullet"/>
      <w:lvlText w:val=""/>
      <w:lvlJc w:val="left"/>
      <w:pPr>
        <w:ind w:left="5040" w:hanging="360"/>
      </w:pPr>
      <w:rPr>
        <w:rFonts w:ascii="Symbol" w:hAnsi="Symbol" w:hint="default"/>
      </w:rPr>
    </w:lvl>
    <w:lvl w:ilvl="7" w:tplc="D9807B52">
      <w:start w:val="1"/>
      <w:numFmt w:val="bullet"/>
      <w:lvlText w:val="o"/>
      <w:lvlJc w:val="left"/>
      <w:pPr>
        <w:ind w:left="5760" w:hanging="360"/>
      </w:pPr>
      <w:rPr>
        <w:rFonts w:ascii="Courier New" w:hAnsi="Courier New" w:hint="default"/>
      </w:rPr>
    </w:lvl>
    <w:lvl w:ilvl="8" w:tplc="55307304">
      <w:start w:val="1"/>
      <w:numFmt w:val="bullet"/>
      <w:lvlText w:val=""/>
      <w:lvlJc w:val="left"/>
      <w:pPr>
        <w:ind w:left="6480" w:hanging="360"/>
      </w:pPr>
      <w:rPr>
        <w:rFonts w:ascii="Wingdings" w:hAnsi="Wingdings" w:hint="default"/>
      </w:rPr>
    </w:lvl>
  </w:abstractNum>
  <w:abstractNum w:abstractNumId="3" w15:restartNumberingAfterBreak="0">
    <w:nsid w:val="02B8E98C"/>
    <w:multiLevelType w:val="hybridMultilevel"/>
    <w:tmpl w:val="D42AEC26"/>
    <w:lvl w:ilvl="0" w:tplc="FF9C906C">
      <w:start w:val="1"/>
      <w:numFmt w:val="bullet"/>
      <w:lvlText w:val=""/>
      <w:lvlJc w:val="left"/>
      <w:pPr>
        <w:ind w:left="720" w:hanging="360"/>
      </w:pPr>
      <w:rPr>
        <w:rFonts w:ascii="Symbol" w:hAnsi="Symbol" w:hint="default"/>
      </w:rPr>
    </w:lvl>
    <w:lvl w:ilvl="1" w:tplc="065C6916">
      <w:start w:val="1"/>
      <w:numFmt w:val="bullet"/>
      <w:lvlText w:val="o"/>
      <w:lvlJc w:val="left"/>
      <w:pPr>
        <w:ind w:left="1440" w:hanging="360"/>
      </w:pPr>
      <w:rPr>
        <w:rFonts w:ascii="Courier New" w:hAnsi="Courier New" w:hint="default"/>
      </w:rPr>
    </w:lvl>
    <w:lvl w:ilvl="2" w:tplc="CB921D68">
      <w:start w:val="1"/>
      <w:numFmt w:val="bullet"/>
      <w:lvlText w:val=""/>
      <w:lvlJc w:val="left"/>
      <w:pPr>
        <w:ind w:left="2160" w:hanging="360"/>
      </w:pPr>
      <w:rPr>
        <w:rFonts w:ascii="Wingdings" w:hAnsi="Wingdings" w:hint="default"/>
      </w:rPr>
    </w:lvl>
    <w:lvl w:ilvl="3" w:tplc="88D86918">
      <w:start w:val="1"/>
      <w:numFmt w:val="bullet"/>
      <w:lvlText w:val=""/>
      <w:lvlJc w:val="left"/>
      <w:pPr>
        <w:ind w:left="2880" w:hanging="360"/>
      </w:pPr>
      <w:rPr>
        <w:rFonts w:ascii="Symbol" w:hAnsi="Symbol" w:hint="default"/>
      </w:rPr>
    </w:lvl>
    <w:lvl w:ilvl="4" w:tplc="29A63CB0">
      <w:start w:val="1"/>
      <w:numFmt w:val="bullet"/>
      <w:lvlText w:val="o"/>
      <w:lvlJc w:val="left"/>
      <w:pPr>
        <w:ind w:left="3600" w:hanging="360"/>
      </w:pPr>
      <w:rPr>
        <w:rFonts w:ascii="Courier New" w:hAnsi="Courier New" w:hint="default"/>
      </w:rPr>
    </w:lvl>
    <w:lvl w:ilvl="5" w:tplc="A7F63AFA">
      <w:start w:val="1"/>
      <w:numFmt w:val="bullet"/>
      <w:lvlText w:val=""/>
      <w:lvlJc w:val="left"/>
      <w:pPr>
        <w:ind w:left="4320" w:hanging="360"/>
      </w:pPr>
      <w:rPr>
        <w:rFonts w:ascii="Wingdings" w:hAnsi="Wingdings" w:hint="default"/>
      </w:rPr>
    </w:lvl>
    <w:lvl w:ilvl="6" w:tplc="FAAA0E5E">
      <w:start w:val="1"/>
      <w:numFmt w:val="bullet"/>
      <w:lvlText w:val=""/>
      <w:lvlJc w:val="left"/>
      <w:pPr>
        <w:ind w:left="5040" w:hanging="360"/>
      </w:pPr>
      <w:rPr>
        <w:rFonts w:ascii="Symbol" w:hAnsi="Symbol" w:hint="default"/>
      </w:rPr>
    </w:lvl>
    <w:lvl w:ilvl="7" w:tplc="6D0E28F4">
      <w:start w:val="1"/>
      <w:numFmt w:val="bullet"/>
      <w:lvlText w:val="o"/>
      <w:lvlJc w:val="left"/>
      <w:pPr>
        <w:ind w:left="5760" w:hanging="360"/>
      </w:pPr>
      <w:rPr>
        <w:rFonts w:ascii="Courier New" w:hAnsi="Courier New" w:hint="default"/>
      </w:rPr>
    </w:lvl>
    <w:lvl w:ilvl="8" w:tplc="A3765BB4">
      <w:start w:val="1"/>
      <w:numFmt w:val="bullet"/>
      <w:lvlText w:val=""/>
      <w:lvlJc w:val="left"/>
      <w:pPr>
        <w:ind w:left="6480" w:hanging="360"/>
      </w:pPr>
      <w:rPr>
        <w:rFonts w:ascii="Wingdings" w:hAnsi="Wingdings" w:hint="default"/>
      </w:rPr>
    </w:lvl>
  </w:abstractNum>
  <w:abstractNum w:abstractNumId="4" w15:restartNumberingAfterBreak="0">
    <w:nsid w:val="04C932FB"/>
    <w:multiLevelType w:val="hybridMultilevel"/>
    <w:tmpl w:val="EFD8DF5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05CB6503"/>
    <w:multiLevelType w:val="multilevel"/>
    <w:tmpl w:val="BF7A5C7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6267158"/>
    <w:multiLevelType w:val="hybridMultilevel"/>
    <w:tmpl w:val="BD7E0F10"/>
    <w:lvl w:ilvl="0" w:tplc="1B0CEAAE">
      <w:start w:val="1"/>
      <w:numFmt w:val="bullet"/>
      <w:lvlText w:val=""/>
      <w:lvlJc w:val="left"/>
      <w:pPr>
        <w:ind w:left="1080" w:hanging="360"/>
      </w:pPr>
      <w:rPr>
        <w:rFonts w:ascii="Symbol" w:hAnsi="Symbol" w:hint="default"/>
      </w:rPr>
    </w:lvl>
    <w:lvl w:ilvl="1" w:tplc="942CDBCC">
      <w:start w:val="1"/>
      <w:numFmt w:val="bullet"/>
      <w:lvlText w:val="o"/>
      <w:lvlJc w:val="left"/>
      <w:pPr>
        <w:ind w:left="1800" w:hanging="360"/>
      </w:pPr>
      <w:rPr>
        <w:rFonts w:ascii="Courier New" w:hAnsi="Courier New" w:hint="default"/>
      </w:rPr>
    </w:lvl>
    <w:lvl w:ilvl="2" w:tplc="C64855B4">
      <w:start w:val="1"/>
      <w:numFmt w:val="bullet"/>
      <w:lvlText w:val=""/>
      <w:lvlJc w:val="left"/>
      <w:pPr>
        <w:ind w:left="2520" w:hanging="360"/>
      </w:pPr>
      <w:rPr>
        <w:rFonts w:ascii="Wingdings" w:hAnsi="Wingdings" w:hint="default"/>
      </w:rPr>
    </w:lvl>
    <w:lvl w:ilvl="3" w:tplc="31F01D4E">
      <w:start w:val="1"/>
      <w:numFmt w:val="bullet"/>
      <w:lvlText w:val=""/>
      <w:lvlJc w:val="left"/>
      <w:pPr>
        <w:ind w:left="3240" w:hanging="360"/>
      </w:pPr>
      <w:rPr>
        <w:rFonts w:ascii="Symbol" w:hAnsi="Symbol" w:hint="default"/>
      </w:rPr>
    </w:lvl>
    <w:lvl w:ilvl="4" w:tplc="B96616F8">
      <w:start w:val="1"/>
      <w:numFmt w:val="bullet"/>
      <w:lvlText w:val="o"/>
      <w:lvlJc w:val="left"/>
      <w:pPr>
        <w:ind w:left="3960" w:hanging="360"/>
      </w:pPr>
      <w:rPr>
        <w:rFonts w:ascii="Courier New" w:hAnsi="Courier New" w:hint="default"/>
      </w:rPr>
    </w:lvl>
    <w:lvl w:ilvl="5" w:tplc="72B4D400">
      <w:start w:val="1"/>
      <w:numFmt w:val="bullet"/>
      <w:lvlText w:val=""/>
      <w:lvlJc w:val="left"/>
      <w:pPr>
        <w:ind w:left="4680" w:hanging="360"/>
      </w:pPr>
      <w:rPr>
        <w:rFonts w:ascii="Wingdings" w:hAnsi="Wingdings" w:hint="default"/>
      </w:rPr>
    </w:lvl>
    <w:lvl w:ilvl="6" w:tplc="94ECBEB2">
      <w:start w:val="1"/>
      <w:numFmt w:val="bullet"/>
      <w:lvlText w:val=""/>
      <w:lvlJc w:val="left"/>
      <w:pPr>
        <w:ind w:left="5400" w:hanging="360"/>
      </w:pPr>
      <w:rPr>
        <w:rFonts w:ascii="Symbol" w:hAnsi="Symbol" w:hint="default"/>
      </w:rPr>
    </w:lvl>
    <w:lvl w:ilvl="7" w:tplc="33D27FCE">
      <w:start w:val="1"/>
      <w:numFmt w:val="bullet"/>
      <w:lvlText w:val="o"/>
      <w:lvlJc w:val="left"/>
      <w:pPr>
        <w:ind w:left="6120" w:hanging="360"/>
      </w:pPr>
      <w:rPr>
        <w:rFonts w:ascii="Courier New" w:hAnsi="Courier New" w:hint="default"/>
      </w:rPr>
    </w:lvl>
    <w:lvl w:ilvl="8" w:tplc="A56486CA">
      <w:start w:val="1"/>
      <w:numFmt w:val="bullet"/>
      <w:lvlText w:val=""/>
      <w:lvlJc w:val="left"/>
      <w:pPr>
        <w:ind w:left="6840" w:hanging="360"/>
      </w:pPr>
      <w:rPr>
        <w:rFonts w:ascii="Wingdings" w:hAnsi="Wingdings" w:hint="default"/>
      </w:rPr>
    </w:lvl>
  </w:abstractNum>
  <w:abstractNum w:abstractNumId="7" w15:restartNumberingAfterBreak="0">
    <w:nsid w:val="066F0F44"/>
    <w:multiLevelType w:val="multilevel"/>
    <w:tmpl w:val="92D443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230BC1"/>
    <w:multiLevelType w:val="multilevel"/>
    <w:tmpl w:val="3F5054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78520E5"/>
    <w:multiLevelType w:val="hybridMultilevel"/>
    <w:tmpl w:val="610686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8A13502"/>
    <w:multiLevelType w:val="hybridMultilevel"/>
    <w:tmpl w:val="31ACE2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8FDE37E"/>
    <w:multiLevelType w:val="hybridMultilevel"/>
    <w:tmpl w:val="6794000C"/>
    <w:lvl w:ilvl="0" w:tplc="4EB00964">
      <w:start w:val="1"/>
      <w:numFmt w:val="bullet"/>
      <w:lvlText w:val=""/>
      <w:lvlJc w:val="left"/>
      <w:pPr>
        <w:ind w:left="720" w:hanging="360"/>
      </w:pPr>
      <w:rPr>
        <w:rFonts w:ascii="Symbol" w:hAnsi="Symbol" w:hint="default"/>
      </w:rPr>
    </w:lvl>
    <w:lvl w:ilvl="1" w:tplc="842E6A18">
      <w:start w:val="1"/>
      <w:numFmt w:val="bullet"/>
      <w:lvlText w:val="o"/>
      <w:lvlJc w:val="left"/>
      <w:pPr>
        <w:ind w:left="1440" w:hanging="360"/>
      </w:pPr>
      <w:rPr>
        <w:rFonts w:ascii="Courier New" w:hAnsi="Courier New" w:hint="default"/>
      </w:rPr>
    </w:lvl>
    <w:lvl w:ilvl="2" w:tplc="760876AE">
      <w:start w:val="1"/>
      <w:numFmt w:val="bullet"/>
      <w:lvlText w:val=""/>
      <w:lvlJc w:val="left"/>
      <w:pPr>
        <w:ind w:left="2160" w:hanging="360"/>
      </w:pPr>
      <w:rPr>
        <w:rFonts w:ascii="Wingdings" w:hAnsi="Wingdings" w:hint="default"/>
      </w:rPr>
    </w:lvl>
    <w:lvl w:ilvl="3" w:tplc="7D98A1A8">
      <w:start w:val="1"/>
      <w:numFmt w:val="bullet"/>
      <w:lvlText w:val=""/>
      <w:lvlJc w:val="left"/>
      <w:pPr>
        <w:ind w:left="2880" w:hanging="360"/>
      </w:pPr>
      <w:rPr>
        <w:rFonts w:ascii="Symbol" w:hAnsi="Symbol" w:hint="default"/>
      </w:rPr>
    </w:lvl>
    <w:lvl w:ilvl="4" w:tplc="10E8ED60">
      <w:start w:val="1"/>
      <w:numFmt w:val="bullet"/>
      <w:lvlText w:val="o"/>
      <w:lvlJc w:val="left"/>
      <w:pPr>
        <w:ind w:left="3600" w:hanging="360"/>
      </w:pPr>
      <w:rPr>
        <w:rFonts w:ascii="Courier New" w:hAnsi="Courier New" w:hint="default"/>
      </w:rPr>
    </w:lvl>
    <w:lvl w:ilvl="5" w:tplc="2034EFA2">
      <w:start w:val="1"/>
      <w:numFmt w:val="bullet"/>
      <w:lvlText w:val=""/>
      <w:lvlJc w:val="left"/>
      <w:pPr>
        <w:ind w:left="4320" w:hanging="360"/>
      </w:pPr>
      <w:rPr>
        <w:rFonts w:ascii="Wingdings" w:hAnsi="Wingdings" w:hint="default"/>
      </w:rPr>
    </w:lvl>
    <w:lvl w:ilvl="6" w:tplc="C50615A6">
      <w:start w:val="1"/>
      <w:numFmt w:val="bullet"/>
      <w:lvlText w:val=""/>
      <w:lvlJc w:val="left"/>
      <w:pPr>
        <w:ind w:left="5040" w:hanging="360"/>
      </w:pPr>
      <w:rPr>
        <w:rFonts w:ascii="Symbol" w:hAnsi="Symbol" w:hint="default"/>
      </w:rPr>
    </w:lvl>
    <w:lvl w:ilvl="7" w:tplc="BF187470">
      <w:start w:val="1"/>
      <w:numFmt w:val="bullet"/>
      <w:lvlText w:val="o"/>
      <w:lvlJc w:val="left"/>
      <w:pPr>
        <w:ind w:left="5760" w:hanging="360"/>
      </w:pPr>
      <w:rPr>
        <w:rFonts w:ascii="Courier New" w:hAnsi="Courier New" w:hint="default"/>
      </w:rPr>
    </w:lvl>
    <w:lvl w:ilvl="8" w:tplc="8B1A0A1A">
      <w:start w:val="1"/>
      <w:numFmt w:val="bullet"/>
      <w:lvlText w:val=""/>
      <w:lvlJc w:val="left"/>
      <w:pPr>
        <w:ind w:left="6480" w:hanging="360"/>
      </w:pPr>
      <w:rPr>
        <w:rFonts w:ascii="Wingdings" w:hAnsi="Wingdings" w:hint="default"/>
      </w:rPr>
    </w:lvl>
  </w:abstractNum>
  <w:abstractNum w:abstractNumId="12" w15:restartNumberingAfterBreak="0">
    <w:nsid w:val="090544A9"/>
    <w:multiLevelType w:val="multilevel"/>
    <w:tmpl w:val="8008531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0986075C"/>
    <w:multiLevelType w:val="multilevel"/>
    <w:tmpl w:val="1B7495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EE971C"/>
    <w:multiLevelType w:val="hybridMultilevel"/>
    <w:tmpl w:val="52B2E6DA"/>
    <w:lvl w:ilvl="0" w:tplc="C7C087E4">
      <w:start w:val="1"/>
      <w:numFmt w:val="bullet"/>
      <w:lvlText w:val=""/>
      <w:lvlJc w:val="left"/>
      <w:pPr>
        <w:ind w:left="720" w:hanging="360"/>
      </w:pPr>
      <w:rPr>
        <w:rFonts w:ascii="Symbol" w:hAnsi="Symbol" w:hint="default"/>
      </w:rPr>
    </w:lvl>
    <w:lvl w:ilvl="1" w:tplc="BCF6C940">
      <w:start w:val="1"/>
      <w:numFmt w:val="bullet"/>
      <w:lvlText w:val="o"/>
      <w:lvlJc w:val="left"/>
      <w:pPr>
        <w:ind w:left="1440" w:hanging="360"/>
      </w:pPr>
      <w:rPr>
        <w:rFonts w:ascii="Courier New" w:hAnsi="Courier New" w:hint="default"/>
      </w:rPr>
    </w:lvl>
    <w:lvl w:ilvl="2" w:tplc="38C0808E">
      <w:start w:val="1"/>
      <w:numFmt w:val="bullet"/>
      <w:lvlText w:val=""/>
      <w:lvlJc w:val="left"/>
      <w:pPr>
        <w:ind w:left="2160" w:hanging="360"/>
      </w:pPr>
      <w:rPr>
        <w:rFonts w:ascii="Wingdings" w:hAnsi="Wingdings" w:hint="default"/>
      </w:rPr>
    </w:lvl>
    <w:lvl w:ilvl="3" w:tplc="3FC85D00">
      <w:start w:val="1"/>
      <w:numFmt w:val="bullet"/>
      <w:lvlText w:val=""/>
      <w:lvlJc w:val="left"/>
      <w:pPr>
        <w:ind w:left="2880" w:hanging="360"/>
      </w:pPr>
      <w:rPr>
        <w:rFonts w:ascii="Symbol" w:hAnsi="Symbol" w:hint="default"/>
      </w:rPr>
    </w:lvl>
    <w:lvl w:ilvl="4" w:tplc="2F0AD9E2">
      <w:start w:val="1"/>
      <w:numFmt w:val="bullet"/>
      <w:lvlText w:val="o"/>
      <w:lvlJc w:val="left"/>
      <w:pPr>
        <w:ind w:left="3600" w:hanging="360"/>
      </w:pPr>
      <w:rPr>
        <w:rFonts w:ascii="Courier New" w:hAnsi="Courier New" w:hint="default"/>
      </w:rPr>
    </w:lvl>
    <w:lvl w:ilvl="5" w:tplc="2DD83AFA">
      <w:start w:val="1"/>
      <w:numFmt w:val="bullet"/>
      <w:lvlText w:val=""/>
      <w:lvlJc w:val="left"/>
      <w:pPr>
        <w:ind w:left="4320" w:hanging="360"/>
      </w:pPr>
      <w:rPr>
        <w:rFonts w:ascii="Wingdings" w:hAnsi="Wingdings" w:hint="default"/>
      </w:rPr>
    </w:lvl>
    <w:lvl w:ilvl="6" w:tplc="DDC6B1D4">
      <w:start w:val="1"/>
      <w:numFmt w:val="bullet"/>
      <w:lvlText w:val=""/>
      <w:lvlJc w:val="left"/>
      <w:pPr>
        <w:ind w:left="5040" w:hanging="360"/>
      </w:pPr>
      <w:rPr>
        <w:rFonts w:ascii="Symbol" w:hAnsi="Symbol" w:hint="default"/>
      </w:rPr>
    </w:lvl>
    <w:lvl w:ilvl="7" w:tplc="A802CE8C">
      <w:start w:val="1"/>
      <w:numFmt w:val="bullet"/>
      <w:lvlText w:val="o"/>
      <w:lvlJc w:val="left"/>
      <w:pPr>
        <w:ind w:left="5760" w:hanging="360"/>
      </w:pPr>
      <w:rPr>
        <w:rFonts w:ascii="Courier New" w:hAnsi="Courier New" w:hint="default"/>
      </w:rPr>
    </w:lvl>
    <w:lvl w:ilvl="8" w:tplc="77F44FE2">
      <w:start w:val="1"/>
      <w:numFmt w:val="bullet"/>
      <w:lvlText w:val=""/>
      <w:lvlJc w:val="left"/>
      <w:pPr>
        <w:ind w:left="6480" w:hanging="360"/>
      </w:pPr>
      <w:rPr>
        <w:rFonts w:ascii="Wingdings" w:hAnsi="Wingdings" w:hint="default"/>
      </w:rPr>
    </w:lvl>
  </w:abstractNum>
  <w:abstractNum w:abstractNumId="15" w15:restartNumberingAfterBreak="0">
    <w:nsid w:val="0DD01B4C"/>
    <w:multiLevelType w:val="multilevel"/>
    <w:tmpl w:val="CABE577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0E06DD5A"/>
    <w:multiLevelType w:val="hybridMultilevel"/>
    <w:tmpl w:val="2CAE7762"/>
    <w:lvl w:ilvl="0" w:tplc="8BCA283A">
      <w:start w:val="1"/>
      <w:numFmt w:val="lowerLetter"/>
      <w:lvlText w:val="%1."/>
      <w:lvlJc w:val="left"/>
      <w:pPr>
        <w:ind w:left="720" w:hanging="360"/>
      </w:pPr>
      <w:rPr>
        <w:rFonts w:hint="default"/>
        <w:b/>
        <w:i w:val="0"/>
      </w:rPr>
    </w:lvl>
    <w:lvl w:ilvl="1" w:tplc="D8AE21A4">
      <w:start w:val="1"/>
      <w:numFmt w:val="lowerLetter"/>
      <w:lvlText w:val="%2."/>
      <w:lvlJc w:val="left"/>
      <w:pPr>
        <w:ind w:left="1440" w:hanging="360"/>
      </w:pPr>
    </w:lvl>
    <w:lvl w:ilvl="2" w:tplc="102A72F2">
      <w:start w:val="1"/>
      <w:numFmt w:val="lowerRoman"/>
      <w:lvlText w:val="%3."/>
      <w:lvlJc w:val="right"/>
      <w:pPr>
        <w:ind w:left="2160" w:hanging="180"/>
      </w:pPr>
    </w:lvl>
    <w:lvl w:ilvl="3" w:tplc="15861788">
      <w:start w:val="1"/>
      <w:numFmt w:val="decimal"/>
      <w:lvlText w:val="%4."/>
      <w:lvlJc w:val="left"/>
      <w:pPr>
        <w:ind w:left="2880" w:hanging="360"/>
      </w:pPr>
    </w:lvl>
    <w:lvl w:ilvl="4" w:tplc="0568C262">
      <w:start w:val="1"/>
      <w:numFmt w:val="lowerLetter"/>
      <w:lvlText w:val="%5."/>
      <w:lvlJc w:val="left"/>
      <w:pPr>
        <w:ind w:left="3600" w:hanging="360"/>
      </w:pPr>
    </w:lvl>
    <w:lvl w:ilvl="5" w:tplc="D9682506">
      <w:start w:val="1"/>
      <w:numFmt w:val="lowerRoman"/>
      <w:lvlText w:val="%6."/>
      <w:lvlJc w:val="right"/>
      <w:pPr>
        <w:ind w:left="4320" w:hanging="180"/>
      </w:pPr>
    </w:lvl>
    <w:lvl w:ilvl="6" w:tplc="D43EFA26">
      <w:start w:val="1"/>
      <w:numFmt w:val="decimal"/>
      <w:lvlText w:val="%7."/>
      <w:lvlJc w:val="left"/>
      <w:pPr>
        <w:ind w:left="5040" w:hanging="360"/>
      </w:pPr>
    </w:lvl>
    <w:lvl w:ilvl="7" w:tplc="1A14C81C">
      <w:start w:val="1"/>
      <w:numFmt w:val="lowerLetter"/>
      <w:lvlText w:val="%8."/>
      <w:lvlJc w:val="left"/>
      <w:pPr>
        <w:ind w:left="5760" w:hanging="360"/>
      </w:pPr>
    </w:lvl>
    <w:lvl w:ilvl="8" w:tplc="6684479E">
      <w:start w:val="1"/>
      <w:numFmt w:val="lowerRoman"/>
      <w:lvlText w:val="%9."/>
      <w:lvlJc w:val="right"/>
      <w:pPr>
        <w:ind w:left="6480" w:hanging="180"/>
      </w:pPr>
    </w:lvl>
  </w:abstractNum>
  <w:abstractNum w:abstractNumId="17" w15:restartNumberingAfterBreak="0">
    <w:nsid w:val="0F480157"/>
    <w:multiLevelType w:val="multilevel"/>
    <w:tmpl w:val="2C2E43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CE0E5B"/>
    <w:multiLevelType w:val="multilevel"/>
    <w:tmpl w:val="E9B69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0D01CC0"/>
    <w:multiLevelType w:val="multilevel"/>
    <w:tmpl w:val="18363EDE"/>
    <w:lvl w:ilvl="0">
      <w:start w:val="1"/>
      <w:numFmt w:val="decimal"/>
      <w:lvlText w:val="%1."/>
      <w:lvlJc w:val="left"/>
      <w:pPr>
        <w:ind w:left="349" w:hanging="360"/>
      </w:pPr>
      <w:rPr>
        <w:rFonts w:hint="default"/>
      </w:rPr>
    </w:lvl>
    <w:lvl w:ilvl="1">
      <w:start w:val="7"/>
      <w:numFmt w:val="decimal"/>
      <w:isLgl/>
      <w:lvlText w:val="%1.%2"/>
      <w:lvlJc w:val="left"/>
      <w:pPr>
        <w:ind w:left="594" w:hanging="600"/>
      </w:pPr>
      <w:rPr>
        <w:rFonts w:hint="default"/>
      </w:rPr>
    </w:lvl>
    <w:lvl w:ilvl="2">
      <w:start w:val="5"/>
      <w:numFmt w:val="decimal"/>
      <w:isLgl/>
      <w:lvlText w:val="%1.%2.%3"/>
      <w:lvlJc w:val="left"/>
      <w:pPr>
        <w:ind w:left="719" w:hanging="720"/>
      </w:pPr>
      <w:rPr>
        <w:rFonts w:hint="default"/>
      </w:rPr>
    </w:lvl>
    <w:lvl w:ilvl="3">
      <w:start w:val="1"/>
      <w:numFmt w:val="decimal"/>
      <w:isLgl/>
      <w:lvlText w:val="%1.%2.%3.%4"/>
      <w:lvlJc w:val="left"/>
      <w:pPr>
        <w:ind w:left="1084" w:hanging="108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454" w:hanging="144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824" w:hanging="1800"/>
      </w:pPr>
      <w:rPr>
        <w:rFonts w:hint="default"/>
      </w:rPr>
    </w:lvl>
    <w:lvl w:ilvl="8">
      <w:start w:val="1"/>
      <w:numFmt w:val="decimal"/>
      <w:isLgl/>
      <w:lvlText w:val="%1.%2.%3.%4.%5.%6.%7.%8.%9"/>
      <w:lvlJc w:val="left"/>
      <w:pPr>
        <w:ind w:left="1829" w:hanging="1800"/>
      </w:pPr>
      <w:rPr>
        <w:rFonts w:hint="default"/>
      </w:rPr>
    </w:lvl>
  </w:abstractNum>
  <w:abstractNum w:abstractNumId="20" w15:restartNumberingAfterBreak="0">
    <w:nsid w:val="11D144F2"/>
    <w:multiLevelType w:val="multilevel"/>
    <w:tmpl w:val="8F8EC9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C65F6C"/>
    <w:multiLevelType w:val="multilevel"/>
    <w:tmpl w:val="076620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D63C7F"/>
    <w:multiLevelType w:val="hybridMultilevel"/>
    <w:tmpl w:val="4C08309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1321026B"/>
    <w:multiLevelType w:val="multilevel"/>
    <w:tmpl w:val="F8488A8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15:restartNumberingAfterBreak="0">
    <w:nsid w:val="135ED449"/>
    <w:multiLevelType w:val="hybridMultilevel"/>
    <w:tmpl w:val="35009818"/>
    <w:lvl w:ilvl="0" w:tplc="65C0DACE">
      <w:start w:val="1"/>
      <w:numFmt w:val="bullet"/>
      <w:lvlText w:val=""/>
      <w:lvlJc w:val="left"/>
      <w:pPr>
        <w:ind w:left="1080" w:hanging="360"/>
      </w:pPr>
      <w:rPr>
        <w:rFonts w:ascii="Symbol" w:hAnsi="Symbol" w:hint="default"/>
      </w:rPr>
    </w:lvl>
    <w:lvl w:ilvl="1" w:tplc="C45C926A">
      <w:start w:val="1"/>
      <w:numFmt w:val="bullet"/>
      <w:lvlText w:val="o"/>
      <w:lvlJc w:val="left"/>
      <w:pPr>
        <w:ind w:left="1800" w:hanging="360"/>
      </w:pPr>
      <w:rPr>
        <w:rFonts w:ascii="Courier New" w:hAnsi="Courier New" w:hint="default"/>
      </w:rPr>
    </w:lvl>
    <w:lvl w:ilvl="2" w:tplc="5A2E13AC">
      <w:start w:val="1"/>
      <w:numFmt w:val="bullet"/>
      <w:lvlText w:val=""/>
      <w:lvlJc w:val="left"/>
      <w:pPr>
        <w:ind w:left="2520" w:hanging="360"/>
      </w:pPr>
      <w:rPr>
        <w:rFonts w:ascii="Wingdings" w:hAnsi="Wingdings" w:hint="default"/>
      </w:rPr>
    </w:lvl>
    <w:lvl w:ilvl="3" w:tplc="EE40D0EA">
      <w:start w:val="1"/>
      <w:numFmt w:val="bullet"/>
      <w:lvlText w:val=""/>
      <w:lvlJc w:val="left"/>
      <w:pPr>
        <w:ind w:left="3240" w:hanging="360"/>
      </w:pPr>
      <w:rPr>
        <w:rFonts w:ascii="Symbol" w:hAnsi="Symbol" w:hint="default"/>
      </w:rPr>
    </w:lvl>
    <w:lvl w:ilvl="4" w:tplc="3C5A95D8">
      <w:start w:val="1"/>
      <w:numFmt w:val="bullet"/>
      <w:lvlText w:val="o"/>
      <w:lvlJc w:val="left"/>
      <w:pPr>
        <w:ind w:left="3960" w:hanging="360"/>
      </w:pPr>
      <w:rPr>
        <w:rFonts w:ascii="Courier New" w:hAnsi="Courier New" w:hint="default"/>
      </w:rPr>
    </w:lvl>
    <w:lvl w:ilvl="5" w:tplc="22963892">
      <w:start w:val="1"/>
      <w:numFmt w:val="bullet"/>
      <w:lvlText w:val=""/>
      <w:lvlJc w:val="left"/>
      <w:pPr>
        <w:ind w:left="4680" w:hanging="360"/>
      </w:pPr>
      <w:rPr>
        <w:rFonts w:ascii="Wingdings" w:hAnsi="Wingdings" w:hint="default"/>
      </w:rPr>
    </w:lvl>
    <w:lvl w:ilvl="6" w:tplc="85605D72">
      <w:start w:val="1"/>
      <w:numFmt w:val="bullet"/>
      <w:lvlText w:val=""/>
      <w:lvlJc w:val="left"/>
      <w:pPr>
        <w:ind w:left="5400" w:hanging="360"/>
      </w:pPr>
      <w:rPr>
        <w:rFonts w:ascii="Symbol" w:hAnsi="Symbol" w:hint="default"/>
      </w:rPr>
    </w:lvl>
    <w:lvl w:ilvl="7" w:tplc="5464E3B2">
      <w:start w:val="1"/>
      <w:numFmt w:val="bullet"/>
      <w:lvlText w:val="o"/>
      <w:lvlJc w:val="left"/>
      <w:pPr>
        <w:ind w:left="6120" w:hanging="360"/>
      </w:pPr>
      <w:rPr>
        <w:rFonts w:ascii="Courier New" w:hAnsi="Courier New" w:hint="default"/>
      </w:rPr>
    </w:lvl>
    <w:lvl w:ilvl="8" w:tplc="D506073A">
      <w:start w:val="1"/>
      <w:numFmt w:val="bullet"/>
      <w:lvlText w:val=""/>
      <w:lvlJc w:val="left"/>
      <w:pPr>
        <w:ind w:left="6840" w:hanging="360"/>
      </w:pPr>
      <w:rPr>
        <w:rFonts w:ascii="Wingdings" w:hAnsi="Wingdings" w:hint="default"/>
      </w:rPr>
    </w:lvl>
  </w:abstractNum>
  <w:abstractNum w:abstractNumId="25" w15:restartNumberingAfterBreak="0">
    <w:nsid w:val="1377759F"/>
    <w:multiLevelType w:val="hybridMultilevel"/>
    <w:tmpl w:val="C19AA6FA"/>
    <w:lvl w:ilvl="0" w:tplc="698A46F8">
      <w:start w:val="1"/>
      <w:numFmt w:val="decimal"/>
      <w:lvlText w:val="%1."/>
      <w:lvlJc w:val="left"/>
      <w:pPr>
        <w:ind w:left="454" w:hanging="360"/>
      </w:pPr>
      <w:rPr>
        <w:rFonts w:hint="default"/>
        <w:b/>
        <w:bCs/>
      </w:rPr>
    </w:lvl>
    <w:lvl w:ilvl="1" w:tplc="240A0019" w:tentative="1">
      <w:start w:val="1"/>
      <w:numFmt w:val="lowerLetter"/>
      <w:lvlText w:val="%2."/>
      <w:lvlJc w:val="left"/>
      <w:pPr>
        <w:ind w:left="1174" w:hanging="360"/>
      </w:pPr>
    </w:lvl>
    <w:lvl w:ilvl="2" w:tplc="240A001B" w:tentative="1">
      <w:start w:val="1"/>
      <w:numFmt w:val="lowerRoman"/>
      <w:lvlText w:val="%3."/>
      <w:lvlJc w:val="right"/>
      <w:pPr>
        <w:ind w:left="1894" w:hanging="180"/>
      </w:pPr>
    </w:lvl>
    <w:lvl w:ilvl="3" w:tplc="240A000F" w:tentative="1">
      <w:start w:val="1"/>
      <w:numFmt w:val="decimal"/>
      <w:lvlText w:val="%4."/>
      <w:lvlJc w:val="left"/>
      <w:pPr>
        <w:ind w:left="2614" w:hanging="360"/>
      </w:pPr>
    </w:lvl>
    <w:lvl w:ilvl="4" w:tplc="240A0019" w:tentative="1">
      <w:start w:val="1"/>
      <w:numFmt w:val="lowerLetter"/>
      <w:lvlText w:val="%5."/>
      <w:lvlJc w:val="left"/>
      <w:pPr>
        <w:ind w:left="3334" w:hanging="360"/>
      </w:pPr>
    </w:lvl>
    <w:lvl w:ilvl="5" w:tplc="240A001B" w:tentative="1">
      <w:start w:val="1"/>
      <w:numFmt w:val="lowerRoman"/>
      <w:lvlText w:val="%6."/>
      <w:lvlJc w:val="right"/>
      <w:pPr>
        <w:ind w:left="4054" w:hanging="180"/>
      </w:pPr>
    </w:lvl>
    <w:lvl w:ilvl="6" w:tplc="240A000F" w:tentative="1">
      <w:start w:val="1"/>
      <w:numFmt w:val="decimal"/>
      <w:lvlText w:val="%7."/>
      <w:lvlJc w:val="left"/>
      <w:pPr>
        <w:ind w:left="4774" w:hanging="360"/>
      </w:pPr>
    </w:lvl>
    <w:lvl w:ilvl="7" w:tplc="240A0019" w:tentative="1">
      <w:start w:val="1"/>
      <w:numFmt w:val="lowerLetter"/>
      <w:lvlText w:val="%8."/>
      <w:lvlJc w:val="left"/>
      <w:pPr>
        <w:ind w:left="5494" w:hanging="360"/>
      </w:pPr>
    </w:lvl>
    <w:lvl w:ilvl="8" w:tplc="240A001B" w:tentative="1">
      <w:start w:val="1"/>
      <w:numFmt w:val="lowerRoman"/>
      <w:lvlText w:val="%9."/>
      <w:lvlJc w:val="right"/>
      <w:pPr>
        <w:ind w:left="6214" w:hanging="180"/>
      </w:pPr>
    </w:lvl>
  </w:abstractNum>
  <w:abstractNum w:abstractNumId="26" w15:restartNumberingAfterBreak="0">
    <w:nsid w:val="149421E6"/>
    <w:multiLevelType w:val="multilevel"/>
    <w:tmpl w:val="7EEEE1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B80D94"/>
    <w:multiLevelType w:val="hybridMultilevel"/>
    <w:tmpl w:val="E7D69CF4"/>
    <w:lvl w:ilvl="0" w:tplc="AFE474E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150F107B"/>
    <w:multiLevelType w:val="multilevel"/>
    <w:tmpl w:val="98F8DD1A"/>
    <w:lvl w:ilvl="0">
      <w:start w:val="1"/>
      <w:numFmt w:val="decimal"/>
      <w:lvlText w:val="%1."/>
      <w:lvlJc w:val="left"/>
      <w:pPr>
        <w:ind w:left="720" w:hanging="360"/>
      </w:pPr>
      <w:rPr>
        <w:rFonts w:hint="default"/>
      </w:rPr>
    </w:lvl>
    <w:lvl w:ilvl="1">
      <w:start w:val="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58D6C95"/>
    <w:multiLevelType w:val="multilevel"/>
    <w:tmpl w:val="C8E6C7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6AA23A2"/>
    <w:multiLevelType w:val="hybridMultilevel"/>
    <w:tmpl w:val="689ED33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183C7C48"/>
    <w:multiLevelType w:val="multilevel"/>
    <w:tmpl w:val="4FFCEA7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191A2798"/>
    <w:multiLevelType w:val="multilevel"/>
    <w:tmpl w:val="443E65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7C5090"/>
    <w:multiLevelType w:val="multilevel"/>
    <w:tmpl w:val="F6E66A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A892A72"/>
    <w:multiLevelType w:val="multilevel"/>
    <w:tmpl w:val="0C86AF60"/>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5" w15:restartNumberingAfterBreak="0">
    <w:nsid w:val="1B5935EC"/>
    <w:multiLevelType w:val="hybridMultilevel"/>
    <w:tmpl w:val="08261938"/>
    <w:lvl w:ilvl="0" w:tplc="EEBE8118">
      <w:start w:val="1"/>
      <w:numFmt w:val="bullet"/>
      <w:lvlText w:val=""/>
      <w:lvlJc w:val="left"/>
      <w:pPr>
        <w:ind w:left="720" w:hanging="360"/>
      </w:pPr>
      <w:rPr>
        <w:rFonts w:ascii="Symbol" w:hAnsi="Symbol" w:hint="default"/>
      </w:rPr>
    </w:lvl>
    <w:lvl w:ilvl="1" w:tplc="F13C17F4">
      <w:start w:val="1"/>
      <w:numFmt w:val="bullet"/>
      <w:lvlText w:val="o"/>
      <w:lvlJc w:val="left"/>
      <w:pPr>
        <w:ind w:left="1440" w:hanging="360"/>
      </w:pPr>
      <w:rPr>
        <w:rFonts w:ascii="Courier New" w:hAnsi="Courier New" w:hint="default"/>
      </w:rPr>
    </w:lvl>
    <w:lvl w:ilvl="2" w:tplc="300497E4">
      <w:start w:val="1"/>
      <w:numFmt w:val="bullet"/>
      <w:lvlText w:val=""/>
      <w:lvlJc w:val="left"/>
      <w:pPr>
        <w:ind w:left="2160" w:hanging="360"/>
      </w:pPr>
      <w:rPr>
        <w:rFonts w:ascii="Wingdings" w:hAnsi="Wingdings" w:hint="default"/>
      </w:rPr>
    </w:lvl>
    <w:lvl w:ilvl="3" w:tplc="741A710A">
      <w:start w:val="1"/>
      <w:numFmt w:val="bullet"/>
      <w:lvlText w:val=""/>
      <w:lvlJc w:val="left"/>
      <w:pPr>
        <w:ind w:left="2880" w:hanging="360"/>
      </w:pPr>
      <w:rPr>
        <w:rFonts w:ascii="Symbol" w:hAnsi="Symbol" w:hint="default"/>
      </w:rPr>
    </w:lvl>
    <w:lvl w:ilvl="4" w:tplc="036A7102">
      <w:start w:val="1"/>
      <w:numFmt w:val="bullet"/>
      <w:lvlText w:val="o"/>
      <w:lvlJc w:val="left"/>
      <w:pPr>
        <w:ind w:left="3600" w:hanging="360"/>
      </w:pPr>
      <w:rPr>
        <w:rFonts w:ascii="Courier New" w:hAnsi="Courier New" w:hint="default"/>
      </w:rPr>
    </w:lvl>
    <w:lvl w:ilvl="5" w:tplc="BFE2B868">
      <w:start w:val="1"/>
      <w:numFmt w:val="bullet"/>
      <w:lvlText w:val=""/>
      <w:lvlJc w:val="left"/>
      <w:pPr>
        <w:ind w:left="4320" w:hanging="360"/>
      </w:pPr>
      <w:rPr>
        <w:rFonts w:ascii="Wingdings" w:hAnsi="Wingdings" w:hint="default"/>
      </w:rPr>
    </w:lvl>
    <w:lvl w:ilvl="6" w:tplc="0E6C7FE2">
      <w:start w:val="1"/>
      <w:numFmt w:val="bullet"/>
      <w:lvlText w:val=""/>
      <w:lvlJc w:val="left"/>
      <w:pPr>
        <w:ind w:left="5040" w:hanging="360"/>
      </w:pPr>
      <w:rPr>
        <w:rFonts w:ascii="Symbol" w:hAnsi="Symbol" w:hint="default"/>
      </w:rPr>
    </w:lvl>
    <w:lvl w:ilvl="7" w:tplc="6FC66010">
      <w:start w:val="1"/>
      <w:numFmt w:val="bullet"/>
      <w:lvlText w:val="o"/>
      <w:lvlJc w:val="left"/>
      <w:pPr>
        <w:ind w:left="5760" w:hanging="360"/>
      </w:pPr>
      <w:rPr>
        <w:rFonts w:ascii="Courier New" w:hAnsi="Courier New" w:hint="default"/>
      </w:rPr>
    </w:lvl>
    <w:lvl w:ilvl="8" w:tplc="CF5A5550">
      <w:start w:val="1"/>
      <w:numFmt w:val="bullet"/>
      <w:lvlText w:val=""/>
      <w:lvlJc w:val="left"/>
      <w:pPr>
        <w:ind w:left="6480" w:hanging="360"/>
      </w:pPr>
      <w:rPr>
        <w:rFonts w:ascii="Wingdings" w:hAnsi="Wingdings" w:hint="default"/>
      </w:rPr>
    </w:lvl>
  </w:abstractNum>
  <w:abstractNum w:abstractNumId="36" w15:restartNumberingAfterBreak="0">
    <w:nsid w:val="1BF1120A"/>
    <w:multiLevelType w:val="multilevel"/>
    <w:tmpl w:val="995C04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CAC2A73"/>
    <w:multiLevelType w:val="hybridMultilevel"/>
    <w:tmpl w:val="FD08D44C"/>
    <w:lvl w:ilvl="0" w:tplc="9312B660">
      <w:start w:val="1"/>
      <w:numFmt w:val="lowerLetter"/>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38" w15:restartNumberingAfterBreak="0">
    <w:nsid w:val="20132D29"/>
    <w:multiLevelType w:val="multilevel"/>
    <w:tmpl w:val="65EEDBEC"/>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206BB722"/>
    <w:multiLevelType w:val="hybridMultilevel"/>
    <w:tmpl w:val="45EE51A6"/>
    <w:lvl w:ilvl="0" w:tplc="A9EEC0AC">
      <w:start w:val="1"/>
      <w:numFmt w:val="decimal"/>
      <w:lvlText w:val="%1."/>
      <w:lvlJc w:val="left"/>
      <w:pPr>
        <w:ind w:left="720" w:hanging="360"/>
      </w:pPr>
    </w:lvl>
    <w:lvl w:ilvl="1" w:tplc="0646FC12">
      <w:start w:val="1"/>
      <w:numFmt w:val="lowerLetter"/>
      <w:lvlText w:val="%2."/>
      <w:lvlJc w:val="left"/>
      <w:pPr>
        <w:ind w:left="1440" w:hanging="360"/>
      </w:pPr>
    </w:lvl>
    <w:lvl w:ilvl="2" w:tplc="CF00EF46">
      <w:start w:val="1"/>
      <w:numFmt w:val="lowerRoman"/>
      <w:lvlText w:val="%3."/>
      <w:lvlJc w:val="right"/>
      <w:pPr>
        <w:ind w:left="2160" w:hanging="180"/>
      </w:pPr>
    </w:lvl>
    <w:lvl w:ilvl="3" w:tplc="EBFCE592">
      <w:start w:val="1"/>
      <w:numFmt w:val="decimal"/>
      <w:lvlText w:val="%4."/>
      <w:lvlJc w:val="left"/>
      <w:pPr>
        <w:ind w:left="2880" w:hanging="360"/>
      </w:pPr>
    </w:lvl>
    <w:lvl w:ilvl="4" w:tplc="981E2B2E">
      <w:start w:val="1"/>
      <w:numFmt w:val="lowerLetter"/>
      <w:lvlText w:val="%5."/>
      <w:lvlJc w:val="left"/>
      <w:pPr>
        <w:ind w:left="3600" w:hanging="360"/>
      </w:pPr>
    </w:lvl>
    <w:lvl w:ilvl="5" w:tplc="C92C4B92">
      <w:start w:val="1"/>
      <w:numFmt w:val="lowerRoman"/>
      <w:lvlText w:val="%6."/>
      <w:lvlJc w:val="right"/>
      <w:pPr>
        <w:ind w:left="4320" w:hanging="180"/>
      </w:pPr>
    </w:lvl>
    <w:lvl w:ilvl="6" w:tplc="8D6C0390">
      <w:start w:val="1"/>
      <w:numFmt w:val="decimal"/>
      <w:lvlText w:val="%7."/>
      <w:lvlJc w:val="left"/>
      <w:pPr>
        <w:ind w:left="5040" w:hanging="360"/>
      </w:pPr>
    </w:lvl>
    <w:lvl w:ilvl="7" w:tplc="E69CACE8">
      <w:start w:val="1"/>
      <w:numFmt w:val="lowerLetter"/>
      <w:lvlText w:val="%8."/>
      <w:lvlJc w:val="left"/>
      <w:pPr>
        <w:ind w:left="5760" w:hanging="360"/>
      </w:pPr>
    </w:lvl>
    <w:lvl w:ilvl="8" w:tplc="E0E6877E">
      <w:start w:val="1"/>
      <w:numFmt w:val="lowerRoman"/>
      <w:lvlText w:val="%9."/>
      <w:lvlJc w:val="right"/>
      <w:pPr>
        <w:ind w:left="6480" w:hanging="180"/>
      </w:pPr>
    </w:lvl>
  </w:abstractNum>
  <w:abstractNum w:abstractNumId="40" w15:restartNumberingAfterBreak="0">
    <w:nsid w:val="20B45F9A"/>
    <w:multiLevelType w:val="multilevel"/>
    <w:tmpl w:val="E0BE5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10033E1"/>
    <w:multiLevelType w:val="multilevel"/>
    <w:tmpl w:val="E86865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19C5892"/>
    <w:multiLevelType w:val="hybridMultilevel"/>
    <w:tmpl w:val="8E9EB358"/>
    <w:lvl w:ilvl="0" w:tplc="C1AC74E6">
      <w:start w:val="1"/>
      <w:numFmt w:val="bullet"/>
      <w:lvlText w:val="·"/>
      <w:lvlJc w:val="left"/>
      <w:pPr>
        <w:ind w:left="720" w:hanging="360"/>
      </w:pPr>
      <w:rPr>
        <w:rFonts w:ascii="Symbol" w:hAnsi="Symbol" w:hint="default"/>
      </w:rPr>
    </w:lvl>
    <w:lvl w:ilvl="1" w:tplc="286058E2">
      <w:start w:val="1"/>
      <w:numFmt w:val="bullet"/>
      <w:lvlText w:val="o"/>
      <w:lvlJc w:val="left"/>
      <w:pPr>
        <w:ind w:left="1440" w:hanging="360"/>
      </w:pPr>
      <w:rPr>
        <w:rFonts w:ascii="Courier New" w:hAnsi="Courier New" w:hint="default"/>
      </w:rPr>
    </w:lvl>
    <w:lvl w:ilvl="2" w:tplc="53B6F25C">
      <w:start w:val="1"/>
      <w:numFmt w:val="bullet"/>
      <w:lvlText w:val=""/>
      <w:lvlJc w:val="left"/>
      <w:pPr>
        <w:ind w:left="2160" w:hanging="360"/>
      </w:pPr>
      <w:rPr>
        <w:rFonts w:ascii="Wingdings" w:hAnsi="Wingdings" w:hint="default"/>
      </w:rPr>
    </w:lvl>
    <w:lvl w:ilvl="3" w:tplc="69D0F1A0">
      <w:start w:val="1"/>
      <w:numFmt w:val="bullet"/>
      <w:lvlText w:val=""/>
      <w:lvlJc w:val="left"/>
      <w:pPr>
        <w:ind w:left="2880" w:hanging="360"/>
      </w:pPr>
      <w:rPr>
        <w:rFonts w:ascii="Symbol" w:hAnsi="Symbol" w:hint="default"/>
      </w:rPr>
    </w:lvl>
    <w:lvl w:ilvl="4" w:tplc="1E224DD8">
      <w:start w:val="1"/>
      <w:numFmt w:val="bullet"/>
      <w:lvlText w:val="o"/>
      <w:lvlJc w:val="left"/>
      <w:pPr>
        <w:ind w:left="3600" w:hanging="360"/>
      </w:pPr>
      <w:rPr>
        <w:rFonts w:ascii="Courier New" w:hAnsi="Courier New" w:hint="default"/>
      </w:rPr>
    </w:lvl>
    <w:lvl w:ilvl="5" w:tplc="D43EFAA0">
      <w:start w:val="1"/>
      <w:numFmt w:val="bullet"/>
      <w:lvlText w:val=""/>
      <w:lvlJc w:val="left"/>
      <w:pPr>
        <w:ind w:left="4320" w:hanging="360"/>
      </w:pPr>
      <w:rPr>
        <w:rFonts w:ascii="Wingdings" w:hAnsi="Wingdings" w:hint="default"/>
      </w:rPr>
    </w:lvl>
    <w:lvl w:ilvl="6" w:tplc="6090E85A">
      <w:start w:val="1"/>
      <w:numFmt w:val="bullet"/>
      <w:lvlText w:val=""/>
      <w:lvlJc w:val="left"/>
      <w:pPr>
        <w:ind w:left="5040" w:hanging="360"/>
      </w:pPr>
      <w:rPr>
        <w:rFonts w:ascii="Symbol" w:hAnsi="Symbol" w:hint="default"/>
      </w:rPr>
    </w:lvl>
    <w:lvl w:ilvl="7" w:tplc="56F08614">
      <w:start w:val="1"/>
      <w:numFmt w:val="bullet"/>
      <w:lvlText w:val="o"/>
      <w:lvlJc w:val="left"/>
      <w:pPr>
        <w:ind w:left="5760" w:hanging="360"/>
      </w:pPr>
      <w:rPr>
        <w:rFonts w:ascii="Courier New" w:hAnsi="Courier New" w:hint="default"/>
      </w:rPr>
    </w:lvl>
    <w:lvl w:ilvl="8" w:tplc="1CAC6C8A">
      <w:start w:val="1"/>
      <w:numFmt w:val="bullet"/>
      <w:lvlText w:val=""/>
      <w:lvlJc w:val="left"/>
      <w:pPr>
        <w:ind w:left="6480" w:hanging="360"/>
      </w:pPr>
      <w:rPr>
        <w:rFonts w:ascii="Wingdings" w:hAnsi="Wingdings" w:hint="default"/>
      </w:rPr>
    </w:lvl>
  </w:abstractNum>
  <w:abstractNum w:abstractNumId="43" w15:restartNumberingAfterBreak="0">
    <w:nsid w:val="21C5467A"/>
    <w:multiLevelType w:val="hybridMultilevel"/>
    <w:tmpl w:val="D1FC347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4" w15:restartNumberingAfterBreak="0">
    <w:nsid w:val="24271CA6"/>
    <w:multiLevelType w:val="hybridMultilevel"/>
    <w:tmpl w:val="200835C0"/>
    <w:lvl w:ilvl="0" w:tplc="200A85F2">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2574122D"/>
    <w:multiLevelType w:val="multilevel"/>
    <w:tmpl w:val="E5569B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5C53E6C"/>
    <w:multiLevelType w:val="multilevel"/>
    <w:tmpl w:val="CC30E0C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2600049E"/>
    <w:multiLevelType w:val="multilevel"/>
    <w:tmpl w:val="133404DE"/>
    <w:lvl w:ilvl="0">
      <w:start w:val="1"/>
      <w:numFmt w:val="upperRoman"/>
      <w:lvlText w:val="%1."/>
      <w:lvlJc w:val="right"/>
      <w:pPr>
        <w:tabs>
          <w:tab w:val="num" w:pos="720"/>
        </w:tabs>
        <w:ind w:left="720" w:hanging="360"/>
      </w:pPr>
    </w:lvl>
    <w:lvl w:ilvl="1">
      <w:start w:val="1"/>
      <w:numFmt w:val="decimal"/>
      <w:lvlText w:val="%2."/>
      <w:lvlJc w:val="left"/>
      <w:pPr>
        <w:ind w:left="1440" w:hanging="360"/>
      </w:pPr>
      <w:rPr>
        <w:rFonts w:ascii="Arial" w:hAnsi="Arial" w:cs="Arial" w:hint="default"/>
        <w:sz w:val="24"/>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8" w15:restartNumberingAfterBreak="0">
    <w:nsid w:val="26B63F61"/>
    <w:multiLevelType w:val="multilevel"/>
    <w:tmpl w:val="8138BCB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26D0243C"/>
    <w:multiLevelType w:val="hybridMultilevel"/>
    <w:tmpl w:val="835CD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7511977"/>
    <w:multiLevelType w:val="multilevel"/>
    <w:tmpl w:val="608E89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7C61B6C"/>
    <w:multiLevelType w:val="multilevel"/>
    <w:tmpl w:val="8EDAC05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2" w15:restartNumberingAfterBreak="0">
    <w:nsid w:val="28173BDE"/>
    <w:multiLevelType w:val="hybridMultilevel"/>
    <w:tmpl w:val="4AF86108"/>
    <w:lvl w:ilvl="0" w:tplc="E5BCE400">
      <w:start w:val="1"/>
      <w:numFmt w:val="bullet"/>
      <w:lvlText w:val=""/>
      <w:lvlJc w:val="left"/>
      <w:pPr>
        <w:ind w:left="720" w:hanging="360"/>
      </w:pPr>
      <w:rPr>
        <w:rFonts w:ascii="Symbol" w:hAnsi="Symbol" w:hint="default"/>
      </w:rPr>
    </w:lvl>
    <w:lvl w:ilvl="1" w:tplc="721C3662">
      <w:start w:val="1"/>
      <w:numFmt w:val="bullet"/>
      <w:lvlText w:val="o"/>
      <w:lvlJc w:val="left"/>
      <w:pPr>
        <w:ind w:left="1440" w:hanging="360"/>
      </w:pPr>
      <w:rPr>
        <w:rFonts w:ascii="Courier New" w:hAnsi="Courier New" w:hint="default"/>
      </w:rPr>
    </w:lvl>
    <w:lvl w:ilvl="2" w:tplc="DEA4C8E8">
      <w:start w:val="1"/>
      <w:numFmt w:val="bullet"/>
      <w:lvlText w:val=""/>
      <w:lvlJc w:val="left"/>
      <w:pPr>
        <w:ind w:left="2160" w:hanging="360"/>
      </w:pPr>
      <w:rPr>
        <w:rFonts w:ascii="Wingdings" w:hAnsi="Wingdings" w:hint="default"/>
      </w:rPr>
    </w:lvl>
    <w:lvl w:ilvl="3" w:tplc="FA3A1C7A">
      <w:start w:val="1"/>
      <w:numFmt w:val="bullet"/>
      <w:lvlText w:val=""/>
      <w:lvlJc w:val="left"/>
      <w:pPr>
        <w:ind w:left="2880" w:hanging="360"/>
      </w:pPr>
      <w:rPr>
        <w:rFonts w:ascii="Symbol" w:hAnsi="Symbol" w:hint="default"/>
      </w:rPr>
    </w:lvl>
    <w:lvl w:ilvl="4" w:tplc="FA04F3B2">
      <w:start w:val="1"/>
      <w:numFmt w:val="bullet"/>
      <w:lvlText w:val="o"/>
      <w:lvlJc w:val="left"/>
      <w:pPr>
        <w:ind w:left="3600" w:hanging="360"/>
      </w:pPr>
      <w:rPr>
        <w:rFonts w:ascii="Courier New" w:hAnsi="Courier New" w:hint="default"/>
      </w:rPr>
    </w:lvl>
    <w:lvl w:ilvl="5" w:tplc="B5BEE142">
      <w:start w:val="1"/>
      <w:numFmt w:val="bullet"/>
      <w:lvlText w:val=""/>
      <w:lvlJc w:val="left"/>
      <w:pPr>
        <w:ind w:left="4320" w:hanging="360"/>
      </w:pPr>
      <w:rPr>
        <w:rFonts w:ascii="Wingdings" w:hAnsi="Wingdings" w:hint="default"/>
      </w:rPr>
    </w:lvl>
    <w:lvl w:ilvl="6" w:tplc="43404DE0">
      <w:start w:val="1"/>
      <w:numFmt w:val="bullet"/>
      <w:lvlText w:val=""/>
      <w:lvlJc w:val="left"/>
      <w:pPr>
        <w:ind w:left="5040" w:hanging="360"/>
      </w:pPr>
      <w:rPr>
        <w:rFonts w:ascii="Symbol" w:hAnsi="Symbol" w:hint="default"/>
      </w:rPr>
    </w:lvl>
    <w:lvl w:ilvl="7" w:tplc="F41C954C">
      <w:start w:val="1"/>
      <w:numFmt w:val="bullet"/>
      <w:lvlText w:val="o"/>
      <w:lvlJc w:val="left"/>
      <w:pPr>
        <w:ind w:left="5760" w:hanging="360"/>
      </w:pPr>
      <w:rPr>
        <w:rFonts w:ascii="Courier New" w:hAnsi="Courier New" w:hint="default"/>
      </w:rPr>
    </w:lvl>
    <w:lvl w:ilvl="8" w:tplc="0B7262B0">
      <w:start w:val="1"/>
      <w:numFmt w:val="bullet"/>
      <w:lvlText w:val=""/>
      <w:lvlJc w:val="left"/>
      <w:pPr>
        <w:ind w:left="6480" w:hanging="360"/>
      </w:pPr>
      <w:rPr>
        <w:rFonts w:ascii="Wingdings" w:hAnsi="Wingdings" w:hint="default"/>
      </w:rPr>
    </w:lvl>
  </w:abstractNum>
  <w:abstractNum w:abstractNumId="53" w15:restartNumberingAfterBreak="0">
    <w:nsid w:val="283B68FA"/>
    <w:multiLevelType w:val="hybridMultilevel"/>
    <w:tmpl w:val="A1D8591C"/>
    <w:lvl w:ilvl="0" w:tplc="1FEE466C">
      <w:start w:val="1"/>
      <w:numFmt w:val="bullet"/>
      <w:lvlText w:val=""/>
      <w:lvlJc w:val="left"/>
      <w:pPr>
        <w:ind w:left="720" w:hanging="360"/>
      </w:pPr>
      <w:rPr>
        <w:rFonts w:ascii="Symbol" w:hAnsi="Symbol" w:hint="default"/>
      </w:rPr>
    </w:lvl>
    <w:lvl w:ilvl="1" w:tplc="0032FE1A">
      <w:start w:val="1"/>
      <w:numFmt w:val="bullet"/>
      <w:lvlText w:val="o"/>
      <w:lvlJc w:val="left"/>
      <w:pPr>
        <w:ind w:left="1440" w:hanging="360"/>
      </w:pPr>
      <w:rPr>
        <w:rFonts w:ascii="Courier New" w:hAnsi="Courier New" w:hint="default"/>
      </w:rPr>
    </w:lvl>
    <w:lvl w:ilvl="2" w:tplc="E1041B86">
      <w:start w:val="1"/>
      <w:numFmt w:val="bullet"/>
      <w:lvlText w:val=""/>
      <w:lvlJc w:val="left"/>
      <w:pPr>
        <w:ind w:left="2160" w:hanging="360"/>
      </w:pPr>
      <w:rPr>
        <w:rFonts w:ascii="Wingdings" w:hAnsi="Wingdings" w:hint="default"/>
      </w:rPr>
    </w:lvl>
    <w:lvl w:ilvl="3" w:tplc="2BE2EC18">
      <w:start w:val="1"/>
      <w:numFmt w:val="bullet"/>
      <w:lvlText w:val=""/>
      <w:lvlJc w:val="left"/>
      <w:pPr>
        <w:ind w:left="2880" w:hanging="360"/>
      </w:pPr>
      <w:rPr>
        <w:rFonts w:ascii="Symbol" w:hAnsi="Symbol" w:hint="default"/>
      </w:rPr>
    </w:lvl>
    <w:lvl w:ilvl="4" w:tplc="D3D66D38">
      <w:start w:val="1"/>
      <w:numFmt w:val="bullet"/>
      <w:lvlText w:val="o"/>
      <w:lvlJc w:val="left"/>
      <w:pPr>
        <w:ind w:left="3600" w:hanging="360"/>
      </w:pPr>
      <w:rPr>
        <w:rFonts w:ascii="Courier New" w:hAnsi="Courier New" w:hint="default"/>
      </w:rPr>
    </w:lvl>
    <w:lvl w:ilvl="5" w:tplc="89365E26">
      <w:start w:val="1"/>
      <w:numFmt w:val="bullet"/>
      <w:lvlText w:val=""/>
      <w:lvlJc w:val="left"/>
      <w:pPr>
        <w:ind w:left="4320" w:hanging="360"/>
      </w:pPr>
      <w:rPr>
        <w:rFonts w:ascii="Wingdings" w:hAnsi="Wingdings" w:hint="default"/>
      </w:rPr>
    </w:lvl>
    <w:lvl w:ilvl="6" w:tplc="3934FB56">
      <w:start w:val="1"/>
      <w:numFmt w:val="bullet"/>
      <w:lvlText w:val=""/>
      <w:lvlJc w:val="left"/>
      <w:pPr>
        <w:ind w:left="5040" w:hanging="360"/>
      </w:pPr>
      <w:rPr>
        <w:rFonts w:ascii="Symbol" w:hAnsi="Symbol" w:hint="default"/>
      </w:rPr>
    </w:lvl>
    <w:lvl w:ilvl="7" w:tplc="DED67764">
      <w:start w:val="1"/>
      <w:numFmt w:val="bullet"/>
      <w:lvlText w:val="o"/>
      <w:lvlJc w:val="left"/>
      <w:pPr>
        <w:ind w:left="5760" w:hanging="360"/>
      </w:pPr>
      <w:rPr>
        <w:rFonts w:ascii="Courier New" w:hAnsi="Courier New" w:hint="default"/>
      </w:rPr>
    </w:lvl>
    <w:lvl w:ilvl="8" w:tplc="AA867584">
      <w:start w:val="1"/>
      <w:numFmt w:val="bullet"/>
      <w:lvlText w:val=""/>
      <w:lvlJc w:val="left"/>
      <w:pPr>
        <w:ind w:left="6480" w:hanging="360"/>
      </w:pPr>
      <w:rPr>
        <w:rFonts w:ascii="Wingdings" w:hAnsi="Wingdings" w:hint="default"/>
      </w:rPr>
    </w:lvl>
  </w:abstractNum>
  <w:abstractNum w:abstractNumId="54" w15:restartNumberingAfterBreak="0">
    <w:nsid w:val="2AED11E6"/>
    <w:multiLevelType w:val="hybridMultilevel"/>
    <w:tmpl w:val="A81E04EE"/>
    <w:lvl w:ilvl="0" w:tplc="326CDFAE">
      <w:start w:val="1"/>
      <w:numFmt w:val="lowerLetter"/>
      <w:lvlText w:val="%1."/>
      <w:lvlJc w:val="left"/>
      <w:pPr>
        <w:ind w:left="720" w:hanging="360"/>
      </w:pPr>
      <w:rPr>
        <w:rFonts w:hint="default"/>
        <w:b/>
        <w:i w:val="0"/>
      </w:rPr>
    </w:lvl>
    <w:lvl w:ilvl="1" w:tplc="34424BEE">
      <w:start w:val="1"/>
      <w:numFmt w:val="lowerLetter"/>
      <w:lvlText w:val="%2."/>
      <w:lvlJc w:val="left"/>
      <w:pPr>
        <w:ind w:left="1440" w:hanging="360"/>
      </w:pPr>
    </w:lvl>
    <w:lvl w:ilvl="2" w:tplc="5A4EF82C">
      <w:start w:val="1"/>
      <w:numFmt w:val="lowerRoman"/>
      <w:lvlText w:val="%3."/>
      <w:lvlJc w:val="right"/>
      <w:pPr>
        <w:ind w:left="2160" w:hanging="180"/>
      </w:pPr>
    </w:lvl>
    <w:lvl w:ilvl="3" w:tplc="721E87CC">
      <w:start w:val="1"/>
      <w:numFmt w:val="decimal"/>
      <w:lvlText w:val="%4."/>
      <w:lvlJc w:val="left"/>
      <w:pPr>
        <w:ind w:left="2880" w:hanging="360"/>
      </w:pPr>
    </w:lvl>
    <w:lvl w:ilvl="4" w:tplc="3DDEDA64">
      <w:start w:val="1"/>
      <w:numFmt w:val="lowerLetter"/>
      <w:lvlText w:val="%5."/>
      <w:lvlJc w:val="left"/>
      <w:pPr>
        <w:ind w:left="3600" w:hanging="360"/>
      </w:pPr>
    </w:lvl>
    <w:lvl w:ilvl="5" w:tplc="E86AE95A">
      <w:start w:val="1"/>
      <w:numFmt w:val="lowerRoman"/>
      <w:lvlText w:val="%6."/>
      <w:lvlJc w:val="right"/>
      <w:pPr>
        <w:ind w:left="4320" w:hanging="180"/>
      </w:pPr>
    </w:lvl>
    <w:lvl w:ilvl="6" w:tplc="A06E3C2C">
      <w:start w:val="1"/>
      <w:numFmt w:val="decimal"/>
      <w:lvlText w:val="%7."/>
      <w:lvlJc w:val="left"/>
      <w:pPr>
        <w:ind w:left="5040" w:hanging="360"/>
      </w:pPr>
    </w:lvl>
    <w:lvl w:ilvl="7" w:tplc="CBC4C96E">
      <w:start w:val="1"/>
      <w:numFmt w:val="lowerLetter"/>
      <w:lvlText w:val="%8."/>
      <w:lvlJc w:val="left"/>
      <w:pPr>
        <w:ind w:left="5760" w:hanging="360"/>
      </w:pPr>
    </w:lvl>
    <w:lvl w:ilvl="8" w:tplc="2A0A504E">
      <w:start w:val="1"/>
      <w:numFmt w:val="lowerRoman"/>
      <w:lvlText w:val="%9."/>
      <w:lvlJc w:val="right"/>
      <w:pPr>
        <w:ind w:left="6480" w:hanging="180"/>
      </w:pPr>
    </w:lvl>
  </w:abstractNum>
  <w:abstractNum w:abstractNumId="55" w15:restartNumberingAfterBreak="0">
    <w:nsid w:val="2B2F5E16"/>
    <w:multiLevelType w:val="multilevel"/>
    <w:tmpl w:val="63DC6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B9646D0"/>
    <w:multiLevelType w:val="multilevel"/>
    <w:tmpl w:val="C3449C56"/>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2CFC7EA7"/>
    <w:multiLevelType w:val="multilevel"/>
    <w:tmpl w:val="664E4D3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2D891906"/>
    <w:multiLevelType w:val="hybridMultilevel"/>
    <w:tmpl w:val="5590DD1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9" w15:restartNumberingAfterBreak="0">
    <w:nsid w:val="2EA521EB"/>
    <w:multiLevelType w:val="multilevel"/>
    <w:tmpl w:val="BFE0777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2EB76D82"/>
    <w:multiLevelType w:val="multilevel"/>
    <w:tmpl w:val="B0AC66A4"/>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1" w15:restartNumberingAfterBreak="0">
    <w:nsid w:val="2F434F7D"/>
    <w:multiLevelType w:val="multilevel"/>
    <w:tmpl w:val="4DA2D47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2" w15:restartNumberingAfterBreak="0">
    <w:nsid w:val="2F754CE5"/>
    <w:multiLevelType w:val="multilevel"/>
    <w:tmpl w:val="52AABF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EB9BD1"/>
    <w:multiLevelType w:val="hybridMultilevel"/>
    <w:tmpl w:val="04CEC8D2"/>
    <w:lvl w:ilvl="0" w:tplc="AA2497E0">
      <w:start w:val="1"/>
      <w:numFmt w:val="bullet"/>
      <w:lvlText w:val=""/>
      <w:lvlJc w:val="left"/>
      <w:pPr>
        <w:ind w:left="720" w:hanging="360"/>
      </w:pPr>
      <w:rPr>
        <w:rFonts w:ascii="Symbol" w:hAnsi="Symbol" w:hint="default"/>
      </w:rPr>
    </w:lvl>
    <w:lvl w:ilvl="1" w:tplc="E2B860BE">
      <w:start w:val="1"/>
      <w:numFmt w:val="bullet"/>
      <w:lvlText w:val="o"/>
      <w:lvlJc w:val="left"/>
      <w:pPr>
        <w:ind w:left="1440" w:hanging="360"/>
      </w:pPr>
      <w:rPr>
        <w:rFonts w:ascii="Courier New" w:hAnsi="Courier New" w:hint="default"/>
      </w:rPr>
    </w:lvl>
    <w:lvl w:ilvl="2" w:tplc="D5F6F472">
      <w:start w:val="1"/>
      <w:numFmt w:val="bullet"/>
      <w:lvlText w:val=""/>
      <w:lvlJc w:val="left"/>
      <w:pPr>
        <w:ind w:left="2160" w:hanging="360"/>
      </w:pPr>
      <w:rPr>
        <w:rFonts w:ascii="Wingdings" w:hAnsi="Wingdings" w:hint="default"/>
      </w:rPr>
    </w:lvl>
    <w:lvl w:ilvl="3" w:tplc="6CE40778">
      <w:start w:val="1"/>
      <w:numFmt w:val="bullet"/>
      <w:lvlText w:val=""/>
      <w:lvlJc w:val="left"/>
      <w:pPr>
        <w:ind w:left="2880" w:hanging="360"/>
      </w:pPr>
      <w:rPr>
        <w:rFonts w:ascii="Symbol" w:hAnsi="Symbol" w:hint="default"/>
      </w:rPr>
    </w:lvl>
    <w:lvl w:ilvl="4" w:tplc="DEBA047C">
      <w:start w:val="1"/>
      <w:numFmt w:val="bullet"/>
      <w:lvlText w:val="o"/>
      <w:lvlJc w:val="left"/>
      <w:pPr>
        <w:ind w:left="3600" w:hanging="360"/>
      </w:pPr>
      <w:rPr>
        <w:rFonts w:ascii="Courier New" w:hAnsi="Courier New" w:hint="default"/>
      </w:rPr>
    </w:lvl>
    <w:lvl w:ilvl="5" w:tplc="721AF40C">
      <w:start w:val="1"/>
      <w:numFmt w:val="bullet"/>
      <w:lvlText w:val=""/>
      <w:lvlJc w:val="left"/>
      <w:pPr>
        <w:ind w:left="4320" w:hanging="360"/>
      </w:pPr>
      <w:rPr>
        <w:rFonts w:ascii="Wingdings" w:hAnsi="Wingdings" w:hint="default"/>
      </w:rPr>
    </w:lvl>
    <w:lvl w:ilvl="6" w:tplc="3AF4ECA6">
      <w:start w:val="1"/>
      <w:numFmt w:val="bullet"/>
      <w:lvlText w:val=""/>
      <w:lvlJc w:val="left"/>
      <w:pPr>
        <w:ind w:left="5040" w:hanging="360"/>
      </w:pPr>
      <w:rPr>
        <w:rFonts w:ascii="Symbol" w:hAnsi="Symbol" w:hint="default"/>
      </w:rPr>
    </w:lvl>
    <w:lvl w:ilvl="7" w:tplc="35F430F8">
      <w:start w:val="1"/>
      <w:numFmt w:val="bullet"/>
      <w:lvlText w:val="o"/>
      <w:lvlJc w:val="left"/>
      <w:pPr>
        <w:ind w:left="5760" w:hanging="360"/>
      </w:pPr>
      <w:rPr>
        <w:rFonts w:ascii="Courier New" w:hAnsi="Courier New" w:hint="default"/>
      </w:rPr>
    </w:lvl>
    <w:lvl w:ilvl="8" w:tplc="0442D062">
      <w:start w:val="1"/>
      <w:numFmt w:val="bullet"/>
      <w:lvlText w:val=""/>
      <w:lvlJc w:val="left"/>
      <w:pPr>
        <w:ind w:left="6480" w:hanging="360"/>
      </w:pPr>
      <w:rPr>
        <w:rFonts w:ascii="Wingdings" w:hAnsi="Wingdings" w:hint="default"/>
      </w:rPr>
    </w:lvl>
  </w:abstractNum>
  <w:abstractNum w:abstractNumId="64" w15:restartNumberingAfterBreak="0">
    <w:nsid w:val="30AC4DC6"/>
    <w:multiLevelType w:val="hybridMultilevel"/>
    <w:tmpl w:val="43B4E608"/>
    <w:lvl w:ilvl="0" w:tplc="5DEC9E1E">
      <w:start w:val="1"/>
      <w:numFmt w:val="bullet"/>
      <w:lvlText w:val="·"/>
      <w:lvlJc w:val="left"/>
      <w:pPr>
        <w:ind w:left="720" w:hanging="360"/>
      </w:pPr>
      <w:rPr>
        <w:rFonts w:ascii="Symbol" w:hAnsi="Symbol" w:hint="default"/>
      </w:rPr>
    </w:lvl>
    <w:lvl w:ilvl="1" w:tplc="66682692">
      <w:start w:val="1"/>
      <w:numFmt w:val="bullet"/>
      <w:lvlText w:val="o"/>
      <w:lvlJc w:val="left"/>
      <w:pPr>
        <w:ind w:left="1440" w:hanging="360"/>
      </w:pPr>
      <w:rPr>
        <w:rFonts w:ascii="Courier New" w:hAnsi="Courier New" w:hint="default"/>
      </w:rPr>
    </w:lvl>
    <w:lvl w:ilvl="2" w:tplc="1B4C7DC4">
      <w:start w:val="1"/>
      <w:numFmt w:val="bullet"/>
      <w:lvlText w:val=""/>
      <w:lvlJc w:val="left"/>
      <w:pPr>
        <w:ind w:left="2160" w:hanging="360"/>
      </w:pPr>
      <w:rPr>
        <w:rFonts w:ascii="Wingdings" w:hAnsi="Wingdings" w:hint="default"/>
      </w:rPr>
    </w:lvl>
    <w:lvl w:ilvl="3" w:tplc="6AD4AC3A">
      <w:start w:val="1"/>
      <w:numFmt w:val="bullet"/>
      <w:lvlText w:val=""/>
      <w:lvlJc w:val="left"/>
      <w:pPr>
        <w:ind w:left="2880" w:hanging="360"/>
      </w:pPr>
      <w:rPr>
        <w:rFonts w:ascii="Symbol" w:hAnsi="Symbol" w:hint="default"/>
      </w:rPr>
    </w:lvl>
    <w:lvl w:ilvl="4" w:tplc="CCD0DC60">
      <w:start w:val="1"/>
      <w:numFmt w:val="bullet"/>
      <w:lvlText w:val="o"/>
      <w:lvlJc w:val="left"/>
      <w:pPr>
        <w:ind w:left="3600" w:hanging="360"/>
      </w:pPr>
      <w:rPr>
        <w:rFonts w:ascii="Courier New" w:hAnsi="Courier New" w:hint="default"/>
      </w:rPr>
    </w:lvl>
    <w:lvl w:ilvl="5" w:tplc="CDBE86D8">
      <w:start w:val="1"/>
      <w:numFmt w:val="bullet"/>
      <w:lvlText w:val=""/>
      <w:lvlJc w:val="left"/>
      <w:pPr>
        <w:ind w:left="4320" w:hanging="360"/>
      </w:pPr>
      <w:rPr>
        <w:rFonts w:ascii="Wingdings" w:hAnsi="Wingdings" w:hint="default"/>
      </w:rPr>
    </w:lvl>
    <w:lvl w:ilvl="6" w:tplc="774AF7F4">
      <w:start w:val="1"/>
      <w:numFmt w:val="bullet"/>
      <w:lvlText w:val=""/>
      <w:lvlJc w:val="left"/>
      <w:pPr>
        <w:ind w:left="5040" w:hanging="360"/>
      </w:pPr>
      <w:rPr>
        <w:rFonts w:ascii="Symbol" w:hAnsi="Symbol" w:hint="default"/>
      </w:rPr>
    </w:lvl>
    <w:lvl w:ilvl="7" w:tplc="045C96C8">
      <w:start w:val="1"/>
      <w:numFmt w:val="bullet"/>
      <w:lvlText w:val="o"/>
      <w:lvlJc w:val="left"/>
      <w:pPr>
        <w:ind w:left="5760" w:hanging="360"/>
      </w:pPr>
      <w:rPr>
        <w:rFonts w:ascii="Courier New" w:hAnsi="Courier New" w:hint="default"/>
      </w:rPr>
    </w:lvl>
    <w:lvl w:ilvl="8" w:tplc="0EE002FA">
      <w:start w:val="1"/>
      <w:numFmt w:val="bullet"/>
      <w:lvlText w:val=""/>
      <w:lvlJc w:val="left"/>
      <w:pPr>
        <w:ind w:left="6480" w:hanging="360"/>
      </w:pPr>
      <w:rPr>
        <w:rFonts w:ascii="Wingdings" w:hAnsi="Wingdings" w:hint="default"/>
      </w:rPr>
    </w:lvl>
  </w:abstractNum>
  <w:abstractNum w:abstractNumId="65" w15:restartNumberingAfterBreak="0">
    <w:nsid w:val="3119420E"/>
    <w:multiLevelType w:val="multilevel"/>
    <w:tmpl w:val="9D0EAC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1C73A79"/>
    <w:multiLevelType w:val="hybridMultilevel"/>
    <w:tmpl w:val="FA0C68CA"/>
    <w:lvl w:ilvl="0" w:tplc="AD2CDFBC">
      <w:start w:val="1"/>
      <w:numFmt w:val="bullet"/>
      <w:lvlText w:val="·"/>
      <w:lvlJc w:val="left"/>
      <w:pPr>
        <w:ind w:left="720" w:hanging="360"/>
      </w:pPr>
      <w:rPr>
        <w:rFonts w:ascii="Symbol" w:hAnsi="Symbol" w:hint="default"/>
      </w:rPr>
    </w:lvl>
    <w:lvl w:ilvl="1" w:tplc="F14EF1E6">
      <w:start w:val="1"/>
      <w:numFmt w:val="bullet"/>
      <w:lvlText w:val="o"/>
      <w:lvlJc w:val="left"/>
      <w:pPr>
        <w:ind w:left="1440" w:hanging="360"/>
      </w:pPr>
      <w:rPr>
        <w:rFonts w:ascii="Courier New" w:hAnsi="Courier New" w:hint="default"/>
      </w:rPr>
    </w:lvl>
    <w:lvl w:ilvl="2" w:tplc="926E0520">
      <w:start w:val="1"/>
      <w:numFmt w:val="bullet"/>
      <w:lvlText w:val=""/>
      <w:lvlJc w:val="left"/>
      <w:pPr>
        <w:ind w:left="2160" w:hanging="360"/>
      </w:pPr>
      <w:rPr>
        <w:rFonts w:ascii="Wingdings" w:hAnsi="Wingdings" w:hint="default"/>
      </w:rPr>
    </w:lvl>
    <w:lvl w:ilvl="3" w:tplc="18B41030">
      <w:start w:val="1"/>
      <w:numFmt w:val="bullet"/>
      <w:lvlText w:val=""/>
      <w:lvlJc w:val="left"/>
      <w:pPr>
        <w:ind w:left="2880" w:hanging="360"/>
      </w:pPr>
      <w:rPr>
        <w:rFonts w:ascii="Symbol" w:hAnsi="Symbol" w:hint="default"/>
      </w:rPr>
    </w:lvl>
    <w:lvl w:ilvl="4" w:tplc="6436DA56">
      <w:start w:val="1"/>
      <w:numFmt w:val="bullet"/>
      <w:lvlText w:val="o"/>
      <w:lvlJc w:val="left"/>
      <w:pPr>
        <w:ind w:left="3600" w:hanging="360"/>
      </w:pPr>
      <w:rPr>
        <w:rFonts w:ascii="Courier New" w:hAnsi="Courier New" w:hint="default"/>
      </w:rPr>
    </w:lvl>
    <w:lvl w:ilvl="5" w:tplc="D0B6816A">
      <w:start w:val="1"/>
      <w:numFmt w:val="bullet"/>
      <w:lvlText w:val=""/>
      <w:lvlJc w:val="left"/>
      <w:pPr>
        <w:ind w:left="4320" w:hanging="360"/>
      </w:pPr>
      <w:rPr>
        <w:rFonts w:ascii="Wingdings" w:hAnsi="Wingdings" w:hint="default"/>
      </w:rPr>
    </w:lvl>
    <w:lvl w:ilvl="6" w:tplc="5FE40F5E">
      <w:start w:val="1"/>
      <w:numFmt w:val="bullet"/>
      <w:lvlText w:val=""/>
      <w:lvlJc w:val="left"/>
      <w:pPr>
        <w:ind w:left="5040" w:hanging="360"/>
      </w:pPr>
      <w:rPr>
        <w:rFonts w:ascii="Symbol" w:hAnsi="Symbol" w:hint="default"/>
      </w:rPr>
    </w:lvl>
    <w:lvl w:ilvl="7" w:tplc="FE2ECD38">
      <w:start w:val="1"/>
      <w:numFmt w:val="bullet"/>
      <w:lvlText w:val="o"/>
      <w:lvlJc w:val="left"/>
      <w:pPr>
        <w:ind w:left="5760" w:hanging="360"/>
      </w:pPr>
      <w:rPr>
        <w:rFonts w:ascii="Courier New" w:hAnsi="Courier New" w:hint="default"/>
      </w:rPr>
    </w:lvl>
    <w:lvl w:ilvl="8" w:tplc="928CA1FA">
      <w:start w:val="1"/>
      <w:numFmt w:val="bullet"/>
      <w:lvlText w:val=""/>
      <w:lvlJc w:val="left"/>
      <w:pPr>
        <w:ind w:left="6480" w:hanging="360"/>
      </w:pPr>
      <w:rPr>
        <w:rFonts w:ascii="Wingdings" w:hAnsi="Wingdings" w:hint="default"/>
      </w:rPr>
    </w:lvl>
  </w:abstractNum>
  <w:abstractNum w:abstractNumId="67" w15:restartNumberingAfterBreak="0">
    <w:nsid w:val="32819B85"/>
    <w:multiLevelType w:val="hybridMultilevel"/>
    <w:tmpl w:val="54908B94"/>
    <w:lvl w:ilvl="0" w:tplc="1AC083F8">
      <w:start w:val="1"/>
      <w:numFmt w:val="bullet"/>
      <w:lvlText w:val=""/>
      <w:lvlJc w:val="left"/>
      <w:pPr>
        <w:ind w:left="720" w:hanging="360"/>
      </w:pPr>
      <w:rPr>
        <w:rFonts w:ascii="Symbol" w:hAnsi="Symbol" w:hint="default"/>
      </w:rPr>
    </w:lvl>
    <w:lvl w:ilvl="1" w:tplc="661A8F34">
      <w:start w:val="1"/>
      <w:numFmt w:val="bullet"/>
      <w:lvlText w:val="o"/>
      <w:lvlJc w:val="left"/>
      <w:pPr>
        <w:ind w:left="1440" w:hanging="360"/>
      </w:pPr>
      <w:rPr>
        <w:rFonts w:ascii="Courier New" w:hAnsi="Courier New" w:hint="default"/>
      </w:rPr>
    </w:lvl>
    <w:lvl w:ilvl="2" w:tplc="51B2A472">
      <w:start w:val="1"/>
      <w:numFmt w:val="bullet"/>
      <w:lvlText w:val=""/>
      <w:lvlJc w:val="left"/>
      <w:pPr>
        <w:ind w:left="2160" w:hanging="360"/>
      </w:pPr>
      <w:rPr>
        <w:rFonts w:ascii="Wingdings" w:hAnsi="Wingdings" w:hint="default"/>
      </w:rPr>
    </w:lvl>
    <w:lvl w:ilvl="3" w:tplc="2BDAC026">
      <w:start w:val="1"/>
      <w:numFmt w:val="bullet"/>
      <w:lvlText w:val=""/>
      <w:lvlJc w:val="left"/>
      <w:pPr>
        <w:ind w:left="2880" w:hanging="360"/>
      </w:pPr>
      <w:rPr>
        <w:rFonts w:ascii="Symbol" w:hAnsi="Symbol" w:hint="default"/>
      </w:rPr>
    </w:lvl>
    <w:lvl w:ilvl="4" w:tplc="FC60B6F4">
      <w:start w:val="1"/>
      <w:numFmt w:val="bullet"/>
      <w:lvlText w:val="o"/>
      <w:lvlJc w:val="left"/>
      <w:pPr>
        <w:ind w:left="3600" w:hanging="360"/>
      </w:pPr>
      <w:rPr>
        <w:rFonts w:ascii="Courier New" w:hAnsi="Courier New" w:hint="default"/>
      </w:rPr>
    </w:lvl>
    <w:lvl w:ilvl="5" w:tplc="4412D5E0">
      <w:start w:val="1"/>
      <w:numFmt w:val="bullet"/>
      <w:lvlText w:val=""/>
      <w:lvlJc w:val="left"/>
      <w:pPr>
        <w:ind w:left="4320" w:hanging="360"/>
      </w:pPr>
      <w:rPr>
        <w:rFonts w:ascii="Wingdings" w:hAnsi="Wingdings" w:hint="default"/>
      </w:rPr>
    </w:lvl>
    <w:lvl w:ilvl="6" w:tplc="AD38EEF4">
      <w:start w:val="1"/>
      <w:numFmt w:val="bullet"/>
      <w:lvlText w:val=""/>
      <w:lvlJc w:val="left"/>
      <w:pPr>
        <w:ind w:left="5040" w:hanging="360"/>
      </w:pPr>
      <w:rPr>
        <w:rFonts w:ascii="Symbol" w:hAnsi="Symbol" w:hint="default"/>
      </w:rPr>
    </w:lvl>
    <w:lvl w:ilvl="7" w:tplc="98AA5D9E">
      <w:start w:val="1"/>
      <w:numFmt w:val="bullet"/>
      <w:lvlText w:val="o"/>
      <w:lvlJc w:val="left"/>
      <w:pPr>
        <w:ind w:left="5760" w:hanging="360"/>
      </w:pPr>
      <w:rPr>
        <w:rFonts w:ascii="Courier New" w:hAnsi="Courier New" w:hint="default"/>
      </w:rPr>
    </w:lvl>
    <w:lvl w:ilvl="8" w:tplc="E82C7D1E">
      <w:start w:val="1"/>
      <w:numFmt w:val="bullet"/>
      <w:lvlText w:val=""/>
      <w:lvlJc w:val="left"/>
      <w:pPr>
        <w:ind w:left="6480" w:hanging="360"/>
      </w:pPr>
      <w:rPr>
        <w:rFonts w:ascii="Wingdings" w:hAnsi="Wingdings" w:hint="default"/>
      </w:rPr>
    </w:lvl>
  </w:abstractNum>
  <w:abstractNum w:abstractNumId="68" w15:restartNumberingAfterBreak="0">
    <w:nsid w:val="331A385D"/>
    <w:multiLevelType w:val="multilevel"/>
    <w:tmpl w:val="FBEC4490"/>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9" w15:restartNumberingAfterBreak="0">
    <w:nsid w:val="3327239C"/>
    <w:multiLevelType w:val="hybridMultilevel"/>
    <w:tmpl w:val="34BEDFA4"/>
    <w:lvl w:ilvl="0" w:tplc="4E348ADA">
      <w:start w:val="1"/>
      <w:numFmt w:val="bullet"/>
      <w:lvlText w:val=""/>
      <w:lvlJc w:val="left"/>
      <w:pPr>
        <w:ind w:left="720" w:hanging="360"/>
      </w:pPr>
      <w:rPr>
        <w:rFonts w:ascii="Symbol" w:hAnsi="Symbol" w:hint="default"/>
      </w:rPr>
    </w:lvl>
    <w:lvl w:ilvl="1" w:tplc="36B6312E">
      <w:start w:val="1"/>
      <w:numFmt w:val="bullet"/>
      <w:lvlText w:val="o"/>
      <w:lvlJc w:val="left"/>
      <w:pPr>
        <w:ind w:left="1440" w:hanging="360"/>
      </w:pPr>
      <w:rPr>
        <w:rFonts w:ascii="Courier New" w:hAnsi="Courier New" w:hint="default"/>
      </w:rPr>
    </w:lvl>
    <w:lvl w:ilvl="2" w:tplc="3064F16E">
      <w:start w:val="1"/>
      <w:numFmt w:val="bullet"/>
      <w:lvlText w:val=""/>
      <w:lvlJc w:val="left"/>
      <w:pPr>
        <w:ind w:left="2160" w:hanging="360"/>
      </w:pPr>
      <w:rPr>
        <w:rFonts w:ascii="Wingdings" w:hAnsi="Wingdings" w:hint="default"/>
      </w:rPr>
    </w:lvl>
    <w:lvl w:ilvl="3" w:tplc="C29088B0">
      <w:start w:val="1"/>
      <w:numFmt w:val="bullet"/>
      <w:lvlText w:val=""/>
      <w:lvlJc w:val="left"/>
      <w:pPr>
        <w:ind w:left="2880" w:hanging="360"/>
      </w:pPr>
      <w:rPr>
        <w:rFonts w:ascii="Symbol" w:hAnsi="Symbol" w:hint="default"/>
      </w:rPr>
    </w:lvl>
    <w:lvl w:ilvl="4" w:tplc="5DE228AA">
      <w:start w:val="1"/>
      <w:numFmt w:val="bullet"/>
      <w:lvlText w:val="o"/>
      <w:lvlJc w:val="left"/>
      <w:pPr>
        <w:ind w:left="3600" w:hanging="360"/>
      </w:pPr>
      <w:rPr>
        <w:rFonts w:ascii="Courier New" w:hAnsi="Courier New" w:hint="default"/>
      </w:rPr>
    </w:lvl>
    <w:lvl w:ilvl="5" w:tplc="86DAEB20">
      <w:start w:val="1"/>
      <w:numFmt w:val="bullet"/>
      <w:lvlText w:val=""/>
      <w:lvlJc w:val="left"/>
      <w:pPr>
        <w:ind w:left="4320" w:hanging="360"/>
      </w:pPr>
      <w:rPr>
        <w:rFonts w:ascii="Wingdings" w:hAnsi="Wingdings" w:hint="default"/>
      </w:rPr>
    </w:lvl>
    <w:lvl w:ilvl="6" w:tplc="CADAACE4">
      <w:start w:val="1"/>
      <w:numFmt w:val="bullet"/>
      <w:lvlText w:val=""/>
      <w:lvlJc w:val="left"/>
      <w:pPr>
        <w:ind w:left="5040" w:hanging="360"/>
      </w:pPr>
      <w:rPr>
        <w:rFonts w:ascii="Symbol" w:hAnsi="Symbol" w:hint="default"/>
      </w:rPr>
    </w:lvl>
    <w:lvl w:ilvl="7" w:tplc="4B9AB4D0">
      <w:start w:val="1"/>
      <w:numFmt w:val="bullet"/>
      <w:lvlText w:val="o"/>
      <w:lvlJc w:val="left"/>
      <w:pPr>
        <w:ind w:left="5760" w:hanging="360"/>
      </w:pPr>
      <w:rPr>
        <w:rFonts w:ascii="Courier New" w:hAnsi="Courier New" w:hint="default"/>
      </w:rPr>
    </w:lvl>
    <w:lvl w:ilvl="8" w:tplc="0350930E">
      <w:start w:val="1"/>
      <w:numFmt w:val="bullet"/>
      <w:lvlText w:val=""/>
      <w:lvlJc w:val="left"/>
      <w:pPr>
        <w:ind w:left="6480" w:hanging="360"/>
      </w:pPr>
      <w:rPr>
        <w:rFonts w:ascii="Wingdings" w:hAnsi="Wingdings" w:hint="default"/>
      </w:rPr>
    </w:lvl>
  </w:abstractNum>
  <w:abstractNum w:abstractNumId="70" w15:restartNumberingAfterBreak="0">
    <w:nsid w:val="33283F52"/>
    <w:multiLevelType w:val="hybridMultilevel"/>
    <w:tmpl w:val="EEF821EC"/>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1" w15:restartNumberingAfterBreak="0">
    <w:nsid w:val="33981E86"/>
    <w:multiLevelType w:val="multilevel"/>
    <w:tmpl w:val="771260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3F630CC"/>
    <w:multiLevelType w:val="multilevel"/>
    <w:tmpl w:val="97AE80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34014450"/>
    <w:multiLevelType w:val="hybridMultilevel"/>
    <w:tmpl w:val="9EB639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353A1DEF"/>
    <w:multiLevelType w:val="multilevel"/>
    <w:tmpl w:val="8F18F54A"/>
    <w:lvl w:ilvl="0">
      <w:start w:val="6"/>
      <w:numFmt w:val="lowerRoman"/>
      <w:lvlText w:val="%1."/>
      <w:lvlJc w:val="righ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1"/>
      <w:numFmt w:val="lowerRoman"/>
      <w:lvlText w:val="%3."/>
      <w:lvlJc w:val="right"/>
      <w:pPr>
        <w:tabs>
          <w:tab w:val="num" w:pos="2160"/>
        </w:tabs>
        <w:ind w:left="2160" w:hanging="360"/>
      </w:pPr>
      <w:rPr>
        <w:rFonts w:hint="default"/>
      </w:rPr>
    </w:lvl>
    <w:lvl w:ilvl="3">
      <w:start w:val="1"/>
      <w:numFmt w:val="lowerRoman"/>
      <w:lvlText w:val="%4."/>
      <w:lvlJc w:val="right"/>
      <w:pPr>
        <w:tabs>
          <w:tab w:val="num" w:pos="2880"/>
        </w:tabs>
        <w:ind w:left="2880" w:hanging="360"/>
      </w:pPr>
      <w:rPr>
        <w:rFonts w:hint="default"/>
      </w:rPr>
    </w:lvl>
    <w:lvl w:ilvl="4">
      <w:start w:val="1"/>
      <w:numFmt w:val="lowerRoman"/>
      <w:lvlText w:val="%5."/>
      <w:lvlJc w:val="right"/>
      <w:pPr>
        <w:tabs>
          <w:tab w:val="num" w:pos="3600"/>
        </w:tabs>
        <w:ind w:left="3600" w:hanging="360"/>
      </w:pPr>
      <w:rPr>
        <w:rFonts w:hint="default"/>
      </w:rPr>
    </w:lvl>
    <w:lvl w:ilvl="5">
      <w:start w:val="1"/>
      <w:numFmt w:val="lowerRoman"/>
      <w:lvlText w:val="%6."/>
      <w:lvlJc w:val="right"/>
      <w:pPr>
        <w:tabs>
          <w:tab w:val="num" w:pos="4320"/>
        </w:tabs>
        <w:ind w:left="4320" w:hanging="360"/>
      </w:pPr>
      <w:rPr>
        <w:rFonts w:hint="default"/>
      </w:rPr>
    </w:lvl>
    <w:lvl w:ilvl="6">
      <w:start w:val="1"/>
      <w:numFmt w:val="lowerRoman"/>
      <w:lvlText w:val="%7."/>
      <w:lvlJc w:val="right"/>
      <w:pPr>
        <w:tabs>
          <w:tab w:val="num" w:pos="5040"/>
        </w:tabs>
        <w:ind w:left="5040" w:hanging="360"/>
      </w:pPr>
      <w:rPr>
        <w:rFonts w:hint="default"/>
      </w:rPr>
    </w:lvl>
    <w:lvl w:ilvl="7">
      <w:start w:val="1"/>
      <w:numFmt w:val="lowerRoman"/>
      <w:lvlText w:val="%8."/>
      <w:lvlJc w:val="right"/>
      <w:pPr>
        <w:tabs>
          <w:tab w:val="num" w:pos="5760"/>
        </w:tabs>
        <w:ind w:left="5760" w:hanging="360"/>
      </w:pPr>
      <w:rPr>
        <w:rFonts w:hint="default"/>
      </w:rPr>
    </w:lvl>
    <w:lvl w:ilvl="8">
      <w:start w:val="1"/>
      <w:numFmt w:val="lowerRoman"/>
      <w:lvlText w:val="%9."/>
      <w:lvlJc w:val="right"/>
      <w:pPr>
        <w:tabs>
          <w:tab w:val="num" w:pos="6480"/>
        </w:tabs>
        <w:ind w:left="6480" w:hanging="360"/>
      </w:pPr>
      <w:rPr>
        <w:rFonts w:hint="default"/>
      </w:rPr>
    </w:lvl>
  </w:abstractNum>
  <w:abstractNum w:abstractNumId="75" w15:restartNumberingAfterBreak="0">
    <w:nsid w:val="35844FC1"/>
    <w:multiLevelType w:val="multilevel"/>
    <w:tmpl w:val="C14C0BC6"/>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6" w15:restartNumberingAfterBreak="0">
    <w:nsid w:val="35DB5B22"/>
    <w:multiLevelType w:val="hybridMultilevel"/>
    <w:tmpl w:val="036C876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7" w15:restartNumberingAfterBreak="0">
    <w:nsid w:val="35F6D694"/>
    <w:multiLevelType w:val="hybridMultilevel"/>
    <w:tmpl w:val="2CE22772"/>
    <w:lvl w:ilvl="0" w:tplc="AC4204C2">
      <w:start w:val="1"/>
      <w:numFmt w:val="bullet"/>
      <w:lvlText w:val=""/>
      <w:lvlJc w:val="left"/>
      <w:pPr>
        <w:ind w:left="720" w:hanging="360"/>
      </w:pPr>
      <w:rPr>
        <w:rFonts w:ascii="Symbol" w:hAnsi="Symbol" w:hint="default"/>
      </w:rPr>
    </w:lvl>
    <w:lvl w:ilvl="1" w:tplc="09649112">
      <w:start w:val="1"/>
      <w:numFmt w:val="bullet"/>
      <w:lvlText w:val="o"/>
      <w:lvlJc w:val="left"/>
      <w:pPr>
        <w:ind w:left="1440" w:hanging="360"/>
      </w:pPr>
      <w:rPr>
        <w:rFonts w:ascii="Courier New" w:hAnsi="Courier New" w:hint="default"/>
      </w:rPr>
    </w:lvl>
    <w:lvl w:ilvl="2" w:tplc="D304C1C2">
      <w:start w:val="1"/>
      <w:numFmt w:val="bullet"/>
      <w:lvlText w:val=""/>
      <w:lvlJc w:val="left"/>
      <w:pPr>
        <w:ind w:left="2160" w:hanging="360"/>
      </w:pPr>
      <w:rPr>
        <w:rFonts w:ascii="Wingdings" w:hAnsi="Wingdings" w:hint="default"/>
      </w:rPr>
    </w:lvl>
    <w:lvl w:ilvl="3" w:tplc="C6CC3C12">
      <w:start w:val="1"/>
      <w:numFmt w:val="bullet"/>
      <w:lvlText w:val=""/>
      <w:lvlJc w:val="left"/>
      <w:pPr>
        <w:ind w:left="2880" w:hanging="360"/>
      </w:pPr>
      <w:rPr>
        <w:rFonts w:ascii="Symbol" w:hAnsi="Symbol" w:hint="default"/>
      </w:rPr>
    </w:lvl>
    <w:lvl w:ilvl="4" w:tplc="E9A2A5AA">
      <w:start w:val="1"/>
      <w:numFmt w:val="bullet"/>
      <w:lvlText w:val="o"/>
      <w:lvlJc w:val="left"/>
      <w:pPr>
        <w:ind w:left="3600" w:hanging="360"/>
      </w:pPr>
      <w:rPr>
        <w:rFonts w:ascii="Courier New" w:hAnsi="Courier New" w:hint="default"/>
      </w:rPr>
    </w:lvl>
    <w:lvl w:ilvl="5" w:tplc="0852B31E">
      <w:start w:val="1"/>
      <w:numFmt w:val="bullet"/>
      <w:lvlText w:val=""/>
      <w:lvlJc w:val="left"/>
      <w:pPr>
        <w:ind w:left="4320" w:hanging="360"/>
      </w:pPr>
      <w:rPr>
        <w:rFonts w:ascii="Wingdings" w:hAnsi="Wingdings" w:hint="default"/>
      </w:rPr>
    </w:lvl>
    <w:lvl w:ilvl="6" w:tplc="20D889C0">
      <w:start w:val="1"/>
      <w:numFmt w:val="bullet"/>
      <w:lvlText w:val=""/>
      <w:lvlJc w:val="left"/>
      <w:pPr>
        <w:ind w:left="5040" w:hanging="360"/>
      </w:pPr>
      <w:rPr>
        <w:rFonts w:ascii="Symbol" w:hAnsi="Symbol" w:hint="default"/>
      </w:rPr>
    </w:lvl>
    <w:lvl w:ilvl="7" w:tplc="1156650E">
      <w:start w:val="1"/>
      <w:numFmt w:val="bullet"/>
      <w:lvlText w:val="o"/>
      <w:lvlJc w:val="left"/>
      <w:pPr>
        <w:ind w:left="5760" w:hanging="360"/>
      </w:pPr>
      <w:rPr>
        <w:rFonts w:ascii="Courier New" w:hAnsi="Courier New" w:hint="default"/>
      </w:rPr>
    </w:lvl>
    <w:lvl w:ilvl="8" w:tplc="4A760E44">
      <w:start w:val="1"/>
      <w:numFmt w:val="bullet"/>
      <w:lvlText w:val=""/>
      <w:lvlJc w:val="left"/>
      <w:pPr>
        <w:ind w:left="6480" w:hanging="360"/>
      </w:pPr>
      <w:rPr>
        <w:rFonts w:ascii="Wingdings" w:hAnsi="Wingdings" w:hint="default"/>
      </w:rPr>
    </w:lvl>
  </w:abstractNum>
  <w:abstractNum w:abstractNumId="78" w15:restartNumberingAfterBreak="0">
    <w:nsid w:val="366AA7F6"/>
    <w:multiLevelType w:val="hybridMultilevel"/>
    <w:tmpl w:val="7F6A9412"/>
    <w:lvl w:ilvl="0" w:tplc="E3E66B9A">
      <w:start w:val="1"/>
      <w:numFmt w:val="lowerLetter"/>
      <w:lvlText w:val="%1."/>
      <w:lvlJc w:val="left"/>
      <w:pPr>
        <w:ind w:left="720" w:hanging="360"/>
      </w:pPr>
    </w:lvl>
    <w:lvl w:ilvl="1" w:tplc="5CFC86BC">
      <w:start w:val="1"/>
      <w:numFmt w:val="lowerLetter"/>
      <w:lvlText w:val="%2."/>
      <w:lvlJc w:val="left"/>
      <w:pPr>
        <w:ind w:left="1440" w:hanging="360"/>
      </w:pPr>
    </w:lvl>
    <w:lvl w:ilvl="2" w:tplc="463A89DA">
      <w:start w:val="1"/>
      <w:numFmt w:val="lowerRoman"/>
      <w:lvlText w:val="%3."/>
      <w:lvlJc w:val="right"/>
      <w:pPr>
        <w:ind w:left="2160" w:hanging="180"/>
      </w:pPr>
    </w:lvl>
    <w:lvl w:ilvl="3" w:tplc="0B90F566">
      <w:start w:val="1"/>
      <w:numFmt w:val="decimal"/>
      <w:lvlText w:val="%4."/>
      <w:lvlJc w:val="left"/>
      <w:pPr>
        <w:ind w:left="2880" w:hanging="360"/>
      </w:pPr>
    </w:lvl>
    <w:lvl w:ilvl="4" w:tplc="CE90E32E">
      <w:start w:val="1"/>
      <w:numFmt w:val="lowerLetter"/>
      <w:lvlText w:val="%5."/>
      <w:lvlJc w:val="left"/>
      <w:pPr>
        <w:ind w:left="3600" w:hanging="360"/>
      </w:pPr>
    </w:lvl>
    <w:lvl w:ilvl="5" w:tplc="06960EEC">
      <w:start w:val="1"/>
      <w:numFmt w:val="lowerRoman"/>
      <w:lvlText w:val="%6."/>
      <w:lvlJc w:val="right"/>
      <w:pPr>
        <w:ind w:left="4320" w:hanging="180"/>
      </w:pPr>
    </w:lvl>
    <w:lvl w:ilvl="6" w:tplc="DF7AC664">
      <w:start w:val="1"/>
      <w:numFmt w:val="decimal"/>
      <w:lvlText w:val="%7."/>
      <w:lvlJc w:val="left"/>
      <w:pPr>
        <w:ind w:left="5040" w:hanging="360"/>
      </w:pPr>
    </w:lvl>
    <w:lvl w:ilvl="7" w:tplc="9A94B92A">
      <w:start w:val="1"/>
      <w:numFmt w:val="lowerLetter"/>
      <w:lvlText w:val="%8."/>
      <w:lvlJc w:val="left"/>
      <w:pPr>
        <w:ind w:left="5760" w:hanging="360"/>
      </w:pPr>
    </w:lvl>
    <w:lvl w:ilvl="8" w:tplc="382ECC54">
      <w:start w:val="1"/>
      <w:numFmt w:val="lowerRoman"/>
      <w:lvlText w:val="%9."/>
      <w:lvlJc w:val="right"/>
      <w:pPr>
        <w:ind w:left="6480" w:hanging="180"/>
      </w:pPr>
    </w:lvl>
  </w:abstractNum>
  <w:abstractNum w:abstractNumId="79" w15:restartNumberingAfterBreak="0">
    <w:nsid w:val="36D4303F"/>
    <w:multiLevelType w:val="hybridMultilevel"/>
    <w:tmpl w:val="D77674E0"/>
    <w:lvl w:ilvl="0" w:tplc="7206E8C8">
      <w:start w:val="1"/>
      <w:numFmt w:val="decimal"/>
      <w:lvlText w:val="%1)"/>
      <w:lvlJc w:val="left"/>
      <w:pPr>
        <w:ind w:left="814" w:hanging="360"/>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80" w15:restartNumberingAfterBreak="0">
    <w:nsid w:val="3AA92630"/>
    <w:multiLevelType w:val="multilevel"/>
    <w:tmpl w:val="CFA449CC"/>
    <w:lvl w:ilvl="0">
      <w:start w:val="1"/>
      <w:numFmt w:val="decimal"/>
      <w:lvlText w:val="%1."/>
      <w:lvlJc w:val="left"/>
      <w:pPr>
        <w:ind w:left="720" w:hanging="360"/>
      </w:pPr>
      <w:rPr>
        <w:rFonts w:hint="default"/>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AF9FD0A"/>
    <w:multiLevelType w:val="hybridMultilevel"/>
    <w:tmpl w:val="D9E25A86"/>
    <w:lvl w:ilvl="0" w:tplc="528E6DC2">
      <w:start w:val="1"/>
      <w:numFmt w:val="bullet"/>
      <w:lvlText w:val=""/>
      <w:lvlJc w:val="left"/>
      <w:pPr>
        <w:ind w:left="720" w:hanging="360"/>
      </w:pPr>
      <w:rPr>
        <w:rFonts w:ascii="Symbol" w:hAnsi="Symbol" w:hint="default"/>
      </w:rPr>
    </w:lvl>
    <w:lvl w:ilvl="1" w:tplc="0C104528">
      <w:start w:val="1"/>
      <w:numFmt w:val="bullet"/>
      <w:lvlText w:val="o"/>
      <w:lvlJc w:val="left"/>
      <w:pPr>
        <w:ind w:left="1440" w:hanging="360"/>
      </w:pPr>
      <w:rPr>
        <w:rFonts w:ascii="Courier New" w:hAnsi="Courier New" w:hint="default"/>
      </w:rPr>
    </w:lvl>
    <w:lvl w:ilvl="2" w:tplc="9ED28C82">
      <w:start w:val="1"/>
      <w:numFmt w:val="bullet"/>
      <w:lvlText w:val=""/>
      <w:lvlJc w:val="left"/>
      <w:pPr>
        <w:ind w:left="2160" w:hanging="360"/>
      </w:pPr>
      <w:rPr>
        <w:rFonts w:ascii="Wingdings" w:hAnsi="Wingdings" w:hint="default"/>
      </w:rPr>
    </w:lvl>
    <w:lvl w:ilvl="3" w:tplc="D610C720">
      <w:start w:val="1"/>
      <w:numFmt w:val="bullet"/>
      <w:lvlText w:val=""/>
      <w:lvlJc w:val="left"/>
      <w:pPr>
        <w:ind w:left="2880" w:hanging="360"/>
      </w:pPr>
      <w:rPr>
        <w:rFonts w:ascii="Symbol" w:hAnsi="Symbol" w:hint="default"/>
      </w:rPr>
    </w:lvl>
    <w:lvl w:ilvl="4" w:tplc="90FA3788">
      <w:start w:val="1"/>
      <w:numFmt w:val="bullet"/>
      <w:lvlText w:val="o"/>
      <w:lvlJc w:val="left"/>
      <w:pPr>
        <w:ind w:left="3600" w:hanging="360"/>
      </w:pPr>
      <w:rPr>
        <w:rFonts w:ascii="Courier New" w:hAnsi="Courier New" w:hint="default"/>
      </w:rPr>
    </w:lvl>
    <w:lvl w:ilvl="5" w:tplc="B8CE5CE6">
      <w:start w:val="1"/>
      <w:numFmt w:val="bullet"/>
      <w:lvlText w:val=""/>
      <w:lvlJc w:val="left"/>
      <w:pPr>
        <w:ind w:left="4320" w:hanging="360"/>
      </w:pPr>
      <w:rPr>
        <w:rFonts w:ascii="Wingdings" w:hAnsi="Wingdings" w:hint="default"/>
      </w:rPr>
    </w:lvl>
    <w:lvl w:ilvl="6" w:tplc="412ED36A">
      <w:start w:val="1"/>
      <w:numFmt w:val="bullet"/>
      <w:lvlText w:val=""/>
      <w:lvlJc w:val="left"/>
      <w:pPr>
        <w:ind w:left="5040" w:hanging="360"/>
      </w:pPr>
      <w:rPr>
        <w:rFonts w:ascii="Symbol" w:hAnsi="Symbol" w:hint="default"/>
      </w:rPr>
    </w:lvl>
    <w:lvl w:ilvl="7" w:tplc="1A429FCE">
      <w:start w:val="1"/>
      <w:numFmt w:val="bullet"/>
      <w:lvlText w:val="o"/>
      <w:lvlJc w:val="left"/>
      <w:pPr>
        <w:ind w:left="5760" w:hanging="360"/>
      </w:pPr>
      <w:rPr>
        <w:rFonts w:ascii="Courier New" w:hAnsi="Courier New" w:hint="default"/>
      </w:rPr>
    </w:lvl>
    <w:lvl w:ilvl="8" w:tplc="33A48D08">
      <w:start w:val="1"/>
      <w:numFmt w:val="bullet"/>
      <w:lvlText w:val=""/>
      <w:lvlJc w:val="left"/>
      <w:pPr>
        <w:ind w:left="6480" w:hanging="360"/>
      </w:pPr>
      <w:rPr>
        <w:rFonts w:ascii="Wingdings" w:hAnsi="Wingdings" w:hint="default"/>
      </w:rPr>
    </w:lvl>
  </w:abstractNum>
  <w:abstractNum w:abstractNumId="82" w15:restartNumberingAfterBreak="0">
    <w:nsid w:val="3BF979D0"/>
    <w:multiLevelType w:val="multilevel"/>
    <w:tmpl w:val="C0A4DC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C49058B"/>
    <w:multiLevelType w:val="multilevel"/>
    <w:tmpl w:val="65CE2134"/>
    <w:lvl w:ilvl="0">
      <w:start w:val="2"/>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DE70AC4"/>
    <w:multiLevelType w:val="hybridMultilevel"/>
    <w:tmpl w:val="890C01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15:restartNumberingAfterBreak="0">
    <w:nsid w:val="3F322B49"/>
    <w:multiLevelType w:val="hybridMultilevel"/>
    <w:tmpl w:val="596E255C"/>
    <w:lvl w:ilvl="0" w:tplc="26FE4F5C">
      <w:start w:val="1"/>
      <w:numFmt w:val="decimal"/>
      <w:lvlText w:val="%1)"/>
      <w:lvlJc w:val="left"/>
      <w:pPr>
        <w:ind w:left="814" w:hanging="360"/>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86" w15:restartNumberingAfterBreak="0">
    <w:nsid w:val="3F5E30D5"/>
    <w:multiLevelType w:val="multilevel"/>
    <w:tmpl w:val="218A24E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7" w15:restartNumberingAfterBreak="0">
    <w:nsid w:val="3FB0D42C"/>
    <w:multiLevelType w:val="hybridMultilevel"/>
    <w:tmpl w:val="829ADCF0"/>
    <w:lvl w:ilvl="0" w:tplc="8524340E">
      <w:start w:val="1"/>
      <w:numFmt w:val="bullet"/>
      <w:lvlText w:val=""/>
      <w:lvlJc w:val="left"/>
      <w:pPr>
        <w:ind w:left="720" w:hanging="360"/>
      </w:pPr>
      <w:rPr>
        <w:rFonts w:ascii="Symbol" w:hAnsi="Symbol" w:hint="default"/>
      </w:rPr>
    </w:lvl>
    <w:lvl w:ilvl="1" w:tplc="76C4A7E8">
      <w:start w:val="1"/>
      <w:numFmt w:val="bullet"/>
      <w:lvlText w:val="o"/>
      <w:lvlJc w:val="left"/>
      <w:pPr>
        <w:ind w:left="1440" w:hanging="360"/>
      </w:pPr>
      <w:rPr>
        <w:rFonts w:ascii="Courier New" w:hAnsi="Courier New" w:hint="default"/>
      </w:rPr>
    </w:lvl>
    <w:lvl w:ilvl="2" w:tplc="EDE04878">
      <w:start w:val="1"/>
      <w:numFmt w:val="bullet"/>
      <w:lvlText w:val=""/>
      <w:lvlJc w:val="left"/>
      <w:pPr>
        <w:ind w:left="2160" w:hanging="360"/>
      </w:pPr>
      <w:rPr>
        <w:rFonts w:ascii="Wingdings" w:hAnsi="Wingdings" w:hint="default"/>
      </w:rPr>
    </w:lvl>
    <w:lvl w:ilvl="3" w:tplc="9DCE993C">
      <w:start w:val="1"/>
      <w:numFmt w:val="bullet"/>
      <w:lvlText w:val=""/>
      <w:lvlJc w:val="left"/>
      <w:pPr>
        <w:ind w:left="2880" w:hanging="360"/>
      </w:pPr>
      <w:rPr>
        <w:rFonts w:ascii="Symbol" w:hAnsi="Symbol" w:hint="default"/>
      </w:rPr>
    </w:lvl>
    <w:lvl w:ilvl="4" w:tplc="3162FDD2">
      <w:start w:val="1"/>
      <w:numFmt w:val="bullet"/>
      <w:lvlText w:val="o"/>
      <w:lvlJc w:val="left"/>
      <w:pPr>
        <w:ind w:left="3600" w:hanging="360"/>
      </w:pPr>
      <w:rPr>
        <w:rFonts w:ascii="Courier New" w:hAnsi="Courier New" w:hint="default"/>
      </w:rPr>
    </w:lvl>
    <w:lvl w:ilvl="5" w:tplc="2DE0661A">
      <w:start w:val="1"/>
      <w:numFmt w:val="bullet"/>
      <w:lvlText w:val=""/>
      <w:lvlJc w:val="left"/>
      <w:pPr>
        <w:ind w:left="4320" w:hanging="360"/>
      </w:pPr>
      <w:rPr>
        <w:rFonts w:ascii="Wingdings" w:hAnsi="Wingdings" w:hint="default"/>
      </w:rPr>
    </w:lvl>
    <w:lvl w:ilvl="6" w:tplc="83B08E10">
      <w:start w:val="1"/>
      <w:numFmt w:val="bullet"/>
      <w:lvlText w:val=""/>
      <w:lvlJc w:val="left"/>
      <w:pPr>
        <w:ind w:left="5040" w:hanging="360"/>
      </w:pPr>
      <w:rPr>
        <w:rFonts w:ascii="Symbol" w:hAnsi="Symbol" w:hint="default"/>
      </w:rPr>
    </w:lvl>
    <w:lvl w:ilvl="7" w:tplc="9370A1DE">
      <w:start w:val="1"/>
      <w:numFmt w:val="bullet"/>
      <w:lvlText w:val="o"/>
      <w:lvlJc w:val="left"/>
      <w:pPr>
        <w:ind w:left="5760" w:hanging="360"/>
      </w:pPr>
      <w:rPr>
        <w:rFonts w:ascii="Courier New" w:hAnsi="Courier New" w:hint="default"/>
      </w:rPr>
    </w:lvl>
    <w:lvl w:ilvl="8" w:tplc="341C7A60">
      <w:start w:val="1"/>
      <w:numFmt w:val="bullet"/>
      <w:lvlText w:val=""/>
      <w:lvlJc w:val="left"/>
      <w:pPr>
        <w:ind w:left="6480" w:hanging="360"/>
      </w:pPr>
      <w:rPr>
        <w:rFonts w:ascii="Wingdings" w:hAnsi="Wingdings" w:hint="default"/>
      </w:rPr>
    </w:lvl>
  </w:abstractNum>
  <w:abstractNum w:abstractNumId="88" w15:restartNumberingAfterBreak="0">
    <w:nsid w:val="403C2371"/>
    <w:multiLevelType w:val="hybridMultilevel"/>
    <w:tmpl w:val="6DB8B26E"/>
    <w:lvl w:ilvl="0" w:tplc="DD56B8B8">
      <w:start w:val="1"/>
      <w:numFmt w:val="bullet"/>
      <w:lvlText w:val="·"/>
      <w:lvlJc w:val="left"/>
      <w:pPr>
        <w:ind w:left="720" w:hanging="360"/>
      </w:pPr>
      <w:rPr>
        <w:rFonts w:ascii="Symbol" w:hAnsi="Symbol" w:hint="default"/>
      </w:rPr>
    </w:lvl>
    <w:lvl w:ilvl="1" w:tplc="0A723B06">
      <w:start w:val="1"/>
      <w:numFmt w:val="bullet"/>
      <w:lvlText w:val="o"/>
      <w:lvlJc w:val="left"/>
      <w:pPr>
        <w:ind w:left="1440" w:hanging="360"/>
      </w:pPr>
      <w:rPr>
        <w:rFonts w:ascii="Courier New" w:hAnsi="Courier New" w:hint="default"/>
      </w:rPr>
    </w:lvl>
    <w:lvl w:ilvl="2" w:tplc="B3D21378">
      <w:start w:val="1"/>
      <w:numFmt w:val="bullet"/>
      <w:lvlText w:val=""/>
      <w:lvlJc w:val="left"/>
      <w:pPr>
        <w:ind w:left="2160" w:hanging="360"/>
      </w:pPr>
      <w:rPr>
        <w:rFonts w:ascii="Wingdings" w:hAnsi="Wingdings" w:hint="default"/>
      </w:rPr>
    </w:lvl>
    <w:lvl w:ilvl="3" w:tplc="4368769C">
      <w:start w:val="1"/>
      <w:numFmt w:val="bullet"/>
      <w:lvlText w:val=""/>
      <w:lvlJc w:val="left"/>
      <w:pPr>
        <w:ind w:left="2880" w:hanging="360"/>
      </w:pPr>
      <w:rPr>
        <w:rFonts w:ascii="Symbol" w:hAnsi="Symbol" w:hint="default"/>
      </w:rPr>
    </w:lvl>
    <w:lvl w:ilvl="4" w:tplc="AB767840">
      <w:start w:val="1"/>
      <w:numFmt w:val="bullet"/>
      <w:lvlText w:val="o"/>
      <w:lvlJc w:val="left"/>
      <w:pPr>
        <w:ind w:left="3600" w:hanging="360"/>
      </w:pPr>
      <w:rPr>
        <w:rFonts w:ascii="Courier New" w:hAnsi="Courier New" w:hint="default"/>
      </w:rPr>
    </w:lvl>
    <w:lvl w:ilvl="5" w:tplc="A12C9242">
      <w:start w:val="1"/>
      <w:numFmt w:val="bullet"/>
      <w:lvlText w:val=""/>
      <w:lvlJc w:val="left"/>
      <w:pPr>
        <w:ind w:left="4320" w:hanging="360"/>
      </w:pPr>
      <w:rPr>
        <w:rFonts w:ascii="Wingdings" w:hAnsi="Wingdings" w:hint="default"/>
      </w:rPr>
    </w:lvl>
    <w:lvl w:ilvl="6" w:tplc="9C2E244E">
      <w:start w:val="1"/>
      <w:numFmt w:val="bullet"/>
      <w:lvlText w:val=""/>
      <w:lvlJc w:val="left"/>
      <w:pPr>
        <w:ind w:left="5040" w:hanging="360"/>
      </w:pPr>
      <w:rPr>
        <w:rFonts w:ascii="Symbol" w:hAnsi="Symbol" w:hint="default"/>
      </w:rPr>
    </w:lvl>
    <w:lvl w:ilvl="7" w:tplc="49BC1E7C">
      <w:start w:val="1"/>
      <w:numFmt w:val="bullet"/>
      <w:lvlText w:val="o"/>
      <w:lvlJc w:val="left"/>
      <w:pPr>
        <w:ind w:left="5760" w:hanging="360"/>
      </w:pPr>
      <w:rPr>
        <w:rFonts w:ascii="Courier New" w:hAnsi="Courier New" w:hint="default"/>
      </w:rPr>
    </w:lvl>
    <w:lvl w:ilvl="8" w:tplc="D9203DF2">
      <w:start w:val="1"/>
      <w:numFmt w:val="bullet"/>
      <w:lvlText w:val=""/>
      <w:lvlJc w:val="left"/>
      <w:pPr>
        <w:ind w:left="6480" w:hanging="360"/>
      </w:pPr>
      <w:rPr>
        <w:rFonts w:ascii="Wingdings" w:hAnsi="Wingdings" w:hint="default"/>
      </w:rPr>
    </w:lvl>
  </w:abstractNum>
  <w:abstractNum w:abstractNumId="89" w15:restartNumberingAfterBreak="0">
    <w:nsid w:val="41100C57"/>
    <w:multiLevelType w:val="hybridMultilevel"/>
    <w:tmpl w:val="D35C3082"/>
    <w:lvl w:ilvl="0" w:tplc="5C48932E">
      <w:start w:val="1"/>
      <w:numFmt w:val="bullet"/>
      <w:lvlText w:val=""/>
      <w:lvlJc w:val="left"/>
      <w:pPr>
        <w:ind w:left="720" w:hanging="360"/>
      </w:pPr>
      <w:rPr>
        <w:rFonts w:ascii="Symbol" w:hAnsi="Symbol" w:hint="default"/>
      </w:rPr>
    </w:lvl>
    <w:lvl w:ilvl="1" w:tplc="BB786648">
      <w:start w:val="1"/>
      <w:numFmt w:val="bullet"/>
      <w:lvlText w:val="o"/>
      <w:lvlJc w:val="left"/>
      <w:pPr>
        <w:ind w:left="1440" w:hanging="360"/>
      </w:pPr>
      <w:rPr>
        <w:rFonts w:ascii="Courier New" w:hAnsi="Courier New" w:hint="default"/>
      </w:rPr>
    </w:lvl>
    <w:lvl w:ilvl="2" w:tplc="740ECA12">
      <w:start w:val="1"/>
      <w:numFmt w:val="bullet"/>
      <w:lvlText w:val=""/>
      <w:lvlJc w:val="left"/>
      <w:pPr>
        <w:ind w:left="2160" w:hanging="360"/>
      </w:pPr>
      <w:rPr>
        <w:rFonts w:ascii="Wingdings" w:hAnsi="Wingdings" w:hint="default"/>
      </w:rPr>
    </w:lvl>
    <w:lvl w:ilvl="3" w:tplc="891C99B8">
      <w:start w:val="1"/>
      <w:numFmt w:val="bullet"/>
      <w:lvlText w:val=""/>
      <w:lvlJc w:val="left"/>
      <w:pPr>
        <w:ind w:left="2880" w:hanging="360"/>
      </w:pPr>
      <w:rPr>
        <w:rFonts w:ascii="Symbol" w:hAnsi="Symbol" w:hint="default"/>
      </w:rPr>
    </w:lvl>
    <w:lvl w:ilvl="4" w:tplc="96B08A96">
      <w:start w:val="1"/>
      <w:numFmt w:val="bullet"/>
      <w:lvlText w:val="o"/>
      <w:lvlJc w:val="left"/>
      <w:pPr>
        <w:ind w:left="3600" w:hanging="360"/>
      </w:pPr>
      <w:rPr>
        <w:rFonts w:ascii="Courier New" w:hAnsi="Courier New" w:hint="default"/>
      </w:rPr>
    </w:lvl>
    <w:lvl w:ilvl="5" w:tplc="3F4EE938">
      <w:start w:val="1"/>
      <w:numFmt w:val="bullet"/>
      <w:lvlText w:val=""/>
      <w:lvlJc w:val="left"/>
      <w:pPr>
        <w:ind w:left="4320" w:hanging="360"/>
      </w:pPr>
      <w:rPr>
        <w:rFonts w:ascii="Wingdings" w:hAnsi="Wingdings" w:hint="default"/>
      </w:rPr>
    </w:lvl>
    <w:lvl w:ilvl="6" w:tplc="C9600A3A">
      <w:start w:val="1"/>
      <w:numFmt w:val="bullet"/>
      <w:lvlText w:val=""/>
      <w:lvlJc w:val="left"/>
      <w:pPr>
        <w:ind w:left="5040" w:hanging="360"/>
      </w:pPr>
      <w:rPr>
        <w:rFonts w:ascii="Symbol" w:hAnsi="Symbol" w:hint="default"/>
      </w:rPr>
    </w:lvl>
    <w:lvl w:ilvl="7" w:tplc="B79C6C12">
      <w:start w:val="1"/>
      <w:numFmt w:val="bullet"/>
      <w:lvlText w:val="o"/>
      <w:lvlJc w:val="left"/>
      <w:pPr>
        <w:ind w:left="5760" w:hanging="360"/>
      </w:pPr>
      <w:rPr>
        <w:rFonts w:ascii="Courier New" w:hAnsi="Courier New" w:hint="default"/>
      </w:rPr>
    </w:lvl>
    <w:lvl w:ilvl="8" w:tplc="68F27D44">
      <w:start w:val="1"/>
      <w:numFmt w:val="bullet"/>
      <w:lvlText w:val=""/>
      <w:lvlJc w:val="left"/>
      <w:pPr>
        <w:ind w:left="6480" w:hanging="360"/>
      </w:pPr>
      <w:rPr>
        <w:rFonts w:ascii="Wingdings" w:hAnsi="Wingdings" w:hint="default"/>
      </w:rPr>
    </w:lvl>
  </w:abstractNum>
  <w:abstractNum w:abstractNumId="90" w15:restartNumberingAfterBreak="0">
    <w:nsid w:val="414F377B"/>
    <w:multiLevelType w:val="hybridMultilevel"/>
    <w:tmpl w:val="F8B001B0"/>
    <w:lvl w:ilvl="0" w:tplc="3E547430">
      <w:start w:val="1"/>
      <w:numFmt w:val="bullet"/>
      <w:lvlText w:val=""/>
      <w:lvlJc w:val="left"/>
      <w:pPr>
        <w:ind w:left="720" w:hanging="360"/>
      </w:pPr>
      <w:rPr>
        <w:rFonts w:ascii="Symbol" w:hAnsi="Symbol" w:hint="default"/>
      </w:rPr>
    </w:lvl>
    <w:lvl w:ilvl="1" w:tplc="C086902E">
      <w:start w:val="1"/>
      <w:numFmt w:val="bullet"/>
      <w:lvlText w:val="o"/>
      <w:lvlJc w:val="left"/>
      <w:pPr>
        <w:ind w:left="1440" w:hanging="360"/>
      </w:pPr>
      <w:rPr>
        <w:rFonts w:ascii="Courier New" w:hAnsi="Courier New" w:hint="default"/>
      </w:rPr>
    </w:lvl>
    <w:lvl w:ilvl="2" w:tplc="C8BC6AAC">
      <w:start w:val="1"/>
      <w:numFmt w:val="bullet"/>
      <w:lvlText w:val=""/>
      <w:lvlJc w:val="left"/>
      <w:pPr>
        <w:ind w:left="2160" w:hanging="360"/>
      </w:pPr>
      <w:rPr>
        <w:rFonts w:ascii="Wingdings" w:hAnsi="Wingdings" w:hint="default"/>
      </w:rPr>
    </w:lvl>
    <w:lvl w:ilvl="3" w:tplc="BA865F22">
      <w:start w:val="1"/>
      <w:numFmt w:val="bullet"/>
      <w:lvlText w:val=""/>
      <w:lvlJc w:val="left"/>
      <w:pPr>
        <w:ind w:left="2880" w:hanging="360"/>
      </w:pPr>
      <w:rPr>
        <w:rFonts w:ascii="Symbol" w:hAnsi="Symbol" w:hint="default"/>
      </w:rPr>
    </w:lvl>
    <w:lvl w:ilvl="4" w:tplc="123CE7FC">
      <w:start w:val="1"/>
      <w:numFmt w:val="bullet"/>
      <w:lvlText w:val="o"/>
      <w:lvlJc w:val="left"/>
      <w:pPr>
        <w:ind w:left="3600" w:hanging="360"/>
      </w:pPr>
      <w:rPr>
        <w:rFonts w:ascii="Courier New" w:hAnsi="Courier New" w:hint="default"/>
      </w:rPr>
    </w:lvl>
    <w:lvl w:ilvl="5" w:tplc="54E073DC">
      <w:start w:val="1"/>
      <w:numFmt w:val="bullet"/>
      <w:lvlText w:val=""/>
      <w:lvlJc w:val="left"/>
      <w:pPr>
        <w:ind w:left="4320" w:hanging="360"/>
      </w:pPr>
      <w:rPr>
        <w:rFonts w:ascii="Wingdings" w:hAnsi="Wingdings" w:hint="default"/>
      </w:rPr>
    </w:lvl>
    <w:lvl w:ilvl="6" w:tplc="575E1F50">
      <w:start w:val="1"/>
      <w:numFmt w:val="bullet"/>
      <w:lvlText w:val=""/>
      <w:lvlJc w:val="left"/>
      <w:pPr>
        <w:ind w:left="5040" w:hanging="360"/>
      </w:pPr>
      <w:rPr>
        <w:rFonts w:ascii="Symbol" w:hAnsi="Symbol" w:hint="default"/>
      </w:rPr>
    </w:lvl>
    <w:lvl w:ilvl="7" w:tplc="817C10EC">
      <w:start w:val="1"/>
      <w:numFmt w:val="bullet"/>
      <w:lvlText w:val="o"/>
      <w:lvlJc w:val="left"/>
      <w:pPr>
        <w:ind w:left="5760" w:hanging="360"/>
      </w:pPr>
      <w:rPr>
        <w:rFonts w:ascii="Courier New" w:hAnsi="Courier New" w:hint="default"/>
      </w:rPr>
    </w:lvl>
    <w:lvl w:ilvl="8" w:tplc="96C0AB46">
      <w:start w:val="1"/>
      <w:numFmt w:val="bullet"/>
      <w:lvlText w:val=""/>
      <w:lvlJc w:val="left"/>
      <w:pPr>
        <w:ind w:left="6480" w:hanging="360"/>
      </w:pPr>
      <w:rPr>
        <w:rFonts w:ascii="Wingdings" w:hAnsi="Wingdings" w:hint="default"/>
      </w:rPr>
    </w:lvl>
  </w:abstractNum>
  <w:abstractNum w:abstractNumId="91" w15:restartNumberingAfterBreak="0">
    <w:nsid w:val="425C1224"/>
    <w:multiLevelType w:val="multilevel"/>
    <w:tmpl w:val="242636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2A56B74"/>
    <w:multiLevelType w:val="multilevel"/>
    <w:tmpl w:val="036C8B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3B2528A"/>
    <w:multiLevelType w:val="multilevel"/>
    <w:tmpl w:val="1CBCE2FE"/>
    <w:lvl w:ilvl="0">
      <w:start w:val="4"/>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4495964"/>
    <w:multiLevelType w:val="multilevel"/>
    <w:tmpl w:val="3C560F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4D42DBF"/>
    <w:multiLevelType w:val="hybridMultilevel"/>
    <w:tmpl w:val="5C34C8F8"/>
    <w:lvl w:ilvl="0" w:tplc="3894D59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45D55265"/>
    <w:multiLevelType w:val="hybridMultilevel"/>
    <w:tmpl w:val="331E601A"/>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97" w15:restartNumberingAfterBreak="0">
    <w:nsid w:val="46654BB5"/>
    <w:multiLevelType w:val="hybridMultilevel"/>
    <w:tmpl w:val="450A0828"/>
    <w:lvl w:ilvl="0" w:tplc="549EBD50">
      <w:start w:val="1"/>
      <w:numFmt w:val="bullet"/>
      <w:lvlText w:val=""/>
      <w:lvlJc w:val="left"/>
      <w:pPr>
        <w:ind w:left="720" w:hanging="360"/>
      </w:pPr>
      <w:rPr>
        <w:rFonts w:ascii="Symbol" w:hAnsi="Symbol" w:hint="default"/>
      </w:rPr>
    </w:lvl>
    <w:lvl w:ilvl="1" w:tplc="2EA25390">
      <w:start w:val="1"/>
      <w:numFmt w:val="bullet"/>
      <w:lvlText w:val="o"/>
      <w:lvlJc w:val="left"/>
      <w:pPr>
        <w:ind w:left="1440" w:hanging="360"/>
      </w:pPr>
      <w:rPr>
        <w:rFonts w:ascii="Courier New" w:hAnsi="Courier New" w:hint="default"/>
      </w:rPr>
    </w:lvl>
    <w:lvl w:ilvl="2" w:tplc="3648C550">
      <w:start w:val="1"/>
      <w:numFmt w:val="bullet"/>
      <w:lvlText w:val=""/>
      <w:lvlJc w:val="left"/>
      <w:pPr>
        <w:ind w:left="2160" w:hanging="360"/>
      </w:pPr>
      <w:rPr>
        <w:rFonts w:ascii="Wingdings" w:hAnsi="Wingdings" w:hint="default"/>
      </w:rPr>
    </w:lvl>
    <w:lvl w:ilvl="3" w:tplc="34364BEE">
      <w:start w:val="1"/>
      <w:numFmt w:val="bullet"/>
      <w:lvlText w:val=""/>
      <w:lvlJc w:val="left"/>
      <w:pPr>
        <w:ind w:left="2880" w:hanging="360"/>
      </w:pPr>
      <w:rPr>
        <w:rFonts w:ascii="Symbol" w:hAnsi="Symbol" w:hint="default"/>
      </w:rPr>
    </w:lvl>
    <w:lvl w:ilvl="4" w:tplc="6666B7BC">
      <w:start w:val="1"/>
      <w:numFmt w:val="bullet"/>
      <w:lvlText w:val="o"/>
      <w:lvlJc w:val="left"/>
      <w:pPr>
        <w:ind w:left="3600" w:hanging="360"/>
      </w:pPr>
      <w:rPr>
        <w:rFonts w:ascii="Courier New" w:hAnsi="Courier New" w:hint="default"/>
      </w:rPr>
    </w:lvl>
    <w:lvl w:ilvl="5" w:tplc="24C85C44">
      <w:start w:val="1"/>
      <w:numFmt w:val="bullet"/>
      <w:lvlText w:val=""/>
      <w:lvlJc w:val="left"/>
      <w:pPr>
        <w:ind w:left="4320" w:hanging="360"/>
      </w:pPr>
      <w:rPr>
        <w:rFonts w:ascii="Wingdings" w:hAnsi="Wingdings" w:hint="default"/>
      </w:rPr>
    </w:lvl>
    <w:lvl w:ilvl="6" w:tplc="324C0426">
      <w:start w:val="1"/>
      <w:numFmt w:val="bullet"/>
      <w:lvlText w:val=""/>
      <w:lvlJc w:val="left"/>
      <w:pPr>
        <w:ind w:left="5040" w:hanging="360"/>
      </w:pPr>
      <w:rPr>
        <w:rFonts w:ascii="Symbol" w:hAnsi="Symbol" w:hint="default"/>
      </w:rPr>
    </w:lvl>
    <w:lvl w:ilvl="7" w:tplc="916A0AA2">
      <w:start w:val="1"/>
      <w:numFmt w:val="bullet"/>
      <w:lvlText w:val="o"/>
      <w:lvlJc w:val="left"/>
      <w:pPr>
        <w:ind w:left="5760" w:hanging="360"/>
      </w:pPr>
      <w:rPr>
        <w:rFonts w:ascii="Courier New" w:hAnsi="Courier New" w:hint="default"/>
      </w:rPr>
    </w:lvl>
    <w:lvl w:ilvl="8" w:tplc="5FA265E8">
      <w:start w:val="1"/>
      <w:numFmt w:val="bullet"/>
      <w:lvlText w:val=""/>
      <w:lvlJc w:val="left"/>
      <w:pPr>
        <w:ind w:left="6480" w:hanging="360"/>
      </w:pPr>
      <w:rPr>
        <w:rFonts w:ascii="Wingdings" w:hAnsi="Wingdings" w:hint="default"/>
      </w:rPr>
    </w:lvl>
  </w:abstractNum>
  <w:abstractNum w:abstractNumId="98" w15:restartNumberingAfterBreak="0">
    <w:nsid w:val="48022DAA"/>
    <w:multiLevelType w:val="multilevel"/>
    <w:tmpl w:val="3FB0BDD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9" w15:restartNumberingAfterBreak="0">
    <w:nsid w:val="48BA3DF1"/>
    <w:multiLevelType w:val="multilevel"/>
    <w:tmpl w:val="036CA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8FA7525"/>
    <w:multiLevelType w:val="hybridMultilevel"/>
    <w:tmpl w:val="7D9AF7A0"/>
    <w:lvl w:ilvl="0" w:tplc="1F7C191C">
      <w:start w:val="1"/>
      <w:numFmt w:val="decimal"/>
      <w:lvlText w:val="%1."/>
      <w:lvlJc w:val="left"/>
      <w:pPr>
        <w:ind w:left="720" w:hanging="360"/>
      </w:pPr>
      <w:rPr>
        <w:rFonts w:hint="default"/>
        <w:b w:val="0"/>
        <w:bCs/>
        <w:i w:val="0"/>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1" w15:restartNumberingAfterBreak="0">
    <w:nsid w:val="498115B7"/>
    <w:multiLevelType w:val="multilevel"/>
    <w:tmpl w:val="A4E691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9AC1B35"/>
    <w:multiLevelType w:val="hybridMultilevel"/>
    <w:tmpl w:val="E77C34C2"/>
    <w:lvl w:ilvl="0" w:tplc="FFFFFFFF">
      <w:start w:val="1"/>
      <w:numFmt w:val="lowerRoman"/>
      <w:lvlText w:val="(%1)"/>
      <w:lvlJc w:val="left"/>
      <w:pPr>
        <w:ind w:left="1199" w:hanging="720"/>
      </w:pPr>
      <w:rPr>
        <w:rFonts w:hint="default"/>
        <w:u w:val="single"/>
      </w:r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103" w15:restartNumberingAfterBreak="0">
    <w:nsid w:val="49C41634"/>
    <w:multiLevelType w:val="hybridMultilevel"/>
    <w:tmpl w:val="48B25A18"/>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AAB4EB7"/>
    <w:multiLevelType w:val="multilevel"/>
    <w:tmpl w:val="F1748C16"/>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5" w15:restartNumberingAfterBreak="0">
    <w:nsid w:val="4CAA6BFA"/>
    <w:multiLevelType w:val="multilevel"/>
    <w:tmpl w:val="5218C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D5631AB"/>
    <w:multiLevelType w:val="hybridMultilevel"/>
    <w:tmpl w:val="835CD08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4D7E12A1"/>
    <w:multiLevelType w:val="hybridMultilevel"/>
    <w:tmpl w:val="221618A0"/>
    <w:lvl w:ilvl="0" w:tplc="7938FB5E">
      <w:start w:val="1"/>
      <w:numFmt w:val="lowerLetter"/>
      <w:lvlText w:val="%1)"/>
      <w:lvlJc w:val="left"/>
      <w:pPr>
        <w:ind w:left="360" w:hanging="360"/>
      </w:pPr>
      <w:rPr>
        <w:rFonts w:hint="default"/>
        <w:b w:val="0"/>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8" w15:restartNumberingAfterBreak="0">
    <w:nsid w:val="4DD10241"/>
    <w:multiLevelType w:val="multilevel"/>
    <w:tmpl w:val="3BE2D9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DD361C3"/>
    <w:multiLevelType w:val="hybridMultilevel"/>
    <w:tmpl w:val="FC6C56B0"/>
    <w:lvl w:ilvl="0" w:tplc="FFA04036">
      <w:start w:val="1"/>
      <w:numFmt w:val="bullet"/>
      <w:lvlText w:val="·"/>
      <w:lvlJc w:val="left"/>
      <w:pPr>
        <w:ind w:left="720" w:hanging="360"/>
      </w:pPr>
      <w:rPr>
        <w:rFonts w:ascii="Symbol" w:hAnsi="Symbol" w:hint="default"/>
      </w:rPr>
    </w:lvl>
    <w:lvl w:ilvl="1" w:tplc="CDA49C1C">
      <w:start w:val="1"/>
      <w:numFmt w:val="bullet"/>
      <w:lvlText w:val="o"/>
      <w:lvlJc w:val="left"/>
      <w:pPr>
        <w:ind w:left="1440" w:hanging="360"/>
      </w:pPr>
      <w:rPr>
        <w:rFonts w:ascii="Courier New" w:hAnsi="Courier New" w:hint="default"/>
      </w:rPr>
    </w:lvl>
    <w:lvl w:ilvl="2" w:tplc="618EE36A">
      <w:start w:val="1"/>
      <w:numFmt w:val="bullet"/>
      <w:lvlText w:val=""/>
      <w:lvlJc w:val="left"/>
      <w:pPr>
        <w:ind w:left="2160" w:hanging="360"/>
      </w:pPr>
      <w:rPr>
        <w:rFonts w:ascii="Wingdings" w:hAnsi="Wingdings" w:hint="default"/>
      </w:rPr>
    </w:lvl>
    <w:lvl w:ilvl="3" w:tplc="FB14D41C">
      <w:start w:val="1"/>
      <w:numFmt w:val="bullet"/>
      <w:lvlText w:val=""/>
      <w:lvlJc w:val="left"/>
      <w:pPr>
        <w:ind w:left="2880" w:hanging="360"/>
      </w:pPr>
      <w:rPr>
        <w:rFonts w:ascii="Symbol" w:hAnsi="Symbol" w:hint="default"/>
      </w:rPr>
    </w:lvl>
    <w:lvl w:ilvl="4" w:tplc="D09A228E">
      <w:start w:val="1"/>
      <w:numFmt w:val="bullet"/>
      <w:lvlText w:val="o"/>
      <w:lvlJc w:val="left"/>
      <w:pPr>
        <w:ind w:left="3600" w:hanging="360"/>
      </w:pPr>
      <w:rPr>
        <w:rFonts w:ascii="Courier New" w:hAnsi="Courier New" w:hint="default"/>
      </w:rPr>
    </w:lvl>
    <w:lvl w:ilvl="5" w:tplc="1136C5FE">
      <w:start w:val="1"/>
      <w:numFmt w:val="bullet"/>
      <w:lvlText w:val=""/>
      <w:lvlJc w:val="left"/>
      <w:pPr>
        <w:ind w:left="4320" w:hanging="360"/>
      </w:pPr>
      <w:rPr>
        <w:rFonts w:ascii="Wingdings" w:hAnsi="Wingdings" w:hint="default"/>
      </w:rPr>
    </w:lvl>
    <w:lvl w:ilvl="6" w:tplc="30D26BF0">
      <w:start w:val="1"/>
      <w:numFmt w:val="bullet"/>
      <w:lvlText w:val=""/>
      <w:lvlJc w:val="left"/>
      <w:pPr>
        <w:ind w:left="5040" w:hanging="360"/>
      </w:pPr>
      <w:rPr>
        <w:rFonts w:ascii="Symbol" w:hAnsi="Symbol" w:hint="default"/>
      </w:rPr>
    </w:lvl>
    <w:lvl w:ilvl="7" w:tplc="2EA85188">
      <w:start w:val="1"/>
      <w:numFmt w:val="bullet"/>
      <w:lvlText w:val="o"/>
      <w:lvlJc w:val="left"/>
      <w:pPr>
        <w:ind w:left="5760" w:hanging="360"/>
      </w:pPr>
      <w:rPr>
        <w:rFonts w:ascii="Courier New" w:hAnsi="Courier New" w:hint="default"/>
      </w:rPr>
    </w:lvl>
    <w:lvl w:ilvl="8" w:tplc="4CACDDF4">
      <w:start w:val="1"/>
      <w:numFmt w:val="bullet"/>
      <w:lvlText w:val=""/>
      <w:lvlJc w:val="left"/>
      <w:pPr>
        <w:ind w:left="6480" w:hanging="360"/>
      </w:pPr>
      <w:rPr>
        <w:rFonts w:ascii="Wingdings" w:hAnsi="Wingdings" w:hint="default"/>
      </w:rPr>
    </w:lvl>
  </w:abstractNum>
  <w:abstractNum w:abstractNumId="110" w15:restartNumberingAfterBreak="0">
    <w:nsid w:val="4DF50563"/>
    <w:multiLevelType w:val="hybridMultilevel"/>
    <w:tmpl w:val="BFC699D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1" w15:restartNumberingAfterBreak="0">
    <w:nsid w:val="4EFBFE91"/>
    <w:multiLevelType w:val="hybridMultilevel"/>
    <w:tmpl w:val="16365600"/>
    <w:lvl w:ilvl="0" w:tplc="919213EE">
      <w:start w:val="1"/>
      <w:numFmt w:val="lowerLetter"/>
      <w:lvlText w:val="%1."/>
      <w:lvlJc w:val="left"/>
      <w:pPr>
        <w:ind w:left="720" w:hanging="360"/>
      </w:pPr>
    </w:lvl>
    <w:lvl w:ilvl="1" w:tplc="ED0A3C68">
      <w:start w:val="1"/>
      <w:numFmt w:val="lowerLetter"/>
      <w:lvlText w:val="%2."/>
      <w:lvlJc w:val="left"/>
      <w:pPr>
        <w:ind w:left="1440" w:hanging="360"/>
      </w:pPr>
    </w:lvl>
    <w:lvl w:ilvl="2" w:tplc="B830A830">
      <w:start w:val="1"/>
      <w:numFmt w:val="lowerRoman"/>
      <w:lvlText w:val="%3."/>
      <w:lvlJc w:val="right"/>
      <w:pPr>
        <w:ind w:left="2160" w:hanging="180"/>
      </w:pPr>
    </w:lvl>
    <w:lvl w:ilvl="3" w:tplc="AA76DD0E">
      <w:start w:val="1"/>
      <w:numFmt w:val="decimal"/>
      <w:lvlText w:val="%4."/>
      <w:lvlJc w:val="left"/>
      <w:pPr>
        <w:ind w:left="2880" w:hanging="360"/>
      </w:pPr>
    </w:lvl>
    <w:lvl w:ilvl="4" w:tplc="F36E6222">
      <w:start w:val="1"/>
      <w:numFmt w:val="lowerLetter"/>
      <w:lvlText w:val="%5."/>
      <w:lvlJc w:val="left"/>
      <w:pPr>
        <w:ind w:left="3600" w:hanging="360"/>
      </w:pPr>
    </w:lvl>
    <w:lvl w:ilvl="5" w:tplc="5008BBE8">
      <w:start w:val="1"/>
      <w:numFmt w:val="lowerRoman"/>
      <w:lvlText w:val="%6."/>
      <w:lvlJc w:val="right"/>
      <w:pPr>
        <w:ind w:left="4320" w:hanging="180"/>
      </w:pPr>
    </w:lvl>
    <w:lvl w:ilvl="6" w:tplc="2B82A110">
      <w:start w:val="1"/>
      <w:numFmt w:val="decimal"/>
      <w:lvlText w:val="%7."/>
      <w:lvlJc w:val="left"/>
      <w:pPr>
        <w:ind w:left="5040" w:hanging="360"/>
      </w:pPr>
    </w:lvl>
    <w:lvl w:ilvl="7" w:tplc="5052F410">
      <w:start w:val="1"/>
      <w:numFmt w:val="lowerLetter"/>
      <w:lvlText w:val="%8."/>
      <w:lvlJc w:val="left"/>
      <w:pPr>
        <w:ind w:left="5760" w:hanging="360"/>
      </w:pPr>
    </w:lvl>
    <w:lvl w:ilvl="8" w:tplc="9458807E">
      <w:start w:val="1"/>
      <w:numFmt w:val="lowerRoman"/>
      <w:lvlText w:val="%9."/>
      <w:lvlJc w:val="right"/>
      <w:pPr>
        <w:ind w:left="6480" w:hanging="180"/>
      </w:pPr>
    </w:lvl>
  </w:abstractNum>
  <w:abstractNum w:abstractNumId="112" w15:restartNumberingAfterBreak="0">
    <w:nsid w:val="4F4B41B4"/>
    <w:multiLevelType w:val="hybridMultilevel"/>
    <w:tmpl w:val="CBD6772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3" w15:restartNumberingAfterBreak="0">
    <w:nsid w:val="4F570EC0"/>
    <w:multiLevelType w:val="multilevel"/>
    <w:tmpl w:val="DA28D2AC"/>
    <w:lvl w:ilvl="0">
      <w:start w:val="7"/>
      <w:numFmt w:val="upperRoman"/>
      <w:lvlText w:val="%1."/>
      <w:lvlJc w:val="right"/>
      <w:pPr>
        <w:tabs>
          <w:tab w:val="num" w:pos="720"/>
        </w:tabs>
        <w:ind w:left="720" w:hanging="360"/>
      </w:pPr>
    </w:lvl>
    <w:lvl w:ilvl="1">
      <w:start w:val="7"/>
      <w:numFmt w:val="decimal"/>
      <w:lvlText w:val="%2."/>
      <w:lvlJc w:val="left"/>
      <w:pPr>
        <w:ind w:left="1440" w:hanging="360"/>
      </w:pPr>
      <w:rPr>
        <w:rFonts w:hint="default"/>
        <w:b w:val="0"/>
        <w:bCs/>
        <w:i w:val="0"/>
        <w:sz w:val="24"/>
        <w:szCs w:val="24"/>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4" w15:restartNumberingAfterBreak="0">
    <w:nsid w:val="4FF0688B"/>
    <w:multiLevelType w:val="multilevel"/>
    <w:tmpl w:val="B746B0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062EF4E"/>
    <w:multiLevelType w:val="hybridMultilevel"/>
    <w:tmpl w:val="81AAB496"/>
    <w:lvl w:ilvl="0" w:tplc="78E0B94A">
      <w:start w:val="1"/>
      <w:numFmt w:val="bullet"/>
      <w:lvlText w:val="-"/>
      <w:lvlJc w:val="left"/>
      <w:pPr>
        <w:ind w:left="720" w:hanging="360"/>
      </w:pPr>
      <w:rPr>
        <w:rFonts w:ascii="Aptos" w:hAnsi="Aptos" w:hint="default"/>
      </w:rPr>
    </w:lvl>
    <w:lvl w:ilvl="1" w:tplc="C28AC736">
      <w:start w:val="1"/>
      <w:numFmt w:val="bullet"/>
      <w:lvlText w:val="o"/>
      <w:lvlJc w:val="left"/>
      <w:pPr>
        <w:ind w:left="1440" w:hanging="360"/>
      </w:pPr>
      <w:rPr>
        <w:rFonts w:ascii="Courier New" w:hAnsi="Courier New" w:hint="default"/>
      </w:rPr>
    </w:lvl>
    <w:lvl w:ilvl="2" w:tplc="F6D85604">
      <w:start w:val="1"/>
      <w:numFmt w:val="bullet"/>
      <w:lvlText w:val=""/>
      <w:lvlJc w:val="left"/>
      <w:pPr>
        <w:ind w:left="2160" w:hanging="360"/>
      </w:pPr>
      <w:rPr>
        <w:rFonts w:ascii="Wingdings" w:hAnsi="Wingdings" w:hint="default"/>
      </w:rPr>
    </w:lvl>
    <w:lvl w:ilvl="3" w:tplc="6A50082E">
      <w:start w:val="1"/>
      <w:numFmt w:val="bullet"/>
      <w:lvlText w:val=""/>
      <w:lvlJc w:val="left"/>
      <w:pPr>
        <w:ind w:left="2880" w:hanging="360"/>
      </w:pPr>
      <w:rPr>
        <w:rFonts w:ascii="Symbol" w:hAnsi="Symbol" w:hint="default"/>
      </w:rPr>
    </w:lvl>
    <w:lvl w:ilvl="4" w:tplc="1638C864">
      <w:start w:val="1"/>
      <w:numFmt w:val="bullet"/>
      <w:lvlText w:val="o"/>
      <w:lvlJc w:val="left"/>
      <w:pPr>
        <w:ind w:left="3600" w:hanging="360"/>
      </w:pPr>
      <w:rPr>
        <w:rFonts w:ascii="Courier New" w:hAnsi="Courier New" w:hint="default"/>
      </w:rPr>
    </w:lvl>
    <w:lvl w:ilvl="5" w:tplc="33908EBE">
      <w:start w:val="1"/>
      <w:numFmt w:val="bullet"/>
      <w:lvlText w:val=""/>
      <w:lvlJc w:val="left"/>
      <w:pPr>
        <w:ind w:left="4320" w:hanging="360"/>
      </w:pPr>
      <w:rPr>
        <w:rFonts w:ascii="Wingdings" w:hAnsi="Wingdings" w:hint="default"/>
      </w:rPr>
    </w:lvl>
    <w:lvl w:ilvl="6" w:tplc="99B65F9A">
      <w:start w:val="1"/>
      <w:numFmt w:val="bullet"/>
      <w:lvlText w:val=""/>
      <w:lvlJc w:val="left"/>
      <w:pPr>
        <w:ind w:left="5040" w:hanging="360"/>
      </w:pPr>
      <w:rPr>
        <w:rFonts w:ascii="Symbol" w:hAnsi="Symbol" w:hint="default"/>
      </w:rPr>
    </w:lvl>
    <w:lvl w:ilvl="7" w:tplc="19A299EE">
      <w:start w:val="1"/>
      <w:numFmt w:val="bullet"/>
      <w:lvlText w:val="o"/>
      <w:lvlJc w:val="left"/>
      <w:pPr>
        <w:ind w:left="5760" w:hanging="360"/>
      </w:pPr>
      <w:rPr>
        <w:rFonts w:ascii="Courier New" w:hAnsi="Courier New" w:hint="default"/>
      </w:rPr>
    </w:lvl>
    <w:lvl w:ilvl="8" w:tplc="AF329026">
      <w:start w:val="1"/>
      <w:numFmt w:val="bullet"/>
      <w:lvlText w:val=""/>
      <w:lvlJc w:val="left"/>
      <w:pPr>
        <w:ind w:left="6480" w:hanging="360"/>
      </w:pPr>
      <w:rPr>
        <w:rFonts w:ascii="Wingdings" w:hAnsi="Wingdings" w:hint="default"/>
      </w:rPr>
    </w:lvl>
  </w:abstractNum>
  <w:abstractNum w:abstractNumId="116" w15:restartNumberingAfterBreak="0">
    <w:nsid w:val="51363E68"/>
    <w:multiLevelType w:val="multilevel"/>
    <w:tmpl w:val="9FB436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16A1891"/>
    <w:multiLevelType w:val="multilevel"/>
    <w:tmpl w:val="533A3B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1DB7605"/>
    <w:multiLevelType w:val="multilevel"/>
    <w:tmpl w:val="D4E63576"/>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9" w15:restartNumberingAfterBreak="0">
    <w:nsid w:val="51F90067"/>
    <w:multiLevelType w:val="hybridMultilevel"/>
    <w:tmpl w:val="44305B9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52414458"/>
    <w:multiLevelType w:val="hybridMultilevel"/>
    <w:tmpl w:val="3DF65250"/>
    <w:lvl w:ilvl="0" w:tplc="2E7A6408">
      <w:start w:val="1"/>
      <w:numFmt w:val="bullet"/>
      <w:lvlText w:val="·"/>
      <w:lvlJc w:val="left"/>
      <w:pPr>
        <w:ind w:left="720" w:hanging="360"/>
      </w:pPr>
      <w:rPr>
        <w:rFonts w:ascii="Symbol" w:hAnsi="Symbol" w:hint="default"/>
      </w:rPr>
    </w:lvl>
    <w:lvl w:ilvl="1" w:tplc="F1828876">
      <w:start w:val="1"/>
      <w:numFmt w:val="bullet"/>
      <w:lvlText w:val="o"/>
      <w:lvlJc w:val="left"/>
      <w:pPr>
        <w:ind w:left="1440" w:hanging="360"/>
      </w:pPr>
      <w:rPr>
        <w:rFonts w:ascii="Courier New" w:hAnsi="Courier New" w:hint="default"/>
      </w:rPr>
    </w:lvl>
    <w:lvl w:ilvl="2" w:tplc="7D6C1F2A">
      <w:start w:val="1"/>
      <w:numFmt w:val="bullet"/>
      <w:lvlText w:val=""/>
      <w:lvlJc w:val="left"/>
      <w:pPr>
        <w:ind w:left="2160" w:hanging="360"/>
      </w:pPr>
      <w:rPr>
        <w:rFonts w:ascii="Wingdings" w:hAnsi="Wingdings" w:hint="default"/>
      </w:rPr>
    </w:lvl>
    <w:lvl w:ilvl="3" w:tplc="D18474B4">
      <w:start w:val="1"/>
      <w:numFmt w:val="bullet"/>
      <w:lvlText w:val=""/>
      <w:lvlJc w:val="left"/>
      <w:pPr>
        <w:ind w:left="2880" w:hanging="360"/>
      </w:pPr>
      <w:rPr>
        <w:rFonts w:ascii="Symbol" w:hAnsi="Symbol" w:hint="default"/>
      </w:rPr>
    </w:lvl>
    <w:lvl w:ilvl="4" w:tplc="8870D8BA">
      <w:start w:val="1"/>
      <w:numFmt w:val="bullet"/>
      <w:lvlText w:val="o"/>
      <w:lvlJc w:val="left"/>
      <w:pPr>
        <w:ind w:left="3600" w:hanging="360"/>
      </w:pPr>
      <w:rPr>
        <w:rFonts w:ascii="Courier New" w:hAnsi="Courier New" w:hint="default"/>
      </w:rPr>
    </w:lvl>
    <w:lvl w:ilvl="5" w:tplc="FF2A85B6">
      <w:start w:val="1"/>
      <w:numFmt w:val="bullet"/>
      <w:lvlText w:val=""/>
      <w:lvlJc w:val="left"/>
      <w:pPr>
        <w:ind w:left="4320" w:hanging="360"/>
      </w:pPr>
      <w:rPr>
        <w:rFonts w:ascii="Wingdings" w:hAnsi="Wingdings" w:hint="default"/>
      </w:rPr>
    </w:lvl>
    <w:lvl w:ilvl="6" w:tplc="249CE5CE">
      <w:start w:val="1"/>
      <w:numFmt w:val="bullet"/>
      <w:lvlText w:val=""/>
      <w:lvlJc w:val="left"/>
      <w:pPr>
        <w:ind w:left="5040" w:hanging="360"/>
      </w:pPr>
      <w:rPr>
        <w:rFonts w:ascii="Symbol" w:hAnsi="Symbol" w:hint="default"/>
      </w:rPr>
    </w:lvl>
    <w:lvl w:ilvl="7" w:tplc="BCF0D498">
      <w:start w:val="1"/>
      <w:numFmt w:val="bullet"/>
      <w:lvlText w:val="o"/>
      <w:lvlJc w:val="left"/>
      <w:pPr>
        <w:ind w:left="5760" w:hanging="360"/>
      </w:pPr>
      <w:rPr>
        <w:rFonts w:ascii="Courier New" w:hAnsi="Courier New" w:hint="default"/>
      </w:rPr>
    </w:lvl>
    <w:lvl w:ilvl="8" w:tplc="5D4249AC">
      <w:start w:val="1"/>
      <w:numFmt w:val="bullet"/>
      <w:lvlText w:val=""/>
      <w:lvlJc w:val="left"/>
      <w:pPr>
        <w:ind w:left="6480" w:hanging="360"/>
      </w:pPr>
      <w:rPr>
        <w:rFonts w:ascii="Wingdings" w:hAnsi="Wingdings" w:hint="default"/>
      </w:rPr>
    </w:lvl>
  </w:abstractNum>
  <w:abstractNum w:abstractNumId="121" w15:restartNumberingAfterBreak="0">
    <w:nsid w:val="52733A78"/>
    <w:multiLevelType w:val="multilevel"/>
    <w:tmpl w:val="9536D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3A656EB"/>
    <w:multiLevelType w:val="multilevel"/>
    <w:tmpl w:val="96EC6EF0"/>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3" w15:restartNumberingAfterBreak="0">
    <w:nsid w:val="53BA53BB"/>
    <w:multiLevelType w:val="multilevel"/>
    <w:tmpl w:val="F1748CF4"/>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4" w15:restartNumberingAfterBreak="0">
    <w:nsid w:val="54A21C1D"/>
    <w:multiLevelType w:val="multilevel"/>
    <w:tmpl w:val="703652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4B156B1"/>
    <w:multiLevelType w:val="hybridMultilevel"/>
    <w:tmpl w:val="DB643A40"/>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6" w15:restartNumberingAfterBreak="0">
    <w:nsid w:val="54D7783F"/>
    <w:multiLevelType w:val="multilevel"/>
    <w:tmpl w:val="DEEEF230"/>
    <w:lvl w:ilvl="0">
      <w:start w:val="2"/>
      <w:numFmt w:val="upperRoman"/>
      <w:lvlText w:val="%1."/>
      <w:lvlJc w:val="right"/>
      <w:pPr>
        <w:tabs>
          <w:tab w:val="num" w:pos="720"/>
        </w:tabs>
        <w:ind w:left="720" w:hanging="360"/>
      </w:pPr>
    </w:lvl>
    <w:lvl w:ilvl="1">
      <w:start w:val="1"/>
      <w:numFmt w:val="decimal"/>
      <w:lvlText w:val="%2."/>
      <w:lvlJc w:val="left"/>
      <w:pPr>
        <w:ind w:left="1440"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7" w15:restartNumberingAfterBreak="0">
    <w:nsid w:val="571F08B3"/>
    <w:multiLevelType w:val="multilevel"/>
    <w:tmpl w:val="E3605F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80283F9"/>
    <w:multiLevelType w:val="hybridMultilevel"/>
    <w:tmpl w:val="E430AA38"/>
    <w:lvl w:ilvl="0" w:tplc="A30ED0EE">
      <w:start w:val="1"/>
      <w:numFmt w:val="lowerRoman"/>
      <w:lvlText w:val="%1."/>
      <w:lvlJc w:val="left"/>
      <w:pPr>
        <w:ind w:left="720" w:hanging="360"/>
      </w:pPr>
    </w:lvl>
    <w:lvl w:ilvl="1" w:tplc="DADE0C96">
      <w:start w:val="1"/>
      <w:numFmt w:val="lowerLetter"/>
      <w:lvlText w:val="%2."/>
      <w:lvlJc w:val="left"/>
      <w:pPr>
        <w:ind w:left="1440" w:hanging="360"/>
      </w:pPr>
    </w:lvl>
    <w:lvl w:ilvl="2" w:tplc="39C00BF2">
      <w:start w:val="1"/>
      <w:numFmt w:val="lowerRoman"/>
      <w:lvlText w:val="%3."/>
      <w:lvlJc w:val="right"/>
      <w:pPr>
        <w:ind w:left="2160" w:hanging="180"/>
      </w:pPr>
    </w:lvl>
    <w:lvl w:ilvl="3" w:tplc="B734DA9C">
      <w:start w:val="1"/>
      <w:numFmt w:val="decimal"/>
      <w:lvlText w:val="%4."/>
      <w:lvlJc w:val="left"/>
      <w:pPr>
        <w:ind w:left="2880" w:hanging="360"/>
      </w:pPr>
    </w:lvl>
    <w:lvl w:ilvl="4" w:tplc="53C062B2">
      <w:start w:val="1"/>
      <w:numFmt w:val="lowerLetter"/>
      <w:lvlText w:val="%5."/>
      <w:lvlJc w:val="left"/>
      <w:pPr>
        <w:ind w:left="3600" w:hanging="360"/>
      </w:pPr>
    </w:lvl>
    <w:lvl w:ilvl="5" w:tplc="9EFE2026">
      <w:start w:val="1"/>
      <w:numFmt w:val="lowerRoman"/>
      <w:lvlText w:val="%6."/>
      <w:lvlJc w:val="right"/>
      <w:pPr>
        <w:ind w:left="4320" w:hanging="180"/>
      </w:pPr>
    </w:lvl>
    <w:lvl w:ilvl="6" w:tplc="B1F0E520">
      <w:start w:val="1"/>
      <w:numFmt w:val="decimal"/>
      <w:lvlText w:val="%7."/>
      <w:lvlJc w:val="left"/>
      <w:pPr>
        <w:ind w:left="5040" w:hanging="360"/>
      </w:pPr>
    </w:lvl>
    <w:lvl w:ilvl="7" w:tplc="910E6FA2">
      <w:start w:val="1"/>
      <w:numFmt w:val="lowerLetter"/>
      <w:lvlText w:val="%8."/>
      <w:lvlJc w:val="left"/>
      <w:pPr>
        <w:ind w:left="5760" w:hanging="360"/>
      </w:pPr>
    </w:lvl>
    <w:lvl w:ilvl="8" w:tplc="1AAC8D36">
      <w:start w:val="1"/>
      <w:numFmt w:val="lowerRoman"/>
      <w:lvlText w:val="%9."/>
      <w:lvlJc w:val="right"/>
      <w:pPr>
        <w:ind w:left="6480" w:hanging="180"/>
      </w:pPr>
    </w:lvl>
  </w:abstractNum>
  <w:abstractNum w:abstractNumId="129" w15:restartNumberingAfterBreak="0">
    <w:nsid w:val="58B902BB"/>
    <w:multiLevelType w:val="multilevel"/>
    <w:tmpl w:val="EC74E4A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0" w15:restartNumberingAfterBreak="0">
    <w:nsid w:val="58EC2721"/>
    <w:multiLevelType w:val="hybridMultilevel"/>
    <w:tmpl w:val="BF547A90"/>
    <w:lvl w:ilvl="0" w:tplc="240A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1" w15:restartNumberingAfterBreak="0">
    <w:nsid w:val="59F60EB9"/>
    <w:multiLevelType w:val="multilevel"/>
    <w:tmpl w:val="04708D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A105FBF"/>
    <w:multiLevelType w:val="multilevel"/>
    <w:tmpl w:val="FD44AF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A26CFC9"/>
    <w:multiLevelType w:val="hybridMultilevel"/>
    <w:tmpl w:val="C15C97F6"/>
    <w:lvl w:ilvl="0" w:tplc="67C2E614">
      <w:start w:val="1"/>
      <w:numFmt w:val="bullet"/>
      <w:lvlText w:val=""/>
      <w:lvlJc w:val="left"/>
      <w:pPr>
        <w:ind w:left="720" w:hanging="360"/>
      </w:pPr>
      <w:rPr>
        <w:rFonts w:ascii="Symbol" w:hAnsi="Symbol" w:hint="default"/>
      </w:rPr>
    </w:lvl>
    <w:lvl w:ilvl="1" w:tplc="3852F66E">
      <w:start w:val="1"/>
      <w:numFmt w:val="bullet"/>
      <w:lvlText w:val="o"/>
      <w:lvlJc w:val="left"/>
      <w:pPr>
        <w:ind w:left="1440" w:hanging="360"/>
      </w:pPr>
      <w:rPr>
        <w:rFonts w:ascii="Courier New" w:hAnsi="Courier New" w:hint="default"/>
      </w:rPr>
    </w:lvl>
    <w:lvl w:ilvl="2" w:tplc="8EB65348">
      <w:start w:val="1"/>
      <w:numFmt w:val="bullet"/>
      <w:lvlText w:val=""/>
      <w:lvlJc w:val="left"/>
      <w:pPr>
        <w:ind w:left="2160" w:hanging="360"/>
      </w:pPr>
      <w:rPr>
        <w:rFonts w:ascii="Wingdings" w:hAnsi="Wingdings" w:hint="default"/>
      </w:rPr>
    </w:lvl>
    <w:lvl w:ilvl="3" w:tplc="5A40C29A">
      <w:start w:val="1"/>
      <w:numFmt w:val="bullet"/>
      <w:lvlText w:val=""/>
      <w:lvlJc w:val="left"/>
      <w:pPr>
        <w:ind w:left="2880" w:hanging="360"/>
      </w:pPr>
      <w:rPr>
        <w:rFonts w:ascii="Symbol" w:hAnsi="Symbol" w:hint="default"/>
      </w:rPr>
    </w:lvl>
    <w:lvl w:ilvl="4" w:tplc="42E6D8DE">
      <w:start w:val="1"/>
      <w:numFmt w:val="bullet"/>
      <w:lvlText w:val="o"/>
      <w:lvlJc w:val="left"/>
      <w:pPr>
        <w:ind w:left="3600" w:hanging="360"/>
      </w:pPr>
      <w:rPr>
        <w:rFonts w:ascii="Courier New" w:hAnsi="Courier New" w:hint="default"/>
      </w:rPr>
    </w:lvl>
    <w:lvl w:ilvl="5" w:tplc="5DC01DF0">
      <w:start w:val="1"/>
      <w:numFmt w:val="bullet"/>
      <w:lvlText w:val=""/>
      <w:lvlJc w:val="left"/>
      <w:pPr>
        <w:ind w:left="4320" w:hanging="360"/>
      </w:pPr>
      <w:rPr>
        <w:rFonts w:ascii="Wingdings" w:hAnsi="Wingdings" w:hint="default"/>
      </w:rPr>
    </w:lvl>
    <w:lvl w:ilvl="6" w:tplc="03320D1A">
      <w:start w:val="1"/>
      <w:numFmt w:val="bullet"/>
      <w:lvlText w:val=""/>
      <w:lvlJc w:val="left"/>
      <w:pPr>
        <w:ind w:left="5040" w:hanging="360"/>
      </w:pPr>
      <w:rPr>
        <w:rFonts w:ascii="Symbol" w:hAnsi="Symbol" w:hint="default"/>
      </w:rPr>
    </w:lvl>
    <w:lvl w:ilvl="7" w:tplc="FF6A5020">
      <w:start w:val="1"/>
      <w:numFmt w:val="bullet"/>
      <w:lvlText w:val="o"/>
      <w:lvlJc w:val="left"/>
      <w:pPr>
        <w:ind w:left="5760" w:hanging="360"/>
      </w:pPr>
      <w:rPr>
        <w:rFonts w:ascii="Courier New" w:hAnsi="Courier New" w:hint="default"/>
      </w:rPr>
    </w:lvl>
    <w:lvl w:ilvl="8" w:tplc="4404A598">
      <w:start w:val="1"/>
      <w:numFmt w:val="bullet"/>
      <w:lvlText w:val=""/>
      <w:lvlJc w:val="left"/>
      <w:pPr>
        <w:ind w:left="6480" w:hanging="360"/>
      </w:pPr>
      <w:rPr>
        <w:rFonts w:ascii="Wingdings" w:hAnsi="Wingdings" w:hint="default"/>
      </w:rPr>
    </w:lvl>
  </w:abstractNum>
  <w:abstractNum w:abstractNumId="134" w15:restartNumberingAfterBreak="0">
    <w:nsid w:val="5B1C12FE"/>
    <w:multiLevelType w:val="hybridMultilevel"/>
    <w:tmpl w:val="B1DAA0B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5" w15:restartNumberingAfterBreak="0">
    <w:nsid w:val="5D7E0798"/>
    <w:multiLevelType w:val="multilevel"/>
    <w:tmpl w:val="2AE627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5EE67713"/>
    <w:multiLevelType w:val="multilevel"/>
    <w:tmpl w:val="F14201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F4C3324"/>
    <w:multiLevelType w:val="hybridMultilevel"/>
    <w:tmpl w:val="F8A43E60"/>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8" w15:restartNumberingAfterBreak="0">
    <w:nsid w:val="604F7302"/>
    <w:multiLevelType w:val="multilevel"/>
    <w:tmpl w:val="B4A486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9" w15:restartNumberingAfterBreak="0">
    <w:nsid w:val="62C27947"/>
    <w:multiLevelType w:val="hybridMultilevel"/>
    <w:tmpl w:val="F39E817A"/>
    <w:lvl w:ilvl="0" w:tplc="FFFFFFFF">
      <w:start w:val="1"/>
      <w:numFmt w:val="lowerLetter"/>
      <w:lvlText w:val="%1)"/>
      <w:lvlJc w:val="left"/>
      <w:pPr>
        <w:ind w:left="720" w:hanging="360"/>
      </w:pPr>
    </w:lvl>
    <w:lvl w:ilvl="1" w:tplc="240A0017">
      <w:start w:val="1"/>
      <w:numFmt w:val="lowerLetter"/>
      <w:lvlText w:val="%2)"/>
      <w:lvlJc w:val="left"/>
      <w:pPr>
        <w:ind w:left="720" w:hanging="360"/>
      </w:pPr>
    </w:lvl>
    <w:lvl w:ilvl="2" w:tplc="9B0E020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62E077E3"/>
    <w:multiLevelType w:val="multilevel"/>
    <w:tmpl w:val="FE40A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326078E"/>
    <w:multiLevelType w:val="multilevel"/>
    <w:tmpl w:val="1F00A8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33D70D6"/>
    <w:multiLevelType w:val="multilevel"/>
    <w:tmpl w:val="2968F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4350713"/>
    <w:multiLevelType w:val="multilevel"/>
    <w:tmpl w:val="30707F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50A491B"/>
    <w:multiLevelType w:val="hybridMultilevel"/>
    <w:tmpl w:val="3CEA71A0"/>
    <w:lvl w:ilvl="0" w:tplc="A7563958">
      <w:start w:val="1"/>
      <w:numFmt w:val="bullet"/>
      <w:lvlText w:val="·"/>
      <w:lvlJc w:val="left"/>
      <w:pPr>
        <w:ind w:left="720" w:hanging="360"/>
      </w:pPr>
      <w:rPr>
        <w:rFonts w:ascii="Symbol" w:hAnsi="Symbol" w:hint="default"/>
      </w:rPr>
    </w:lvl>
    <w:lvl w:ilvl="1" w:tplc="5A5E3C3E">
      <w:start w:val="1"/>
      <w:numFmt w:val="bullet"/>
      <w:lvlText w:val="o"/>
      <w:lvlJc w:val="left"/>
      <w:pPr>
        <w:ind w:left="1440" w:hanging="360"/>
      </w:pPr>
      <w:rPr>
        <w:rFonts w:ascii="Courier New" w:hAnsi="Courier New" w:hint="default"/>
      </w:rPr>
    </w:lvl>
    <w:lvl w:ilvl="2" w:tplc="6F78CC20">
      <w:start w:val="1"/>
      <w:numFmt w:val="bullet"/>
      <w:lvlText w:val=""/>
      <w:lvlJc w:val="left"/>
      <w:pPr>
        <w:ind w:left="2160" w:hanging="360"/>
      </w:pPr>
      <w:rPr>
        <w:rFonts w:ascii="Wingdings" w:hAnsi="Wingdings" w:hint="default"/>
      </w:rPr>
    </w:lvl>
    <w:lvl w:ilvl="3" w:tplc="6F9299D2">
      <w:start w:val="1"/>
      <w:numFmt w:val="bullet"/>
      <w:lvlText w:val=""/>
      <w:lvlJc w:val="left"/>
      <w:pPr>
        <w:ind w:left="2880" w:hanging="360"/>
      </w:pPr>
      <w:rPr>
        <w:rFonts w:ascii="Symbol" w:hAnsi="Symbol" w:hint="default"/>
      </w:rPr>
    </w:lvl>
    <w:lvl w:ilvl="4" w:tplc="7DF229B0">
      <w:start w:val="1"/>
      <w:numFmt w:val="bullet"/>
      <w:lvlText w:val="o"/>
      <w:lvlJc w:val="left"/>
      <w:pPr>
        <w:ind w:left="3600" w:hanging="360"/>
      </w:pPr>
      <w:rPr>
        <w:rFonts w:ascii="Courier New" w:hAnsi="Courier New" w:hint="default"/>
      </w:rPr>
    </w:lvl>
    <w:lvl w:ilvl="5" w:tplc="897847FA">
      <w:start w:val="1"/>
      <w:numFmt w:val="bullet"/>
      <w:lvlText w:val=""/>
      <w:lvlJc w:val="left"/>
      <w:pPr>
        <w:ind w:left="4320" w:hanging="360"/>
      </w:pPr>
      <w:rPr>
        <w:rFonts w:ascii="Wingdings" w:hAnsi="Wingdings" w:hint="default"/>
      </w:rPr>
    </w:lvl>
    <w:lvl w:ilvl="6" w:tplc="CDEA23B2">
      <w:start w:val="1"/>
      <w:numFmt w:val="bullet"/>
      <w:lvlText w:val=""/>
      <w:lvlJc w:val="left"/>
      <w:pPr>
        <w:ind w:left="5040" w:hanging="360"/>
      </w:pPr>
      <w:rPr>
        <w:rFonts w:ascii="Symbol" w:hAnsi="Symbol" w:hint="default"/>
      </w:rPr>
    </w:lvl>
    <w:lvl w:ilvl="7" w:tplc="B4025118">
      <w:start w:val="1"/>
      <w:numFmt w:val="bullet"/>
      <w:lvlText w:val="o"/>
      <w:lvlJc w:val="left"/>
      <w:pPr>
        <w:ind w:left="5760" w:hanging="360"/>
      </w:pPr>
      <w:rPr>
        <w:rFonts w:ascii="Courier New" w:hAnsi="Courier New" w:hint="default"/>
      </w:rPr>
    </w:lvl>
    <w:lvl w:ilvl="8" w:tplc="56FC5572">
      <w:start w:val="1"/>
      <w:numFmt w:val="bullet"/>
      <w:lvlText w:val=""/>
      <w:lvlJc w:val="left"/>
      <w:pPr>
        <w:ind w:left="6480" w:hanging="360"/>
      </w:pPr>
      <w:rPr>
        <w:rFonts w:ascii="Wingdings" w:hAnsi="Wingdings" w:hint="default"/>
      </w:rPr>
    </w:lvl>
  </w:abstractNum>
  <w:abstractNum w:abstractNumId="145" w15:restartNumberingAfterBreak="0">
    <w:nsid w:val="65105F01"/>
    <w:multiLevelType w:val="hybridMultilevel"/>
    <w:tmpl w:val="D520E2CE"/>
    <w:lvl w:ilvl="0" w:tplc="0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6" w15:restartNumberingAfterBreak="0">
    <w:nsid w:val="652F04D7"/>
    <w:multiLevelType w:val="multilevel"/>
    <w:tmpl w:val="9AC4C190"/>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7" w15:restartNumberingAfterBreak="0">
    <w:nsid w:val="6689736C"/>
    <w:multiLevelType w:val="multilevel"/>
    <w:tmpl w:val="83F4A6C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8" w15:restartNumberingAfterBreak="0">
    <w:nsid w:val="66A1F0EA"/>
    <w:multiLevelType w:val="hybridMultilevel"/>
    <w:tmpl w:val="26F2577A"/>
    <w:lvl w:ilvl="0" w:tplc="78200244">
      <w:start w:val="1"/>
      <w:numFmt w:val="decimal"/>
      <w:lvlText w:val="%1."/>
      <w:lvlJc w:val="left"/>
      <w:pPr>
        <w:ind w:left="720" w:hanging="360"/>
      </w:pPr>
    </w:lvl>
    <w:lvl w:ilvl="1" w:tplc="46DA7C74">
      <w:start w:val="1"/>
      <w:numFmt w:val="lowerLetter"/>
      <w:lvlText w:val="%2."/>
      <w:lvlJc w:val="left"/>
      <w:pPr>
        <w:ind w:left="1440" w:hanging="360"/>
      </w:pPr>
    </w:lvl>
    <w:lvl w:ilvl="2" w:tplc="CA9445C8">
      <w:start w:val="1"/>
      <w:numFmt w:val="lowerRoman"/>
      <w:lvlText w:val="%3."/>
      <w:lvlJc w:val="right"/>
      <w:pPr>
        <w:ind w:left="2160" w:hanging="180"/>
      </w:pPr>
    </w:lvl>
    <w:lvl w:ilvl="3" w:tplc="801E73CE">
      <w:start w:val="1"/>
      <w:numFmt w:val="decimal"/>
      <w:lvlText w:val="%4."/>
      <w:lvlJc w:val="left"/>
      <w:pPr>
        <w:ind w:left="2880" w:hanging="360"/>
      </w:pPr>
    </w:lvl>
    <w:lvl w:ilvl="4" w:tplc="24DC8102">
      <w:start w:val="1"/>
      <w:numFmt w:val="lowerLetter"/>
      <w:lvlText w:val="%5."/>
      <w:lvlJc w:val="left"/>
      <w:pPr>
        <w:ind w:left="3600" w:hanging="360"/>
      </w:pPr>
    </w:lvl>
    <w:lvl w:ilvl="5" w:tplc="ACFA649C">
      <w:start w:val="1"/>
      <w:numFmt w:val="lowerRoman"/>
      <w:lvlText w:val="%6."/>
      <w:lvlJc w:val="right"/>
      <w:pPr>
        <w:ind w:left="4320" w:hanging="180"/>
      </w:pPr>
    </w:lvl>
    <w:lvl w:ilvl="6" w:tplc="3C946CBA">
      <w:start w:val="1"/>
      <w:numFmt w:val="decimal"/>
      <w:lvlText w:val="%7."/>
      <w:lvlJc w:val="left"/>
      <w:pPr>
        <w:ind w:left="5040" w:hanging="360"/>
      </w:pPr>
    </w:lvl>
    <w:lvl w:ilvl="7" w:tplc="A5CE800A">
      <w:start w:val="1"/>
      <w:numFmt w:val="lowerLetter"/>
      <w:lvlText w:val="%8."/>
      <w:lvlJc w:val="left"/>
      <w:pPr>
        <w:ind w:left="5760" w:hanging="360"/>
      </w:pPr>
    </w:lvl>
    <w:lvl w:ilvl="8" w:tplc="8BD87128">
      <w:start w:val="1"/>
      <w:numFmt w:val="lowerRoman"/>
      <w:lvlText w:val="%9."/>
      <w:lvlJc w:val="right"/>
      <w:pPr>
        <w:ind w:left="6480" w:hanging="180"/>
      </w:pPr>
    </w:lvl>
  </w:abstractNum>
  <w:abstractNum w:abstractNumId="149" w15:restartNumberingAfterBreak="0">
    <w:nsid w:val="67E10232"/>
    <w:multiLevelType w:val="multilevel"/>
    <w:tmpl w:val="CE66D8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8292F42"/>
    <w:multiLevelType w:val="multilevel"/>
    <w:tmpl w:val="E4A2AF7C"/>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84D28BC"/>
    <w:multiLevelType w:val="multilevel"/>
    <w:tmpl w:val="BD4A54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68B402A5"/>
    <w:multiLevelType w:val="multilevel"/>
    <w:tmpl w:val="61DA42E2"/>
    <w:lvl w:ilvl="0">
      <w:start w:val="2"/>
      <w:numFmt w:val="decimal"/>
      <w:lvlText w:val="%1."/>
      <w:lvlJc w:val="left"/>
      <w:pPr>
        <w:ind w:left="390" w:hanging="390"/>
      </w:pPr>
      <w:rPr>
        <w:rFonts w:hint="default"/>
      </w:rPr>
    </w:lvl>
    <w:lvl w:ilvl="1">
      <w:start w:val="1"/>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153" w15:restartNumberingAfterBreak="0">
    <w:nsid w:val="6A662083"/>
    <w:multiLevelType w:val="multilevel"/>
    <w:tmpl w:val="EB84AB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B921183"/>
    <w:multiLevelType w:val="multilevel"/>
    <w:tmpl w:val="30EE7A08"/>
    <w:lvl w:ilvl="0">
      <w:start w:val="7"/>
      <w:numFmt w:val="lowerRoman"/>
      <w:lvlText w:val="%1."/>
      <w:lvlJc w:val="right"/>
      <w:pPr>
        <w:tabs>
          <w:tab w:val="num" w:pos="720"/>
        </w:tabs>
        <w:ind w:left="720" w:hanging="360"/>
      </w:pPr>
      <w:rPr>
        <w:rFonts w:hint="default"/>
      </w:rPr>
    </w:lvl>
    <w:lvl w:ilvl="1">
      <w:start w:val="1"/>
      <w:numFmt w:val="lowerRoman"/>
      <w:lvlText w:val="%2."/>
      <w:lvlJc w:val="right"/>
      <w:pPr>
        <w:tabs>
          <w:tab w:val="num" w:pos="1440"/>
        </w:tabs>
        <w:ind w:left="1440" w:hanging="360"/>
      </w:pPr>
      <w:rPr>
        <w:rFonts w:hint="default"/>
      </w:rPr>
    </w:lvl>
    <w:lvl w:ilvl="2">
      <w:start w:val="1"/>
      <w:numFmt w:val="lowerRoman"/>
      <w:lvlText w:val="%3."/>
      <w:lvlJc w:val="right"/>
      <w:pPr>
        <w:tabs>
          <w:tab w:val="num" w:pos="2160"/>
        </w:tabs>
        <w:ind w:left="2160" w:hanging="360"/>
      </w:pPr>
      <w:rPr>
        <w:rFonts w:hint="default"/>
      </w:rPr>
    </w:lvl>
    <w:lvl w:ilvl="3">
      <w:start w:val="1"/>
      <w:numFmt w:val="lowerRoman"/>
      <w:lvlText w:val="%4."/>
      <w:lvlJc w:val="right"/>
      <w:pPr>
        <w:tabs>
          <w:tab w:val="num" w:pos="2880"/>
        </w:tabs>
        <w:ind w:left="2880" w:hanging="360"/>
      </w:pPr>
      <w:rPr>
        <w:rFonts w:hint="default"/>
      </w:rPr>
    </w:lvl>
    <w:lvl w:ilvl="4">
      <w:start w:val="1"/>
      <w:numFmt w:val="lowerRoman"/>
      <w:lvlText w:val="%5."/>
      <w:lvlJc w:val="right"/>
      <w:pPr>
        <w:tabs>
          <w:tab w:val="num" w:pos="3600"/>
        </w:tabs>
        <w:ind w:left="3600" w:hanging="360"/>
      </w:pPr>
      <w:rPr>
        <w:rFonts w:hint="default"/>
      </w:rPr>
    </w:lvl>
    <w:lvl w:ilvl="5">
      <w:start w:val="1"/>
      <w:numFmt w:val="lowerRoman"/>
      <w:lvlText w:val="%6."/>
      <w:lvlJc w:val="right"/>
      <w:pPr>
        <w:tabs>
          <w:tab w:val="num" w:pos="4320"/>
        </w:tabs>
        <w:ind w:left="4320" w:hanging="360"/>
      </w:pPr>
      <w:rPr>
        <w:rFonts w:hint="default"/>
      </w:rPr>
    </w:lvl>
    <w:lvl w:ilvl="6">
      <w:start w:val="1"/>
      <w:numFmt w:val="lowerRoman"/>
      <w:lvlText w:val="%7."/>
      <w:lvlJc w:val="right"/>
      <w:pPr>
        <w:tabs>
          <w:tab w:val="num" w:pos="5040"/>
        </w:tabs>
        <w:ind w:left="5040" w:hanging="360"/>
      </w:pPr>
      <w:rPr>
        <w:rFonts w:hint="default"/>
      </w:rPr>
    </w:lvl>
    <w:lvl w:ilvl="7">
      <w:start w:val="1"/>
      <w:numFmt w:val="lowerRoman"/>
      <w:lvlText w:val="%8."/>
      <w:lvlJc w:val="right"/>
      <w:pPr>
        <w:tabs>
          <w:tab w:val="num" w:pos="5760"/>
        </w:tabs>
        <w:ind w:left="5760" w:hanging="360"/>
      </w:pPr>
      <w:rPr>
        <w:rFonts w:hint="default"/>
      </w:rPr>
    </w:lvl>
    <w:lvl w:ilvl="8">
      <w:start w:val="1"/>
      <w:numFmt w:val="lowerRoman"/>
      <w:lvlText w:val="%9."/>
      <w:lvlJc w:val="right"/>
      <w:pPr>
        <w:tabs>
          <w:tab w:val="num" w:pos="6480"/>
        </w:tabs>
        <w:ind w:left="6480" w:hanging="360"/>
      </w:pPr>
      <w:rPr>
        <w:rFonts w:hint="default"/>
      </w:rPr>
    </w:lvl>
  </w:abstractNum>
  <w:abstractNum w:abstractNumId="155" w15:restartNumberingAfterBreak="0">
    <w:nsid w:val="6BA31061"/>
    <w:multiLevelType w:val="hybridMultilevel"/>
    <w:tmpl w:val="835CD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C306A79"/>
    <w:multiLevelType w:val="hybridMultilevel"/>
    <w:tmpl w:val="5EBCC34E"/>
    <w:lvl w:ilvl="0" w:tplc="01FEEB8E">
      <w:start w:val="1"/>
      <w:numFmt w:val="bullet"/>
      <w:lvlText w:val=""/>
      <w:lvlJc w:val="left"/>
      <w:pPr>
        <w:ind w:left="720" w:hanging="360"/>
      </w:pPr>
      <w:rPr>
        <w:rFonts w:ascii="Symbol" w:hAnsi="Symbol" w:hint="default"/>
      </w:rPr>
    </w:lvl>
    <w:lvl w:ilvl="1" w:tplc="4692A2B0">
      <w:start w:val="1"/>
      <w:numFmt w:val="bullet"/>
      <w:lvlText w:val="o"/>
      <w:lvlJc w:val="left"/>
      <w:pPr>
        <w:ind w:left="1440" w:hanging="360"/>
      </w:pPr>
      <w:rPr>
        <w:rFonts w:ascii="Courier New" w:hAnsi="Courier New" w:hint="default"/>
      </w:rPr>
    </w:lvl>
    <w:lvl w:ilvl="2" w:tplc="D5FCD5CA">
      <w:start w:val="1"/>
      <w:numFmt w:val="bullet"/>
      <w:lvlText w:val=""/>
      <w:lvlJc w:val="left"/>
      <w:pPr>
        <w:ind w:left="2160" w:hanging="360"/>
      </w:pPr>
      <w:rPr>
        <w:rFonts w:ascii="Wingdings" w:hAnsi="Wingdings" w:hint="default"/>
      </w:rPr>
    </w:lvl>
    <w:lvl w:ilvl="3" w:tplc="25BCFFAA">
      <w:start w:val="1"/>
      <w:numFmt w:val="bullet"/>
      <w:lvlText w:val=""/>
      <w:lvlJc w:val="left"/>
      <w:pPr>
        <w:ind w:left="2880" w:hanging="360"/>
      </w:pPr>
      <w:rPr>
        <w:rFonts w:ascii="Symbol" w:hAnsi="Symbol" w:hint="default"/>
      </w:rPr>
    </w:lvl>
    <w:lvl w:ilvl="4" w:tplc="E75093D4">
      <w:start w:val="1"/>
      <w:numFmt w:val="bullet"/>
      <w:lvlText w:val="o"/>
      <w:lvlJc w:val="left"/>
      <w:pPr>
        <w:ind w:left="3600" w:hanging="360"/>
      </w:pPr>
      <w:rPr>
        <w:rFonts w:ascii="Courier New" w:hAnsi="Courier New" w:hint="default"/>
      </w:rPr>
    </w:lvl>
    <w:lvl w:ilvl="5" w:tplc="AD22844A">
      <w:start w:val="1"/>
      <w:numFmt w:val="bullet"/>
      <w:lvlText w:val=""/>
      <w:lvlJc w:val="left"/>
      <w:pPr>
        <w:ind w:left="4320" w:hanging="360"/>
      </w:pPr>
      <w:rPr>
        <w:rFonts w:ascii="Wingdings" w:hAnsi="Wingdings" w:hint="default"/>
      </w:rPr>
    </w:lvl>
    <w:lvl w:ilvl="6" w:tplc="68AC2B96">
      <w:start w:val="1"/>
      <w:numFmt w:val="bullet"/>
      <w:lvlText w:val=""/>
      <w:lvlJc w:val="left"/>
      <w:pPr>
        <w:ind w:left="5040" w:hanging="360"/>
      </w:pPr>
      <w:rPr>
        <w:rFonts w:ascii="Symbol" w:hAnsi="Symbol" w:hint="default"/>
      </w:rPr>
    </w:lvl>
    <w:lvl w:ilvl="7" w:tplc="9B823A78">
      <w:start w:val="1"/>
      <w:numFmt w:val="bullet"/>
      <w:lvlText w:val="o"/>
      <w:lvlJc w:val="left"/>
      <w:pPr>
        <w:ind w:left="5760" w:hanging="360"/>
      </w:pPr>
      <w:rPr>
        <w:rFonts w:ascii="Courier New" w:hAnsi="Courier New" w:hint="default"/>
      </w:rPr>
    </w:lvl>
    <w:lvl w:ilvl="8" w:tplc="5B5A2940">
      <w:start w:val="1"/>
      <w:numFmt w:val="bullet"/>
      <w:lvlText w:val=""/>
      <w:lvlJc w:val="left"/>
      <w:pPr>
        <w:ind w:left="6480" w:hanging="360"/>
      </w:pPr>
      <w:rPr>
        <w:rFonts w:ascii="Wingdings" w:hAnsi="Wingdings" w:hint="default"/>
      </w:rPr>
    </w:lvl>
  </w:abstractNum>
  <w:abstractNum w:abstractNumId="157" w15:restartNumberingAfterBreak="0">
    <w:nsid w:val="6C5378BB"/>
    <w:multiLevelType w:val="multilevel"/>
    <w:tmpl w:val="03E859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C90286F"/>
    <w:multiLevelType w:val="hybridMultilevel"/>
    <w:tmpl w:val="E7B6AF0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9" w15:restartNumberingAfterBreak="0">
    <w:nsid w:val="6CEB3ACB"/>
    <w:multiLevelType w:val="hybridMultilevel"/>
    <w:tmpl w:val="58BA429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0" w15:restartNumberingAfterBreak="0">
    <w:nsid w:val="6E270A54"/>
    <w:multiLevelType w:val="hybridMultilevel"/>
    <w:tmpl w:val="D388AF8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1" w15:restartNumberingAfterBreak="0">
    <w:nsid w:val="6F974510"/>
    <w:multiLevelType w:val="multilevel"/>
    <w:tmpl w:val="6F8CB0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00239A1"/>
    <w:multiLevelType w:val="hybridMultilevel"/>
    <w:tmpl w:val="C2C6A38C"/>
    <w:lvl w:ilvl="0" w:tplc="1FEABB96">
      <w:start w:val="1"/>
      <w:numFmt w:val="upperLetter"/>
      <w:lvlText w:val="%1)"/>
      <w:lvlJc w:val="left"/>
      <w:pPr>
        <w:ind w:left="557" w:hanging="296"/>
      </w:pPr>
      <w:rPr>
        <w:rFonts w:ascii="Arial" w:eastAsia="Arial" w:hAnsi="Arial" w:cs="Arial" w:hint="default"/>
        <w:b/>
        <w:bCs/>
        <w:i w:val="0"/>
        <w:iCs w:val="0"/>
        <w:spacing w:val="0"/>
        <w:w w:val="100"/>
        <w:sz w:val="22"/>
        <w:szCs w:val="22"/>
        <w:lang w:val="es-ES" w:eastAsia="en-US" w:bidi="ar-SA"/>
      </w:rPr>
    </w:lvl>
    <w:lvl w:ilvl="1" w:tplc="DA208C9A">
      <w:start w:val="1"/>
      <w:numFmt w:val="decimal"/>
      <w:lvlText w:val="%2."/>
      <w:lvlJc w:val="left"/>
      <w:pPr>
        <w:ind w:left="982" w:hanging="356"/>
      </w:pPr>
      <w:rPr>
        <w:rFonts w:ascii="Arial" w:eastAsia="Arial MT" w:hAnsi="Arial" w:cs="Arial" w:hint="default"/>
        <w:b w:val="0"/>
        <w:bCs w:val="0"/>
        <w:i w:val="0"/>
        <w:iCs w:val="0"/>
        <w:spacing w:val="-1"/>
        <w:w w:val="100"/>
        <w:sz w:val="24"/>
        <w:szCs w:val="24"/>
        <w:lang w:val="es-ES" w:eastAsia="en-US" w:bidi="ar-SA"/>
      </w:rPr>
    </w:lvl>
    <w:lvl w:ilvl="2" w:tplc="5E1A6BDA">
      <w:start w:val="1"/>
      <w:numFmt w:val="lowerRoman"/>
      <w:lvlText w:val="%3)"/>
      <w:lvlJc w:val="left"/>
      <w:pPr>
        <w:ind w:left="1690" w:hanging="483"/>
      </w:pPr>
      <w:rPr>
        <w:rFonts w:ascii="Arial" w:eastAsia="Arial MT" w:hAnsi="Arial" w:cs="Arial" w:hint="default"/>
        <w:b w:val="0"/>
        <w:bCs w:val="0"/>
        <w:i w:val="0"/>
        <w:iCs w:val="0"/>
        <w:spacing w:val="-6"/>
        <w:w w:val="100"/>
        <w:sz w:val="24"/>
        <w:szCs w:val="24"/>
        <w:lang w:val="es-ES" w:eastAsia="en-US" w:bidi="ar-SA"/>
      </w:rPr>
    </w:lvl>
    <w:lvl w:ilvl="3" w:tplc="E99E022E">
      <w:numFmt w:val="bullet"/>
      <w:lvlText w:val="•"/>
      <w:lvlJc w:val="left"/>
      <w:pPr>
        <w:ind w:left="1540" w:hanging="483"/>
      </w:pPr>
      <w:rPr>
        <w:lang w:val="es-ES" w:eastAsia="en-US" w:bidi="ar-SA"/>
      </w:rPr>
    </w:lvl>
    <w:lvl w:ilvl="4" w:tplc="EC52A21C">
      <w:numFmt w:val="bullet"/>
      <w:lvlText w:val="•"/>
      <w:lvlJc w:val="left"/>
      <w:pPr>
        <w:ind w:left="1700" w:hanging="483"/>
      </w:pPr>
      <w:rPr>
        <w:lang w:val="es-ES" w:eastAsia="en-US" w:bidi="ar-SA"/>
      </w:rPr>
    </w:lvl>
    <w:lvl w:ilvl="5" w:tplc="A57E85C8">
      <w:numFmt w:val="bullet"/>
      <w:lvlText w:val="•"/>
      <w:lvlJc w:val="left"/>
      <w:pPr>
        <w:ind w:left="3036" w:hanging="483"/>
      </w:pPr>
      <w:rPr>
        <w:lang w:val="es-ES" w:eastAsia="en-US" w:bidi="ar-SA"/>
      </w:rPr>
    </w:lvl>
    <w:lvl w:ilvl="6" w:tplc="B294517C">
      <w:numFmt w:val="bullet"/>
      <w:lvlText w:val="•"/>
      <w:lvlJc w:val="left"/>
      <w:pPr>
        <w:ind w:left="4373" w:hanging="483"/>
      </w:pPr>
      <w:rPr>
        <w:lang w:val="es-ES" w:eastAsia="en-US" w:bidi="ar-SA"/>
      </w:rPr>
    </w:lvl>
    <w:lvl w:ilvl="7" w:tplc="977041B8">
      <w:numFmt w:val="bullet"/>
      <w:lvlText w:val="•"/>
      <w:lvlJc w:val="left"/>
      <w:pPr>
        <w:ind w:left="5710" w:hanging="483"/>
      </w:pPr>
      <w:rPr>
        <w:lang w:val="es-ES" w:eastAsia="en-US" w:bidi="ar-SA"/>
      </w:rPr>
    </w:lvl>
    <w:lvl w:ilvl="8" w:tplc="A41436A4">
      <w:numFmt w:val="bullet"/>
      <w:lvlText w:val="•"/>
      <w:lvlJc w:val="left"/>
      <w:pPr>
        <w:ind w:left="7046" w:hanging="483"/>
      </w:pPr>
      <w:rPr>
        <w:lang w:val="es-ES" w:eastAsia="en-US" w:bidi="ar-SA"/>
      </w:rPr>
    </w:lvl>
  </w:abstractNum>
  <w:abstractNum w:abstractNumId="163" w15:restartNumberingAfterBreak="0">
    <w:nsid w:val="706F1B27"/>
    <w:multiLevelType w:val="multilevel"/>
    <w:tmpl w:val="B93A8E3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4" w15:restartNumberingAfterBreak="0">
    <w:nsid w:val="70CA14D2"/>
    <w:multiLevelType w:val="hybridMultilevel"/>
    <w:tmpl w:val="CC70A0DE"/>
    <w:lvl w:ilvl="0" w:tplc="D79C185A">
      <w:start w:val="1"/>
      <w:numFmt w:val="lowerLetter"/>
      <w:lvlText w:val="%1."/>
      <w:lvlJc w:val="left"/>
      <w:pPr>
        <w:ind w:left="720" w:hanging="360"/>
      </w:pPr>
    </w:lvl>
    <w:lvl w:ilvl="1" w:tplc="952059BE">
      <w:start w:val="1"/>
      <w:numFmt w:val="lowerLetter"/>
      <w:lvlText w:val="%2."/>
      <w:lvlJc w:val="left"/>
      <w:pPr>
        <w:ind w:left="1440" w:hanging="360"/>
      </w:pPr>
    </w:lvl>
    <w:lvl w:ilvl="2" w:tplc="2550CCFE">
      <w:start w:val="1"/>
      <w:numFmt w:val="lowerRoman"/>
      <w:lvlText w:val="%3."/>
      <w:lvlJc w:val="right"/>
      <w:pPr>
        <w:ind w:left="2160" w:hanging="180"/>
      </w:pPr>
    </w:lvl>
    <w:lvl w:ilvl="3" w:tplc="A8AAF974">
      <w:start w:val="1"/>
      <w:numFmt w:val="decimal"/>
      <w:lvlText w:val="%4."/>
      <w:lvlJc w:val="left"/>
      <w:pPr>
        <w:ind w:left="2880" w:hanging="360"/>
      </w:pPr>
    </w:lvl>
    <w:lvl w:ilvl="4" w:tplc="755E3BA0">
      <w:start w:val="1"/>
      <w:numFmt w:val="lowerLetter"/>
      <w:lvlText w:val="%5."/>
      <w:lvlJc w:val="left"/>
      <w:pPr>
        <w:ind w:left="3600" w:hanging="360"/>
      </w:pPr>
    </w:lvl>
    <w:lvl w:ilvl="5" w:tplc="DDB63F9A">
      <w:start w:val="1"/>
      <w:numFmt w:val="lowerRoman"/>
      <w:lvlText w:val="%6."/>
      <w:lvlJc w:val="right"/>
      <w:pPr>
        <w:ind w:left="4320" w:hanging="180"/>
      </w:pPr>
    </w:lvl>
    <w:lvl w:ilvl="6" w:tplc="8AF6719A">
      <w:start w:val="1"/>
      <w:numFmt w:val="decimal"/>
      <w:lvlText w:val="%7."/>
      <w:lvlJc w:val="left"/>
      <w:pPr>
        <w:ind w:left="5040" w:hanging="360"/>
      </w:pPr>
    </w:lvl>
    <w:lvl w:ilvl="7" w:tplc="82CE89D0">
      <w:start w:val="1"/>
      <w:numFmt w:val="lowerLetter"/>
      <w:lvlText w:val="%8."/>
      <w:lvlJc w:val="left"/>
      <w:pPr>
        <w:ind w:left="5760" w:hanging="360"/>
      </w:pPr>
    </w:lvl>
    <w:lvl w:ilvl="8" w:tplc="85AEFA2C">
      <w:start w:val="1"/>
      <w:numFmt w:val="lowerRoman"/>
      <w:lvlText w:val="%9."/>
      <w:lvlJc w:val="right"/>
      <w:pPr>
        <w:ind w:left="6480" w:hanging="180"/>
      </w:pPr>
    </w:lvl>
  </w:abstractNum>
  <w:abstractNum w:abstractNumId="165" w15:restartNumberingAfterBreak="0">
    <w:nsid w:val="70DF5041"/>
    <w:multiLevelType w:val="hybridMultilevel"/>
    <w:tmpl w:val="F0E8B02A"/>
    <w:lvl w:ilvl="0" w:tplc="E80A7A62">
      <w:start w:val="1"/>
      <w:numFmt w:val="bullet"/>
      <w:lvlText w:val=""/>
      <w:lvlJc w:val="left"/>
      <w:pPr>
        <w:ind w:left="720" w:hanging="360"/>
      </w:pPr>
      <w:rPr>
        <w:rFonts w:ascii="Symbol" w:hAnsi="Symbol" w:hint="default"/>
      </w:rPr>
    </w:lvl>
    <w:lvl w:ilvl="1" w:tplc="6E7887AC">
      <w:start w:val="1"/>
      <w:numFmt w:val="bullet"/>
      <w:lvlText w:val="o"/>
      <w:lvlJc w:val="left"/>
      <w:pPr>
        <w:ind w:left="1440" w:hanging="360"/>
      </w:pPr>
      <w:rPr>
        <w:rFonts w:ascii="Courier New" w:hAnsi="Courier New" w:hint="default"/>
      </w:rPr>
    </w:lvl>
    <w:lvl w:ilvl="2" w:tplc="65AE5BA2">
      <w:start w:val="1"/>
      <w:numFmt w:val="bullet"/>
      <w:lvlText w:val=""/>
      <w:lvlJc w:val="left"/>
      <w:pPr>
        <w:ind w:left="2160" w:hanging="360"/>
      </w:pPr>
      <w:rPr>
        <w:rFonts w:ascii="Wingdings" w:hAnsi="Wingdings" w:hint="default"/>
      </w:rPr>
    </w:lvl>
    <w:lvl w:ilvl="3" w:tplc="EE9A1038">
      <w:start w:val="1"/>
      <w:numFmt w:val="bullet"/>
      <w:lvlText w:val=""/>
      <w:lvlJc w:val="left"/>
      <w:pPr>
        <w:ind w:left="2880" w:hanging="360"/>
      </w:pPr>
      <w:rPr>
        <w:rFonts w:ascii="Symbol" w:hAnsi="Symbol" w:hint="default"/>
      </w:rPr>
    </w:lvl>
    <w:lvl w:ilvl="4" w:tplc="7736EB78">
      <w:start w:val="1"/>
      <w:numFmt w:val="bullet"/>
      <w:lvlText w:val="o"/>
      <w:lvlJc w:val="left"/>
      <w:pPr>
        <w:ind w:left="3600" w:hanging="360"/>
      </w:pPr>
      <w:rPr>
        <w:rFonts w:ascii="Courier New" w:hAnsi="Courier New" w:hint="default"/>
      </w:rPr>
    </w:lvl>
    <w:lvl w:ilvl="5" w:tplc="E63AFA1C">
      <w:start w:val="1"/>
      <w:numFmt w:val="bullet"/>
      <w:lvlText w:val=""/>
      <w:lvlJc w:val="left"/>
      <w:pPr>
        <w:ind w:left="4320" w:hanging="360"/>
      </w:pPr>
      <w:rPr>
        <w:rFonts w:ascii="Wingdings" w:hAnsi="Wingdings" w:hint="default"/>
      </w:rPr>
    </w:lvl>
    <w:lvl w:ilvl="6" w:tplc="947AA5F8">
      <w:start w:val="1"/>
      <w:numFmt w:val="bullet"/>
      <w:lvlText w:val=""/>
      <w:lvlJc w:val="left"/>
      <w:pPr>
        <w:ind w:left="5040" w:hanging="360"/>
      </w:pPr>
      <w:rPr>
        <w:rFonts w:ascii="Symbol" w:hAnsi="Symbol" w:hint="default"/>
      </w:rPr>
    </w:lvl>
    <w:lvl w:ilvl="7" w:tplc="8D2C4AB2">
      <w:start w:val="1"/>
      <w:numFmt w:val="bullet"/>
      <w:lvlText w:val="o"/>
      <w:lvlJc w:val="left"/>
      <w:pPr>
        <w:ind w:left="5760" w:hanging="360"/>
      </w:pPr>
      <w:rPr>
        <w:rFonts w:ascii="Courier New" w:hAnsi="Courier New" w:hint="default"/>
      </w:rPr>
    </w:lvl>
    <w:lvl w:ilvl="8" w:tplc="EB30121C">
      <w:start w:val="1"/>
      <w:numFmt w:val="bullet"/>
      <w:lvlText w:val=""/>
      <w:lvlJc w:val="left"/>
      <w:pPr>
        <w:ind w:left="6480" w:hanging="360"/>
      </w:pPr>
      <w:rPr>
        <w:rFonts w:ascii="Wingdings" w:hAnsi="Wingdings" w:hint="default"/>
      </w:rPr>
    </w:lvl>
  </w:abstractNum>
  <w:abstractNum w:abstractNumId="166" w15:restartNumberingAfterBreak="0">
    <w:nsid w:val="72EE6952"/>
    <w:multiLevelType w:val="multilevel"/>
    <w:tmpl w:val="C0483CFE"/>
    <w:lvl w:ilvl="0">
      <w:start w:val="7"/>
      <w:numFmt w:val="upperRoman"/>
      <w:lvlText w:val="%1."/>
      <w:lvlJc w:val="right"/>
      <w:pPr>
        <w:tabs>
          <w:tab w:val="num" w:pos="720"/>
        </w:tabs>
        <w:ind w:left="720" w:hanging="360"/>
      </w:pPr>
      <w:rPr>
        <w:rFonts w:hint="default"/>
      </w:rPr>
    </w:lvl>
    <w:lvl w:ilvl="1">
      <w:start w:val="2"/>
      <w:numFmt w:val="decimal"/>
      <w:lvlText w:val="%2."/>
      <w:lvlJc w:val="left"/>
      <w:pPr>
        <w:ind w:left="1440" w:hanging="360"/>
      </w:pPr>
      <w:rPr>
        <w:rFonts w:hint="default"/>
        <w:b w:val="0"/>
        <w:bCs/>
        <w:i w:val="0"/>
        <w:sz w:val="24"/>
        <w:szCs w:val="24"/>
      </w:rPr>
    </w:lvl>
    <w:lvl w:ilvl="2">
      <w:start w:val="1"/>
      <w:numFmt w:val="upperRoman"/>
      <w:lvlText w:val="%3."/>
      <w:lvlJc w:val="right"/>
      <w:pPr>
        <w:tabs>
          <w:tab w:val="num" w:pos="2160"/>
        </w:tabs>
        <w:ind w:left="2160" w:hanging="360"/>
      </w:pPr>
      <w:rPr>
        <w:rFonts w:hint="default"/>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167" w15:restartNumberingAfterBreak="0">
    <w:nsid w:val="7692B15F"/>
    <w:multiLevelType w:val="hybridMultilevel"/>
    <w:tmpl w:val="1C962140"/>
    <w:lvl w:ilvl="0" w:tplc="11B6D626">
      <w:start w:val="1"/>
      <w:numFmt w:val="bullet"/>
      <w:lvlText w:val=""/>
      <w:lvlJc w:val="left"/>
      <w:pPr>
        <w:ind w:left="720" w:hanging="360"/>
      </w:pPr>
      <w:rPr>
        <w:rFonts w:ascii="Symbol" w:hAnsi="Symbol" w:hint="default"/>
      </w:rPr>
    </w:lvl>
    <w:lvl w:ilvl="1" w:tplc="FB1E739A">
      <w:start w:val="1"/>
      <w:numFmt w:val="bullet"/>
      <w:lvlText w:val="o"/>
      <w:lvlJc w:val="left"/>
      <w:pPr>
        <w:ind w:left="1440" w:hanging="360"/>
      </w:pPr>
      <w:rPr>
        <w:rFonts w:ascii="Courier New" w:hAnsi="Courier New" w:hint="default"/>
      </w:rPr>
    </w:lvl>
    <w:lvl w:ilvl="2" w:tplc="33B61B44">
      <w:start w:val="1"/>
      <w:numFmt w:val="bullet"/>
      <w:lvlText w:val=""/>
      <w:lvlJc w:val="left"/>
      <w:pPr>
        <w:ind w:left="2160" w:hanging="360"/>
      </w:pPr>
      <w:rPr>
        <w:rFonts w:ascii="Wingdings" w:hAnsi="Wingdings" w:hint="default"/>
      </w:rPr>
    </w:lvl>
    <w:lvl w:ilvl="3" w:tplc="4F2CAB8C">
      <w:start w:val="1"/>
      <w:numFmt w:val="bullet"/>
      <w:lvlText w:val=""/>
      <w:lvlJc w:val="left"/>
      <w:pPr>
        <w:ind w:left="2880" w:hanging="360"/>
      </w:pPr>
      <w:rPr>
        <w:rFonts w:ascii="Symbol" w:hAnsi="Symbol" w:hint="default"/>
      </w:rPr>
    </w:lvl>
    <w:lvl w:ilvl="4" w:tplc="CAC43F78">
      <w:start w:val="1"/>
      <w:numFmt w:val="bullet"/>
      <w:lvlText w:val="o"/>
      <w:lvlJc w:val="left"/>
      <w:pPr>
        <w:ind w:left="3600" w:hanging="360"/>
      </w:pPr>
      <w:rPr>
        <w:rFonts w:ascii="Courier New" w:hAnsi="Courier New" w:hint="default"/>
      </w:rPr>
    </w:lvl>
    <w:lvl w:ilvl="5" w:tplc="66B4A6EA">
      <w:start w:val="1"/>
      <w:numFmt w:val="bullet"/>
      <w:lvlText w:val=""/>
      <w:lvlJc w:val="left"/>
      <w:pPr>
        <w:ind w:left="4320" w:hanging="360"/>
      </w:pPr>
      <w:rPr>
        <w:rFonts w:ascii="Wingdings" w:hAnsi="Wingdings" w:hint="default"/>
      </w:rPr>
    </w:lvl>
    <w:lvl w:ilvl="6" w:tplc="F294B1EE">
      <w:start w:val="1"/>
      <w:numFmt w:val="bullet"/>
      <w:lvlText w:val=""/>
      <w:lvlJc w:val="left"/>
      <w:pPr>
        <w:ind w:left="5040" w:hanging="360"/>
      </w:pPr>
      <w:rPr>
        <w:rFonts w:ascii="Symbol" w:hAnsi="Symbol" w:hint="default"/>
      </w:rPr>
    </w:lvl>
    <w:lvl w:ilvl="7" w:tplc="7E68FB1C">
      <w:start w:val="1"/>
      <w:numFmt w:val="bullet"/>
      <w:lvlText w:val="o"/>
      <w:lvlJc w:val="left"/>
      <w:pPr>
        <w:ind w:left="5760" w:hanging="360"/>
      </w:pPr>
      <w:rPr>
        <w:rFonts w:ascii="Courier New" w:hAnsi="Courier New" w:hint="default"/>
      </w:rPr>
    </w:lvl>
    <w:lvl w:ilvl="8" w:tplc="158E68CE">
      <w:start w:val="1"/>
      <w:numFmt w:val="bullet"/>
      <w:lvlText w:val=""/>
      <w:lvlJc w:val="left"/>
      <w:pPr>
        <w:ind w:left="6480" w:hanging="360"/>
      </w:pPr>
      <w:rPr>
        <w:rFonts w:ascii="Wingdings" w:hAnsi="Wingdings" w:hint="default"/>
      </w:rPr>
    </w:lvl>
  </w:abstractNum>
  <w:abstractNum w:abstractNumId="168" w15:restartNumberingAfterBreak="0">
    <w:nsid w:val="76F563A9"/>
    <w:multiLevelType w:val="multilevel"/>
    <w:tmpl w:val="330EEAF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9" w15:restartNumberingAfterBreak="0">
    <w:nsid w:val="771A0510"/>
    <w:multiLevelType w:val="hybridMultilevel"/>
    <w:tmpl w:val="E77C34C2"/>
    <w:lvl w:ilvl="0" w:tplc="FFFFFFFF">
      <w:start w:val="1"/>
      <w:numFmt w:val="lowerRoman"/>
      <w:lvlText w:val="(%1)"/>
      <w:lvlJc w:val="left"/>
      <w:pPr>
        <w:ind w:left="1199" w:hanging="720"/>
      </w:pPr>
      <w:rPr>
        <w:rFonts w:hint="default"/>
        <w:u w:val="single"/>
      </w:r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170" w15:restartNumberingAfterBreak="0">
    <w:nsid w:val="77356D80"/>
    <w:multiLevelType w:val="multilevel"/>
    <w:tmpl w:val="259A0A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8B75023"/>
    <w:multiLevelType w:val="hybridMultilevel"/>
    <w:tmpl w:val="2BF01A04"/>
    <w:lvl w:ilvl="0" w:tplc="8C7CF80C">
      <w:start w:val="1"/>
      <w:numFmt w:val="decimal"/>
      <w:lvlText w:val="%1)"/>
      <w:lvlJc w:val="left"/>
      <w:pPr>
        <w:ind w:left="814" w:hanging="360"/>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72" w15:restartNumberingAfterBreak="0">
    <w:nsid w:val="7A415A11"/>
    <w:multiLevelType w:val="hybridMultilevel"/>
    <w:tmpl w:val="F5FC7AD2"/>
    <w:lvl w:ilvl="0" w:tplc="250A75A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3" w15:restartNumberingAfterBreak="0">
    <w:nsid w:val="7A4D419B"/>
    <w:multiLevelType w:val="multilevel"/>
    <w:tmpl w:val="52F609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7A8C1B17"/>
    <w:multiLevelType w:val="multilevel"/>
    <w:tmpl w:val="D3DC49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7B1F17F2"/>
    <w:multiLevelType w:val="multilevel"/>
    <w:tmpl w:val="B3E02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7B874DA9"/>
    <w:multiLevelType w:val="multilevel"/>
    <w:tmpl w:val="075819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C412841"/>
    <w:multiLevelType w:val="hybridMultilevel"/>
    <w:tmpl w:val="7F6A9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8" w15:restartNumberingAfterBreak="0">
    <w:nsid w:val="7C521B9E"/>
    <w:multiLevelType w:val="hybridMultilevel"/>
    <w:tmpl w:val="8134186C"/>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9" w15:restartNumberingAfterBreak="0">
    <w:nsid w:val="7D851DC2"/>
    <w:multiLevelType w:val="multilevel"/>
    <w:tmpl w:val="A29CA4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DE226B2"/>
    <w:multiLevelType w:val="hybridMultilevel"/>
    <w:tmpl w:val="85C8D9B0"/>
    <w:lvl w:ilvl="0" w:tplc="EFAC48D6">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81" w15:restartNumberingAfterBreak="0">
    <w:nsid w:val="7F38123E"/>
    <w:multiLevelType w:val="hybridMultilevel"/>
    <w:tmpl w:val="619E64F2"/>
    <w:lvl w:ilvl="0" w:tplc="F4005BA0">
      <w:start w:val="1"/>
      <w:numFmt w:val="bullet"/>
      <w:lvlText w:val="-"/>
      <w:lvlJc w:val="left"/>
      <w:pPr>
        <w:ind w:left="720" w:hanging="360"/>
      </w:pPr>
      <w:rPr>
        <w:rFonts w:ascii="Aptos" w:hAnsi="Aptos" w:hint="default"/>
      </w:rPr>
    </w:lvl>
    <w:lvl w:ilvl="1" w:tplc="5EAC5C7A">
      <w:start w:val="1"/>
      <w:numFmt w:val="bullet"/>
      <w:lvlText w:val="o"/>
      <w:lvlJc w:val="left"/>
      <w:pPr>
        <w:ind w:left="1440" w:hanging="360"/>
      </w:pPr>
      <w:rPr>
        <w:rFonts w:ascii="Courier New" w:hAnsi="Courier New" w:hint="default"/>
      </w:rPr>
    </w:lvl>
    <w:lvl w:ilvl="2" w:tplc="44E68DF0">
      <w:start w:val="1"/>
      <w:numFmt w:val="bullet"/>
      <w:lvlText w:val=""/>
      <w:lvlJc w:val="left"/>
      <w:pPr>
        <w:ind w:left="2160" w:hanging="360"/>
      </w:pPr>
      <w:rPr>
        <w:rFonts w:ascii="Wingdings" w:hAnsi="Wingdings" w:hint="default"/>
      </w:rPr>
    </w:lvl>
    <w:lvl w:ilvl="3" w:tplc="9576518C">
      <w:start w:val="1"/>
      <w:numFmt w:val="bullet"/>
      <w:lvlText w:val=""/>
      <w:lvlJc w:val="left"/>
      <w:pPr>
        <w:ind w:left="2880" w:hanging="360"/>
      </w:pPr>
      <w:rPr>
        <w:rFonts w:ascii="Symbol" w:hAnsi="Symbol" w:hint="default"/>
      </w:rPr>
    </w:lvl>
    <w:lvl w:ilvl="4" w:tplc="DF64812A">
      <w:start w:val="1"/>
      <w:numFmt w:val="bullet"/>
      <w:lvlText w:val="o"/>
      <w:lvlJc w:val="left"/>
      <w:pPr>
        <w:ind w:left="3600" w:hanging="360"/>
      </w:pPr>
      <w:rPr>
        <w:rFonts w:ascii="Courier New" w:hAnsi="Courier New" w:hint="default"/>
      </w:rPr>
    </w:lvl>
    <w:lvl w:ilvl="5" w:tplc="A71C6406">
      <w:start w:val="1"/>
      <w:numFmt w:val="bullet"/>
      <w:lvlText w:val=""/>
      <w:lvlJc w:val="left"/>
      <w:pPr>
        <w:ind w:left="4320" w:hanging="360"/>
      </w:pPr>
      <w:rPr>
        <w:rFonts w:ascii="Wingdings" w:hAnsi="Wingdings" w:hint="default"/>
      </w:rPr>
    </w:lvl>
    <w:lvl w:ilvl="6" w:tplc="D626F71E">
      <w:start w:val="1"/>
      <w:numFmt w:val="bullet"/>
      <w:lvlText w:val=""/>
      <w:lvlJc w:val="left"/>
      <w:pPr>
        <w:ind w:left="5040" w:hanging="360"/>
      </w:pPr>
      <w:rPr>
        <w:rFonts w:ascii="Symbol" w:hAnsi="Symbol" w:hint="default"/>
      </w:rPr>
    </w:lvl>
    <w:lvl w:ilvl="7" w:tplc="D26C0014">
      <w:start w:val="1"/>
      <w:numFmt w:val="bullet"/>
      <w:lvlText w:val="o"/>
      <w:lvlJc w:val="left"/>
      <w:pPr>
        <w:ind w:left="5760" w:hanging="360"/>
      </w:pPr>
      <w:rPr>
        <w:rFonts w:ascii="Courier New" w:hAnsi="Courier New" w:hint="default"/>
      </w:rPr>
    </w:lvl>
    <w:lvl w:ilvl="8" w:tplc="454E4B44">
      <w:start w:val="1"/>
      <w:numFmt w:val="bullet"/>
      <w:lvlText w:val=""/>
      <w:lvlJc w:val="left"/>
      <w:pPr>
        <w:ind w:left="6480" w:hanging="360"/>
      </w:pPr>
      <w:rPr>
        <w:rFonts w:ascii="Wingdings" w:hAnsi="Wingdings" w:hint="default"/>
      </w:rPr>
    </w:lvl>
  </w:abstractNum>
  <w:num w:numId="1" w16cid:durableId="1270090476">
    <w:abstractNumId w:val="52"/>
  </w:num>
  <w:num w:numId="2" w16cid:durableId="240481953">
    <w:abstractNumId w:val="24"/>
  </w:num>
  <w:num w:numId="3" w16cid:durableId="378433436">
    <w:abstractNumId w:val="6"/>
  </w:num>
  <w:num w:numId="4" w16cid:durableId="882642967">
    <w:abstractNumId w:val="97"/>
  </w:num>
  <w:num w:numId="5" w16cid:durableId="739599169">
    <w:abstractNumId w:val="148"/>
  </w:num>
  <w:num w:numId="6" w16cid:durableId="1705134151">
    <w:abstractNumId w:val="181"/>
  </w:num>
  <w:num w:numId="7" w16cid:durableId="2101679067">
    <w:abstractNumId w:val="115"/>
  </w:num>
  <w:num w:numId="8" w16cid:durableId="1072241348">
    <w:abstractNumId w:val="25"/>
  </w:num>
  <w:num w:numId="9" w16cid:durableId="751974790">
    <w:abstractNumId w:val="37"/>
  </w:num>
  <w:num w:numId="10" w16cid:durableId="796800915">
    <w:abstractNumId w:val="79"/>
  </w:num>
  <w:num w:numId="11" w16cid:durableId="2069377221">
    <w:abstractNumId w:val="171"/>
  </w:num>
  <w:num w:numId="12" w16cid:durableId="1989554717">
    <w:abstractNumId w:val="85"/>
  </w:num>
  <w:num w:numId="13" w16cid:durableId="414011089">
    <w:abstractNumId w:val="172"/>
  </w:num>
  <w:num w:numId="14" w16cid:durableId="1104420434">
    <w:abstractNumId w:val="177"/>
  </w:num>
  <w:num w:numId="15" w16cid:durableId="310257605">
    <w:abstractNumId w:val="137"/>
  </w:num>
  <w:num w:numId="16" w16cid:durableId="1738697877">
    <w:abstractNumId w:val="180"/>
  </w:num>
  <w:num w:numId="17" w16cid:durableId="415371248">
    <w:abstractNumId w:val="27"/>
  </w:num>
  <w:num w:numId="18" w16cid:durableId="517082228">
    <w:abstractNumId w:val="96"/>
  </w:num>
  <w:num w:numId="19" w16cid:durableId="1558779196">
    <w:abstractNumId w:val="80"/>
  </w:num>
  <w:num w:numId="20" w16cid:durableId="687675745">
    <w:abstractNumId w:val="28"/>
  </w:num>
  <w:num w:numId="21" w16cid:durableId="30612288">
    <w:abstractNumId w:val="102"/>
  </w:num>
  <w:num w:numId="22" w16cid:durableId="1710573408">
    <w:abstractNumId w:val="39"/>
  </w:num>
  <w:num w:numId="23" w16cid:durableId="576675661">
    <w:abstractNumId w:val="145"/>
  </w:num>
  <w:num w:numId="24" w16cid:durableId="217206989">
    <w:abstractNumId w:val="169"/>
  </w:num>
  <w:num w:numId="25" w16cid:durableId="92363456">
    <w:abstractNumId w:val="44"/>
  </w:num>
  <w:num w:numId="26" w16cid:durableId="641345477">
    <w:abstractNumId w:val="134"/>
  </w:num>
  <w:num w:numId="27" w16cid:durableId="752092329">
    <w:abstractNumId w:val="19"/>
  </w:num>
  <w:num w:numId="28" w16cid:durableId="942415479">
    <w:abstractNumId w:val="100"/>
  </w:num>
  <w:num w:numId="29" w16cid:durableId="1232040530">
    <w:abstractNumId w:val="160"/>
  </w:num>
  <w:num w:numId="30" w16cid:durableId="1809393443">
    <w:abstractNumId w:val="43"/>
  </w:num>
  <w:num w:numId="31" w16cid:durableId="1126194480">
    <w:abstractNumId w:val="95"/>
  </w:num>
  <w:num w:numId="32" w16cid:durableId="196161086">
    <w:abstractNumId w:val="16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16cid:durableId="1516072542">
    <w:abstractNumId w:val="30"/>
  </w:num>
  <w:num w:numId="34" w16cid:durableId="1964800063">
    <w:abstractNumId w:val="143"/>
  </w:num>
  <w:num w:numId="35" w16cid:durableId="1107698011">
    <w:abstractNumId w:val="32"/>
  </w:num>
  <w:num w:numId="36" w16cid:durableId="1285041265">
    <w:abstractNumId w:val="141"/>
  </w:num>
  <w:num w:numId="37" w16cid:durableId="2114663987">
    <w:abstractNumId w:val="117"/>
  </w:num>
  <w:num w:numId="38" w16cid:durableId="983049786">
    <w:abstractNumId w:val="82"/>
  </w:num>
  <w:num w:numId="39" w16cid:durableId="1081567660">
    <w:abstractNumId w:val="116"/>
  </w:num>
  <w:num w:numId="40" w16cid:durableId="1530600801">
    <w:abstractNumId w:val="108"/>
  </w:num>
  <w:num w:numId="41" w16cid:durableId="36897995">
    <w:abstractNumId w:val="62"/>
  </w:num>
  <w:num w:numId="42" w16cid:durableId="1714845326">
    <w:abstractNumId w:val="127"/>
  </w:num>
  <w:num w:numId="43" w16cid:durableId="1062799328">
    <w:abstractNumId w:val="29"/>
  </w:num>
  <w:num w:numId="44" w16cid:durableId="1906181465">
    <w:abstractNumId w:val="101"/>
  </w:num>
  <w:num w:numId="45" w16cid:durableId="2092585513">
    <w:abstractNumId w:val="50"/>
  </w:num>
  <w:num w:numId="46" w16cid:durableId="1523081768">
    <w:abstractNumId w:val="45"/>
  </w:num>
  <w:num w:numId="47" w16cid:durableId="930092077">
    <w:abstractNumId w:val="36"/>
  </w:num>
  <w:num w:numId="48" w16cid:durableId="972903303">
    <w:abstractNumId w:val="92"/>
  </w:num>
  <w:num w:numId="49" w16cid:durableId="2038508074">
    <w:abstractNumId w:val="26"/>
  </w:num>
  <w:num w:numId="50" w16cid:durableId="1805653327">
    <w:abstractNumId w:val="176"/>
  </w:num>
  <w:num w:numId="51" w16cid:durableId="1711955670">
    <w:abstractNumId w:val="41"/>
  </w:num>
  <w:num w:numId="52" w16cid:durableId="931282998">
    <w:abstractNumId w:val="20"/>
  </w:num>
  <w:num w:numId="53" w16cid:durableId="764575740">
    <w:abstractNumId w:val="7"/>
  </w:num>
  <w:num w:numId="54" w16cid:durableId="1693531032">
    <w:abstractNumId w:val="170"/>
  </w:num>
  <w:num w:numId="55" w16cid:durableId="1354575367">
    <w:abstractNumId w:val="65"/>
  </w:num>
  <w:num w:numId="56" w16cid:durableId="323945405">
    <w:abstractNumId w:val="159"/>
  </w:num>
  <w:num w:numId="57" w16cid:durableId="657266653">
    <w:abstractNumId w:val="76"/>
  </w:num>
  <w:num w:numId="58" w16cid:durableId="1601991658">
    <w:abstractNumId w:val="125"/>
  </w:num>
  <w:num w:numId="59" w16cid:durableId="545945860">
    <w:abstractNumId w:val="130"/>
  </w:num>
  <w:num w:numId="60" w16cid:durableId="1619214520">
    <w:abstractNumId w:val="10"/>
  </w:num>
  <w:num w:numId="61" w16cid:durableId="408623463">
    <w:abstractNumId w:val="5"/>
  </w:num>
  <w:num w:numId="62" w16cid:durableId="296956249">
    <w:abstractNumId w:val="61"/>
  </w:num>
  <w:num w:numId="63" w16cid:durableId="1453010908">
    <w:abstractNumId w:val="59"/>
  </w:num>
  <w:num w:numId="64" w16cid:durableId="2041200336">
    <w:abstractNumId w:val="122"/>
  </w:num>
  <w:num w:numId="65" w16cid:durableId="440342049">
    <w:abstractNumId w:val="74"/>
  </w:num>
  <w:num w:numId="66" w16cid:durableId="1293176644">
    <w:abstractNumId w:val="154"/>
  </w:num>
  <w:num w:numId="67" w16cid:durableId="55856177">
    <w:abstractNumId w:val="72"/>
  </w:num>
  <w:num w:numId="68" w16cid:durableId="1499612607">
    <w:abstractNumId w:val="1"/>
  </w:num>
  <w:num w:numId="69" w16cid:durableId="531042872">
    <w:abstractNumId w:val="139"/>
  </w:num>
  <w:num w:numId="70" w16cid:durableId="957447348">
    <w:abstractNumId w:val="157"/>
  </w:num>
  <w:num w:numId="71" w16cid:durableId="793641282">
    <w:abstractNumId w:val="13"/>
  </w:num>
  <w:num w:numId="72" w16cid:durableId="1906719554">
    <w:abstractNumId w:val="161"/>
  </w:num>
  <w:num w:numId="73" w16cid:durableId="1147354020">
    <w:abstractNumId w:val="131"/>
  </w:num>
  <w:num w:numId="74" w16cid:durableId="1194882316">
    <w:abstractNumId w:val="142"/>
  </w:num>
  <w:num w:numId="75" w16cid:durableId="15036154">
    <w:abstractNumId w:val="140"/>
  </w:num>
  <w:num w:numId="76" w16cid:durableId="807211736">
    <w:abstractNumId w:val="47"/>
  </w:num>
  <w:num w:numId="77" w16cid:durableId="1716150381">
    <w:abstractNumId w:val="126"/>
  </w:num>
  <w:num w:numId="78" w16cid:durableId="2064911622">
    <w:abstractNumId w:val="40"/>
  </w:num>
  <w:num w:numId="79" w16cid:durableId="542326089">
    <w:abstractNumId w:val="94"/>
  </w:num>
  <w:num w:numId="80" w16cid:durableId="570115019">
    <w:abstractNumId w:val="179"/>
  </w:num>
  <w:num w:numId="81" w16cid:durableId="2140879178">
    <w:abstractNumId w:val="17"/>
  </w:num>
  <w:num w:numId="82" w16cid:durableId="1176648313">
    <w:abstractNumId w:val="175"/>
  </w:num>
  <w:num w:numId="83" w16cid:durableId="2133789407">
    <w:abstractNumId w:val="149"/>
  </w:num>
  <w:num w:numId="84" w16cid:durableId="517238799">
    <w:abstractNumId w:val="136"/>
  </w:num>
  <w:num w:numId="85" w16cid:durableId="231894081">
    <w:abstractNumId w:val="152"/>
  </w:num>
  <w:num w:numId="86" w16cid:durableId="320043879">
    <w:abstractNumId w:val="22"/>
  </w:num>
  <w:num w:numId="87" w16cid:durableId="467817079">
    <w:abstractNumId w:val="112"/>
  </w:num>
  <w:num w:numId="88" w16cid:durableId="387917182">
    <w:abstractNumId w:val="158"/>
  </w:num>
  <w:num w:numId="89" w16cid:durableId="1578133693">
    <w:abstractNumId w:val="150"/>
  </w:num>
  <w:num w:numId="90" w16cid:durableId="671034944">
    <w:abstractNumId w:val="110"/>
  </w:num>
  <w:num w:numId="91" w16cid:durableId="1240212386">
    <w:abstractNumId w:val="55"/>
  </w:num>
  <w:num w:numId="92" w16cid:durableId="704864744">
    <w:abstractNumId w:val="124"/>
  </w:num>
  <w:num w:numId="93" w16cid:durableId="222568578">
    <w:abstractNumId w:val="132"/>
  </w:num>
  <w:num w:numId="94" w16cid:durableId="669990186">
    <w:abstractNumId w:val="178"/>
  </w:num>
  <w:num w:numId="95" w16cid:durableId="766000649">
    <w:abstractNumId w:val="18"/>
  </w:num>
  <w:num w:numId="96" w16cid:durableId="189532760">
    <w:abstractNumId w:val="114"/>
  </w:num>
  <w:num w:numId="97" w16cid:durableId="1384674334">
    <w:abstractNumId w:val="8"/>
  </w:num>
  <w:num w:numId="98" w16cid:durableId="737091656">
    <w:abstractNumId w:val="48"/>
  </w:num>
  <w:num w:numId="99" w16cid:durableId="705832040">
    <w:abstractNumId w:val="86"/>
  </w:num>
  <w:num w:numId="100" w16cid:durableId="775633238">
    <w:abstractNumId w:val="12"/>
  </w:num>
  <w:num w:numId="101" w16cid:durableId="1394885584">
    <w:abstractNumId w:val="68"/>
  </w:num>
  <w:num w:numId="102" w16cid:durableId="510142904">
    <w:abstractNumId w:val="56"/>
  </w:num>
  <w:num w:numId="103" w16cid:durableId="1567691333">
    <w:abstractNumId w:val="33"/>
  </w:num>
  <w:num w:numId="104" w16cid:durableId="636225385">
    <w:abstractNumId w:val="71"/>
  </w:num>
  <w:num w:numId="105" w16cid:durableId="1935748984">
    <w:abstractNumId w:val="138"/>
  </w:num>
  <w:num w:numId="106" w16cid:durableId="1394154613">
    <w:abstractNumId w:val="168"/>
  </w:num>
  <w:num w:numId="107" w16cid:durableId="1376856388">
    <w:abstractNumId w:val="31"/>
  </w:num>
  <w:num w:numId="108" w16cid:durableId="672301031">
    <w:abstractNumId w:val="105"/>
  </w:num>
  <w:num w:numId="109" w16cid:durableId="724179461">
    <w:abstractNumId w:val="83"/>
  </w:num>
  <w:num w:numId="110" w16cid:durableId="1585148509">
    <w:abstractNumId w:val="15"/>
  </w:num>
  <w:num w:numId="111" w16cid:durableId="860170171">
    <w:abstractNumId w:val="129"/>
  </w:num>
  <w:num w:numId="112" w16cid:durableId="1043556257">
    <w:abstractNumId w:val="46"/>
  </w:num>
  <w:num w:numId="113" w16cid:durableId="1301182245">
    <w:abstractNumId w:val="135"/>
  </w:num>
  <w:num w:numId="114" w16cid:durableId="441077162">
    <w:abstractNumId w:val="91"/>
  </w:num>
  <w:num w:numId="115" w16cid:durableId="755901320">
    <w:abstractNumId w:val="174"/>
  </w:num>
  <w:num w:numId="116" w16cid:durableId="1433285683">
    <w:abstractNumId w:val="119"/>
  </w:num>
  <w:num w:numId="117" w16cid:durableId="1910966624">
    <w:abstractNumId w:val="57"/>
  </w:num>
  <w:num w:numId="118" w16cid:durableId="1649361738">
    <w:abstractNumId w:val="4"/>
  </w:num>
  <w:num w:numId="119" w16cid:durableId="1499156214">
    <w:abstractNumId w:val="70"/>
  </w:num>
  <w:num w:numId="120" w16cid:durableId="39131464">
    <w:abstractNumId w:val="58"/>
  </w:num>
  <w:num w:numId="121" w16cid:durableId="1857646903">
    <w:abstractNumId w:val="99"/>
  </w:num>
  <w:num w:numId="122" w16cid:durableId="758987540">
    <w:abstractNumId w:val="173"/>
  </w:num>
  <w:num w:numId="123" w16cid:durableId="222184300">
    <w:abstractNumId w:val="98"/>
  </w:num>
  <w:num w:numId="124" w16cid:durableId="1148479554">
    <w:abstractNumId w:val="75"/>
  </w:num>
  <w:num w:numId="125" w16cid:durableId="220598024">
    <w:abstractNumId w:val="23"/>
  </w:num>
  <w:num w:numId="126" w16cid:durableId="983243108">
    <w:abstractNumId w:val="38"/>
  </w:num>
  <w:num w:numId="127" w16cid:durableId="1107777767">
    <w:abstractNumId w:val="60"/>
  </w:num>
  <w:num w:numId="128" w16cid:durableId="1502887768">
    <w:abstractNumId w:val="118"/>
  </w:num>
  <w:num w:numId="129" w16cid:durableId="1819421965">
    <w:abstractNumId w:val="51"/>
  </w:num>
  <w:num w:numId="130" w16cid:durableId="561447295">
    <w:abstractNumId w:val="146"/>
  </w:num>
  <w:num w:numId="131" w16cid:durableId="1222257140">
    <w:abstractNumId w:val="163"/>
  </w:num>
  <w:num w:numId="132" w16cid:durableId="1434353533">
    <w:abstractNumId w:val="34"/>
  </w:num>
  <w:num w:numId="133" w16cid:durableId="67195898">
    <w:abstractNumId w:val="147"/>
  </w:num>
  <w:num w:numId="134" w16cid:durableId="758789596">
    <w:abstractNumId w:val="123"/>
  </w:num>
  <w:num w:numId="135" w16cid:durableId="1603101681">
    <w:abstractNumId w:val="113"/>
  </w:num>
  <w:num w:numId="136" w16cid:durableId="1485076603">
    <w:abstractNumId w:val="104"/>
  </w:num>
  <w:num w:numId="137" w16cid:durableId="1983460978">
    <w:abstractNumId w:val="84"/>
  </w:num>
  <w:num w:numId="138" w16cid:durableId="2072190799">
    <w:abstractNumId w:val="103"/>
  </w:num>
  <w:num w:numId="139" w16cid:durableId="1996374078">
    <w:abstractNumId w:val="0"/>
  </w:num>
  <w:num w:numId="140" w16cid:durableId="760680379">
    <w:abstractNumId w:val="107"/>
  </w:num>
  <w:num w:numId="141" w16cid:durableId="149643625">
    <w:abstractNumId w:val="121"/>
  </w:num>
  <w:num w:numId="142" w16cid:durableId="1049572410">
    <w:abstractNumId w:val="151"/>
  </w:num>
  <w:num w:numId="143" w16cid:durableId="1035547817">
    <w:abstractNumId w:val="21"/>
  </w:num>
  <w:num w:numId="144" w16cid:durableId="513618588">
    <w:abstractNumId w:val="93"/>
  </w:num>
  <w:num w:numId="145" w16cid:durableId="69543497">
    <w:abstractNumId w:val="153"/>
  </w:num>
  <w:num w:numId="146" w16cid:durableId="178006033">
    <w:abstractNumId w:val="106"/>
  </w:num>
  <w:num w:numId="147" w16cid:durableId="1476069782">
    <w:abstractNumId w:val="49"/>
  </w:num>
  <w:num w:numId="148" w16cid:durableId="342249743">
    <w:abstractNumId w:val="155"/>
  </w:num>
  <w:num w:numId="149" w16cid:durableId="919871450">
    <w:abstractNumId w:val="73"/>
  </w:num>
  <w:num w:numId="150" w16cid:durableId="1551067834">
    <w:abstractNumId w:val="90"/>
  </w:num>
  <w:num w:numId="151" w16cid:durableId="1802919718">
    <w:abstractNumId w:val="63"/>
  </w:num>
  <w:num w:numId="152" w16cid:durableId="1510291045">
    <w:abstractNumId w:val="69"/>
  </w:num>
  <w:num w:numId="153" w16cid:durableId="1943877927">
    <w:abstractNumId w:val="77"/>
  </w:num>
  <w:num w:numId="154" w16cid:durableId="1611472514">
    <w:abstractNumId w:val="87"/>
  </w:num>
  <w:num w:numId="155" w16cid:durableId="257829526">
    <w:abstractNumId w:val="133"/>
  </w:num>
  <w:num w:numId="156" w16cid:durableId="2103842495">
    <w:abstractNumId w:val="156"/>
  </w:num>
  <w:num w:numId="157" w16cid:durableId="731465265">
    <w:abstractNumId w:val="81"/>
  </w:num>
  <w:num w:numId="158" w16cid:durableId="645403583">
    <w:abstractNumId w:val="165"/>
  </w:num>
  <w:num w:numId="159" w16cid:durableId="1099568314">
    <w:abstractNumId w:val="11"/>
  </w:num>
  <w:num w:numId="160" w16cid:durableId="940836228">
    <w:abstractNumId w:val="14"/>
  </w:num>
  <w:num w:numId="161" w16cid:durableId="207425558">
    <w:abstractNumId w:val="144"/>
  </w:num>
  <w:num w:numId="162" w16cid:durableId="1556233480">
    <w:abstractNumId w:val="167"/>
  </w:num>
  <w:num w:numId="163" w16cid:durableId="1418745556">
    <w:abstractNumId w:val="89"/>
  </w:num>
  <w:num w:numId="164" w16cid:durableId="244263935">
    <w:abstractNumId w:val="53"/>
  </w:num>
  <w:num w:numId="165" w16cid:durableId="1662806290">
    <w:abstractNumId w:val="3"/>
  </w:num>
  <w:num w:numId="166" w16cid:durableId="242689919">
    <w:abstractNumId w:val="35"/>
  </w:num>
  <w:num w:numId="167" w16cid:durableId="274754687">
    <w:abstractNumId w:val="67"/>
  </w:num>
  <w:num w:numId="168" w16cid:durableId="1022437346">
    <w:abstractNumId w:val="88"/>
  </w:num>
  <w:num w:numId="169" w16cid:durableId="1606305384">
    <w:abstractNumId w:val="16"/>
  </w:num>
  <w:num w:numId="170" w16cid:durableId="1323971609">
    <w:abstractNumId w:val="54"/>
  </w:num>
  <w:num w:numId="171" w16cid:durableId="643435066">
    <w:abstractNumId w:val="111"/>
  </w:num>
  <w:num w:numId="172" w16cid:durableId="11956267">
    <w:abstractNumId w:val="164"/>
  </w:num>
  <w:num w:numId="173" w16cid:durableId="690644705">
    <w:abstractNumId w:val="78"/>
  </w:num>
  <w:num w:numId="174" w16cid:durableId="1907492210">
    <w:abstractNumId w:val="128"/>
  </w:num>
  <w:num w:numId="175" w16cid:durableId="151676652">
    <w:abstractNumId w:val="2"/>
  </w:num>
  <w:num w:numId="176" w16cid:durableId="1155414395">
    <w:abstractNumId w:val="109"/>
  </w:num>
  <w:num w:numId="177" w16cid:durableId="2112578356">
    <w:abstractNumId w:val="120"/>
  </w:num>
  <w:num w:numId="178" w16cid:durableId="440682152">
    <w:abstractNumId w:val="64"/>
  </w:num>
  <w:num w:numId="179" w16cid:durableId="1307929922">
    <w:abstractNumId w:val="42"/>
  </w:num>
  <w:num w:numId="180" w16cid:durableId="197161206">
    <w:abstractNumId w:val="66"/>
  </w:num>
  <w:num w:numId="181" w16cid:durableId="1363551604">
    <w:abstractNumId w:val="9"/>
  </w:num>
  <w:num w:numId="182" w16cid:durableId="535823399">
    <w:abstractNumId w:val="166"/>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IA ESPERANZA GARZON ESCOBAR">
    <w15:presenceInfo w15:providerId="AD" w15:userId="S::cegarzon@minenergia.gov.co::e2dcf395-794d-4d88-b0eb-e15d1776905c"/>
  </w15:person>
  <w15:person w15:author="BELFREDI PRIETO OSORNO">
    <w15:presenceInfo w15:providerId="AD" w15:userId="S::bprieto@minenergia.gov.co::2453a54c-98c9-4088-adfb-bed75e2ea5c2"/>
  </w15:person>
  <w15:person w15:author="LAURA ISABEL BARACALDO CALDERON">
    <w15:presenceInfo w15:providerId="AD" w15:userId="S::libaracaldo@minenergia.gov.co::98180695-6a87-41f7-8c26-747f3ab5f458"/>
  </w15:person>
  <w15:person w15:author="LARRY PUELLO ORTIZ">
    <w15:presenceInfo w15:providerId="AD" w15:userId="S::lpuello@minenergia.gov.co::5192c0b5-66e8-421d-ba45-981b5449e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679"/>
    <w:rsid w:val="000007C0"/>
    <w:rsid w:val="0000093C"/>
    <w:rsid w:val="00000C52"/>
    <w:rsid w:val="00001259"/>
    <w:rsid w:val="0000218A"/>
    <w:rsid w:val="00002360"/>
    <w:rsid w:val="00002A46"/>
    <w:rsid w:val="00002E00"/>
    <w:rsid w:val="00003250"/>
    <w:rsid w:val="00003741"/>
    <w:rsid w:val="0000379E"/>
    <w:rsid w:val="00004451"/>
    <w:rsid w:val="00004C5E"/>
    <w:rsid w:val="000056A6"/>
    <w:rsid w:val="00005B8A"/>
    <w:rsid w:val="00005DD5"/>
    <w:rsid w:val="0000652D"/>
    <w:rsid w:val="0000653F"/>
    <w:rsid w:val="00006F12"/>
    <w:rsid w:val="00006F5F"/>
    <w:rsid w:val="00006FB8"/>
    <w:rsid w:val="000070CB"/>
    <w:rsid w:val="000104A8"/>
    <w:rsid w:val="0001056F"/>
    <w:rsid w:val="000111B8"/>
    <w:rsid w:val="00011344"/>
    <w:rsid w:val="000116DF"/>
    <w:rsid w:val="00011BFC"/>
    <w:rsid w:val="00011E3B"/>
    <w:rsid w:val="000133AA"/>
    <w:rsid w:val="000133DA"/>
    <w:rsid w:val="000137A2"/>
    <w:rsid w:val="00014307"/>
    <w:rsid w:val="00014934"/>
    <w:rsid w:val="00014D92"/>
    <w:rsid w:val="00015294"/>
    <w:rsid w:val="00015381"/>
    <w:rsid w:val="00015FB1"/>
    <w:rsid w:val="00016189"/>
    <w:rsid w:val="00016903"/>
    <w:rsid w:val="00016FCA"/>
    <w:rsid w:val="00017A81"/>
    <w:rsid w:val="00017CC6"/>
    <w:rsid w:val="00020CCD"/>
    <w:rsid w:val="000216F3"/>
    <w:rsid w:val="00021CE5"/>
    <w:rsid w:val="0002207F"/>
    <w:rsid w:val="00022A03"/>
    <w:rsid w:val="00022A34"/>
    <w:rsid w:val="00022E53"/>
    <w:rsid w:val="000232A1"/>
    <w:rsid w:val="00023648"/>
    <w:rsid w:val="000236BF"/>
    <w:rsid w:val="0002376E"/>
    <w:rsid w:val="000238AC"/>
    <w:rsid w:val="0002404B"/>
    <w:rsid w:val="00024103"/>
    <w:rsid w:val="00024B36"/>
    <w:rsid w:val="00024C6D"/>
    <w:rsid w:val="000252F3"/>
    <w:rsid w:val="0002545E"/>
    <w:rsid w:val="00025DB1"/>
    <w:rsid w:val="00026B7C"/>
    <w:rsid w:val="000271EB"/>
    <w:rsid w:val="00027C5C"/>
    <w:rsid w:val="00027DFD"/>
    <w:rsid w:val="00030491"/>
    <w:rsid w:val="00030AF1"/>
    <w:rsid w:val="00031014"/>
    <w:rsid w:val="000311F1"/>
    <w:rsid w:val="00031258"/>
    <w:rsid w:val="00031678"/>
    <w:rsid w:val="00031950"/>
    <w:rsid w:val="00031AAB"/>
    <w:rsid w:val="000328C6"/>
    <w:rsid w:val="000335EA"/>
    <w:rsid w:val="00033E18"/>
    <w:rsid w:val="000344B2"/>
    <w:rsid w:val="000352DA"/>
    <w:rsid w:val="0003543F"/>
    <w:rsid w:val="00035581"/>
    <w:rsid w:val="00036830"/>
    <w:rsid w:val="000369B7"/>
    <w:rsid w:val="00037944"/>
    <w:rsid w:val="0004014B"/>
    <w:rsid w:val="00040304"/>
    <w:rsid w:val="00040668"/>
    <w:rsid w:val="00041765"/>
    <w:rsid w:val="00041818"/>
    <w:rsid w:val="00041C0B"/>
    <w:rsid w:val="00041EE4"/>
    <w:rsid w:val="00042ABD"/>
    <w:rsid w:val="000432E5"/>
    <w:rsid w:val="000445E6"/>
    <w:rsid w:val="00045302"/>
    <w:rsid w:val="0004546B"/>
    <w:rsid w:val="00045497"/>
    <w:rsid w:val="00045860"/>
    <w:rsid w:val="00045DBC"/>
    <w:rsid w:val="000465C2"/>
    <w:rsid w:val="0004679D"/>
    <w:rsid w:val="000467F1"/>
    <w:rsid w:val="0004726F"/>
    <w:rsid w:val="00047400"/>
    <w:rsid w:val="00047B35"/>
    <w:rsid w:val="00047B90"/>
    <w:rsid w:val="00047C20"/>
    <w:rsid w:val="000501EA"/>
    <w:rsid w:val="000502DE"/>
    <w:rsid w:val="0005063B"/>
    <w:rsid w:val="000510DE"/>
    <w:rsid w:val="000518E6"/>
    <w:rsid w:val="00051AF3"/>
    <w:rsid w:val="00051E5B"/>
    <w:rsid w:val="0005212C"/>
    <w:rsid w:val="000521E7"/>
    <w:rsid w:val="000537B8"/>
    <w:rsid w:val="00053C18"/>
    <w:rsid w:val="000542CC"/>
    <w:rsid w:val="00054485"/>
    <w:rsid w:val="000546C5"/>
    <w:rsid w:val="00054816"/>
    <w:rsid w:val="00054A4A"/>
    <w:rsid w:val="00054BD0"/>
    <w:rsid w:val="00054E1E"/>
    <w:rsid w:val="00055189"/>
    <w:rsid w:val="00055300"/>
    <w:rsid w:val="00055324"/>
    <w:rsid w:val="00055BF4"/>
    <w:rsid w:val="00055F2B"/>
    <w:rsid w:val="0005603F"/>
    <w:rsid w:val="000563DF"/>
    <w:rsid w:val="0005657B"/>
    <w:rsid w:val="00056A7D"/>
    <w:rsid w:val="00056DC5"/>
    <w:rsid w:val="00056FF5"/>
    <w:rsid w:val="000576F2"/>
    <w:rsid w:val="000578D0"/>
    <w:rsid w:val="00057979"/>
    <w:rsid w:val="00057AFB"/>
    <w:rsid w:val="00057B8E"/>
    <w:rsid w:val="00060053"/>
    <w:rsid w:val="0006035D"/>
    <w:rsid w:val="00060520"/>
    <w:rsid w:val="00060E64"/>
    <w:rsid w:val="00060EE4"/>
    <w:rsid w:val="00060F20"/>
    <w:rsid w:val="00061167"/>
    <w:rsid w:val="000613EA"/>
    <w:rsid w:val="000616C5"/>
    <w:rsid w:val="0006170F"/>
    <w:rsid w:val="000619A9"/>
    <w:rsid w:val="000621D2"/>
    <w:rsid w:val="00062735"/>
    <w:rsid w:val="000629F6"/>
    <w:rsid w:val="00063146"/>
    <w:rsid w:val="00063BAF"/>
    <w:rsid w:val="00064C86"/>
    <w:rsid w:val="0006531E"/>
    <w:rsid w:val="00065885"/>
    <w:rsid w:val="00066240"/>
    <w:rsid w:val="0006624C"/>
    <w:rsid w:val="000669B9"/>
    <w:rsid w:val="000675CA"/>
    <w:rsid w:val="000675EA"/>
    <w:rsid w:val="00067B8C"/>
    <w:rsid w:val="00067C63"/>
    <w:rsid w:val="00067C74"/>
    <w:rsid w:val="000700FF"/>
    <w:rsid w:val="000706FE"/>
    <w:rsid w:val="00070750"/>
    <w:rsid w:val="000708DA"/>
    <w:rsid w:val="0007094A"/>
    <w:rsid w:val="0007098E"/>
    <w:rsid w:val="00070C42"/>
    <w:rsid w:val="00071B04"/>
    <w:rsid w:val="00071E06"/>
    <w:rsid w:val="00072316"/>
    <w:rsid w:val="00072A4A"/>
    <w:rsid w:val="00072BCD"/>
    <w:rsid w:val="0007304E"/>
    <w:rsid w:val="000735A2"/>
    <w:rsid w:val="00073B77"/>
    <w:rsid w:val="000743A6"/>
    <w:rsid w:val="00074E0F"/>
    <w:rsid w:val="0007507C"/>
    <w:rsid w:val="000750BC"/>
    <w:rsid w:val="000756C2"/>
    <w:rsid w:val="00075A2E"/>
    <w:rsid w:val="00075F81"/>
    <w:rsid w:val="00075FA7"/>
    <w:rsid w:val="00077696"/>
    <w:rsid w:val="000776F5"/>
    <w:rsid w:val="00077927"/>
    <w:rsid w:val="00077CCB"/>
    <w:rsid w:val="000804BA"/>
    <w:rsid w:val="000812B6"/>
    <w:rsid w:val="000812FD"/>
    <w:rsid w:val="000815E7"/>
    <w:rsid w:val="0008188A"/>
    <w:rsid w:val="00081F3C"/>
    <w:rsid w:val="00081F5C"/>
    <w:rsid w:val="0008275C"/>
    <w:rsid w:val="00082842"/>
    <w:rsid w:val="00082C6E"/>
    <w:rsid w:val="00082E64"/>
    <w:rsid w:val="00082F6F"/>
    <w:rsid w:val="000830F7"/>
    <w:rsid w:val="000839BD"/>
    <w:rsid w:val="000841CA"/>
    <w:rsid w:val="00085066"/>
    <w:rsid w:val="00085571"/>
    <w:rsid w:val="000855FC"/>
    <w:rsid w:val="00085A54"/>
    <w:rsid w:val="000864AD"/>
    <w:rsid w:val="00086673"/>
    <w:rsid w:val="000866BE"/>
    <w:rsid w:val="0008680B"/>
    <w:rsid w:val="000868F6"/>
    <w:rsid w:val="00086A33"/>
    <w:rsid w:val="00087182"/>
    <w:rsid w:val="000872B4"/>
    <w:rsid w:val="00087305"/>
    <w:rsid w:val="00090351"/>
    <w:rsid w:val="0009072B"/>
    <w:rsid w:val="00090E1F"/>
    <w:rsid w:val="00091883"/>
    <w:rsid w:val="000923B6"/>
    <w:rsid w:val="00093119"/>
    <w:rsid w:val="0009317B"/>
    <w:rsid w:val="000942C3"/>
    <w:rsid w:val="00094708"/>
    <w:rsid w:val="0009484C"/>
    <w:rsid w:val="0009494F"/>
    <w:rsid w:val="00094C54"/>
    <w:rsid w:val="00094E1E"/>
    <w:rsid w:val="0009541A"/>
    <w:rsid w:val="0009609C"/>
    <w:rsid w:val="00097060"/>
    <w:rsid w:val="000970B7"/>
    <w:rsid w:val="00097151"/>
    <w:rsid w:val="0009730F"/>
    <w:rsid w:val="000973F7"/>
    <w:rsid w:val="00097BE9"/>
    <w:rsid w:val="000A0367"/>
    <w:rsid w:val="000A0401"/>
    <w:rsid w:val="000A0934"/>
    <w:rsid w:val="000A0E5E"/>
    <w:rsid w:val="000A1461"/>
    <w:rsid w:val="000A173C"/>
    <w:rsid w:val="000A1DD1"/>
    <w:rsid w:val="000A1EDE"/>
    <w:rsid w:val="000A27F1"/>
    <w:rsid w:val="000A2A2F"/>
    <w:rsid w:val="000A3136"/>
    <w:rsid w:val="000A313D"/>
    <w:rsid w:val="000A3BC4"/>
    <w:rsid w:val="000A5009"/>
    <w:rsid w:val="000A51D0"/>
    <w:rsid w:val="000A56A2"/>
    <w:rsid w:val="000A5F38"/>
    <w:rsid w:val="000A61BE"/>
    <w:rsid w:val="000A6B9F"/>
    <w:rsid w:val="000A6DB4"/>
    <w:rsid w:val="000A7AD0"/>
    <w:rsid w:val="000A7AD8"/>
    <w:rsid w:val="000A7E34"/>
    <w:rsid w:val="000B0063"/>
    <w:rsid w:val="000B0D8E"/>
    <w:rsid w:val="000B0F93"/>
    <w:rsid w:val="000B1922"/>
    <w:rsid w:val="000B26BD"/>
    <w:rsid w:val="000B2DDC"/>
    <w:rsid w:val="000B3800"/>
    <w:rsid w:val="000B3C29"/>
    <w:rsid w:val="000B40D0"/>
    <w:rsid w:val="000B42A4"/>
    <w:rsid w:val="000B446A"/>
    <w:rsid w:val="000B47FE"/>
    <w:rsid w:val="000B4D15"/>
    <w:rsid w:val="000B522F"/>
    <w:rsid w:val="000B554B"/>
    <w:rsid w:val="000B62E1"/>
    <w:rsid w:val="000B7246"/>
    <w:rsid w:val="000B7B90"/>
    <w:rsid w:val="000C04A1"/>
    <w:rsid w:val="000C0852"/>
    <w:rsid w:val="000C08A4"/>
    <w:rsid w:val="000C0AD5"/>
    <w:rsid w:val="000C0E98"/>
    <w:rsid w:val="000C1A62"/>
    <w:rsid w:val="000C1CE2"/>
    <w:rsid w:val="000C31DA"/>
    <w:rsid w:val="000C3472"/>
    <w:rsid w:val="000C3869"/>
    <w:rsid w:val="000C38C4"/>
    <w:rsid w:val="000C3E21"/>
    <w:rsid w:val="000C3F9A"/>
    <w:rsid w:val="000C4D96"/>
    <w:rsid w:val="000C4DCB"/>
    <w:rsid w:val="000C5064"/>
    <w:rsid w:val="000C5116"/>
    <w:rsid w:val="000C54C6"/>
    <w:rsid w:val="000C56D4"/>
    <w:rsid w:val="000C62E2"/>
    <w:rsid w:val="000C6735"/>
    <w:rsid w:val="000C6BDC"/>
    <w:rsid w:val="000C72BC"/>
    <w:rsid w:val="000C7458"/>
    <w:rsid w:val="000C7E77"/>
    <w:rsid w:val="000D004E"/>
    <w:rsid w:val="000D00BA"/>
    <w:rsid w:val="000D0D77"/>
    <w:rsid w:val="000D0FE8"/>
    <w:rsid w:val="000D12C0"/>
    <w:rsid w:val="000D1516"/>
    <w:rsid w:val="000D1B2F"/>
    <w:rsid w:val="000D22C8"/>
    <w:rsid w:val="000D272D"/>
    <w:rsid w:val="000D2B2F"/>
    <w:rsid w:val="000D361A"/>
    <w:rsid w:val="000D36AC"/>
    <w:rsid w:val="000D3ACE"/>
    <w:rsid w:val="000D3CB0"/>
    <w:rsid w:val="000D3CF2"/>
    <w:rsid w:val="000D3FE3"/>
    <w:rsid w:val="000D42D1"/>
    <w:rsid w:val="000D4A2A"/>
    <w:rsid w:val="000D5AB1"/>
    <w:rsid w:val="000D5AB3"/>
    <w:rsid w:val="000D613D"/>
    <w:rsid w:val="000D6653"/>
    <w:rsid w:val="000D718E"/>
    <w:rsid w:val="000D761D"/>
    <w:rsid w:val="000D7682"/>
    <w:rsid w:val="000D7AE3"/>
    <w:rsid w:val="000D7B6D"/>
    <w:rsid w:val="000E0E5D"/>
    <w:rsid w:val="000E0EE7"/>
    <w:rsid w:val="000E1571"/>
    <w:rsid w:val="000E1C08"/>
    <w:rsid w:val="000E1CA7"/>
    <w:rsid w:val="000E20A6"/>
    <w:rsid w:val="000E2AEC"/>
    <w:rsid w:val="000E2DE7"/>
    <w:rsid w:val="000E3031"/>
    <w:rsid w:val="000E365D"/>
    <w:rsid w:val="000E400E"/>
    <w:rsid w:val="000E413B"/>
    <w:rsid w:val="000E45BD"/>
    <w:rsid w:val="000E515C"/>
    <w:rsid w:val="000E573B"/>
    <w:rsid w:val="000E6251"/>
    <w:rsid w:val="000E6534"/>
    <w:rsid w:val="000E6850"/>
    <w:rsid w:val="000E73C1"/>
    <w:rsid w:val="000E76E6"/>
    <w:rsid w:val="000E7C59"/>
    <w:rsid w:val="000F02EF"/>
    <w:rsid w:val="000F094C"/>
    <w:rsid w:val="000F0D6B"/>
    <w:rsid w:val="000F1523"/>
    <w:rsid w:val="000F1678"/>
    <w:rsid w:val="000F208A"/>
    <w:rsid w:val="000F29CA"/>
    <w:rsid w:val="000F2A1C"/>
    <w:rsid w:val="000F2C0D"/>
    <w:rsid w:val="000F38B6"/>
    <w:rsid w:val="000F3C4C"/>
    <w:rsid w:val="000F46DF"/>
    <w:rsid w:val="000F48E1"/>
    <w:rsid w:val="000F4B1D"/>
    <w:rsid w:val="000F5398"/>
    <w:rsid w:val="000F5751"/>
    <w:rsid w:val="000F58B3"/>
    <w:rsid w:val="000F5DEC"/>
    <w:rsid w:val="000F5EC1"/>
    <w:rsid w:val="000F66AF"/>
    <w:rsid w:val="000F6F4B"/>
    <w:rsid w:val="000F733A"/>
    <w:rsid w:val="000F78E7"/>
    <w:rsid w:val="000F7E62"/>
    <w:rsid w:val="0010018C"/>
    <w:rsid w:val="00100868"/>
    <w:rsid w:val="00100AD4"/>
    <w:rsid w:val="00101735"/>
    <w:rsid w:val="00102089"/>
    <w:rsid w:val="001020A5"/>
    <w:rsid w:val="0010232D"/>
    <w:rsid w:val="001029C0"/>
    <w:rsid w:val="00102B1E"/>
    <w:rsid w:val="00102D8A"/>
    <w:rsid w:val="001031D0"/>
    <w:rsid w:val="001033AE"/>
    <w:rsid w:val="001033F9"/>
    <w:rsid w:val="00103805"/>
    <w:rsid w:val="00103C4E"/>
    <w:rsid w:val="00104BAE"/>
    <w:rsid w:val="0010535E"/>
    <w:rsid w:val="001054E8"/>
    <w:rsid w:val="00105B9A"/>
    <w:rsid w:val="00110164"/>
    <w:rsid w:val="00110518"/>
    <w:rsid w:val="0011086B"/>
    <w:rsid w:val="00110B3A"/>
    <w:rsid w:val="00111CC9"/>
    <w:rsid w:val="00111CCE"/>
    <w:rsid w:val="00112E97"/>
    <w:rsid w:val="001133E6"/>
    <w:rsid w:val="00113AEB"/>
    <w:rsid w:val="00113C0B"/>
    <w:rsid w:val="00113D1C"/>
    <w:rsid w:val="00113E9F"/>
    <w:rsid w:val="001142C7"/>
    <w:rsid w:val="00114487"/>
    <w:rsid w:val="00114ABF"/>
    <w:rsid w:val="00114B84"/>
    <w:rsid w:val="00114D8E"/>
    <w:rsid w:val="00115036"/>
    <w:rsid w:val="0011509E"/>
    <w:rsid w:val="0011596A"/>
    <w:rsid w:val="00115F58"/>
    <w:rsid w:val="00115F6A"/>
    <w:rsid w:val="00115FF2"/>
    <w:rsid w:val="001161A1"/>
    <w:rsid w:val="00116B9E"/>
    <w:rsid w:val="00116DA3"/>
    <w:rsid w:val="00117787"/>
    <w:rsid w:val="0011780E"/>
    <w:rsid w:val="00120615"/>
    <w:rsid w:val="00121153"/>
    <w:rsid w:val="00121990"/>
    <w:rsid w:val="00122488"/>
    <w:rsid w:val="00122CC1"/>
    <w:rsid w:val="00123019"/>
    <w:rsid w:val="00123C2B"/>
    <w:rsid w:val="00123CBD"/>
    <w:rsid w:val="00123DED"/>
    <w:rsid w:val="0012417D"/>
    <w:rsid w:val="001248B2"/>
    <w:rsid w:val="00124A09"/>
    <w:rsid w:val="00124A8D"/>
    <w:rsid w:val="00124BBF"/>
    <w:rsid w:val="00124F60"/>
    <w:rsid w:val="00124F91"/>
    <w:rsid w:val="00125352"/>
    <w:rsid w:val="00125954"/>
    <w:rsid w:val="00126190"/>
    <w:rsid w:val="00126819"/>
    <w:rsid w:val="00126E5B"/>
    <w:rsid w:val="0012724C"/>
    <w:rsid w:val="00127A34"/>
    <w:rsid w:val="00127AF0"/>
    <w:rsid w:val="00127D8E"/>
    <w:rsid w:val="0013003E"/>
    <w:rsid w:val="00130EA6"/>
    <w:rsid w:val="0013132F"/>
    <w:rsid w:val="0013168F"/>
    <w:rsid w:val="001319A4"/>
    <w:rsid w:val="0013227B"/>
    <w:rsid w:val="00132335"/>
    <w:rsid w:val="001323D6"/>
    <w:rsid w:val="00132A6B"/>
    <w:rsid w:val="00132FF1"/>
    <w:rsid w:val="0013334A"/>
    <w:rsid w:val="00133529"/>
    <w:rsid w:val="00133C12"/>
    <w:rsid w:val="00133D78"/>
    <w:rsid w:val="00134132"/>
    <w:rsid w:val="001342B8"/>
    <w:rsid w:val="001343C9"/>
    <w:rsid w:val="0013450E"/>
    <w:rsid w:val="00134A3A"/>
    <w:rsid w:val="00134A65"/>
    <w:rsid w:val="00135028"/>
    <w:rsid w:val="00135600"/>
    <w:rsid w:val="001358EB"/>
    <w:rsid w:val="001360F0"/>
    <w:rsid w:val="00136DF0"/>
    <w:rsid w:val="00137960"/>
    <w:rsid w:val="00137D4B"/>
    <w:rsid w:val="001402B9"/>
    <w:rsid w:val="00141995"/>
    <w:rsid w:val="00141ACD"/>
    <w:rsid w:val="00141F07"/>
    <w:rsid w:val="00141F54"/>
    <w:rsid w:val="001424D0"/>
    <w:rsid w:val="00143445"/>
    <w:rsid w:val="00143601"/>
    <w:rsid w:val="0014366F"/>
    <w:rsid w:val="001442A3"/>
    <w:rsid w:val="00144B75"/>
    <w:rsid w:val="001456CF"/>
    <w:rsid w:val="001457DE"/>
    <w:rsid w:val="00145968"/>
    <w:rsid w:val="001459E6"/>
    <w:rsid w:val="00145B7F"/>
    <w:rsid w:val="001467CD"/>
    <w:rsid w:val="0014697A"/>
    <w:rsid w:val="001469C1"/>
    <w:rsid w:val="00146DB6"/>
    <w:rsid w:val="00147C27"/>
    <w:rsid w:val="00150AD1"/>
    <w:rsid w:val="00150BCB"/>
    <w:rsid w:val="00150D02"/>
    <w:rsid w:val="00150EC7"/>
    <w:rsid w:val="0015129F"/>
    <w:rsid w:val="00151F7B"/>
    <w:rsid w:val="001522BA"/>
    <w:rsid w:val="00152785"/>
    <w:rsid w:val="00152A35"/>
    <w:rsid w:val="0015313F"/>
    <w:rsid w:val="001533A9"/>
    <w:rsid w:val="0015368D"/>
    <w:rsid w:val="00153E02"/>
    <w:rsid w:val="00154531"/>
    <w:rsid w:val="00155499"/>
    <w:rsid w:val="001562C9"/>
    <w:rsid w:val="00156B2F"/>
    <w:rsid w:val="001572E1"/>
    <w:rsid w:val="001575DF"/>
    <w:rsid w:val="00157B64"/>
    <w:rsid w:val="00157D04"/>
    <w:rsid w:val="00160732"/>
    <w:rsid w:val="00160EB0"/>
    <w:rsid w:val="00160FCF"/>
    <w:rsid w:val="0016114D"/>
    <w:rsid w:val="00162344"/>
    <w:rsid w:val="0016273F"/>
    <w:rsid w:val="00162FEB"/>
    <w:rsid w:val="0016366D"/>
    <w:rsid w:val="00163D68"/>
    <w:rsid w:val="00164441"/>
    <w:rsid w:val="0016458F"/>
    <w:rsid w:val="0016471F"/>
    <w:rsid w:val="00164919"/>
    <w:rsid w:val="00164C09"/>
    <w:rsid w:val="00164F57"/>
    <w:rsid w:val="00165145"/>
    <w:rsid w:val="00165AAC"/>
    <w:rsid w:val="00165C63"/>
    <w:rsid w:val="00165F10"/>
    <w:rsid w:val="00166D96"/>
    <w:rsid w:val="00167081"/>
    <w:rsid w:val="00167119"/>
    <w:rsid w:val="001671E1"/>
    <w:rsid w:val="001673A6"/>
    <w:rsid w:val="00167710"/>
    <w:rsid w:val="00167B02"/>
    <w:rsid w:val="00167FE6"/>
    <w:rsid w:val="00170BB2"/>
    <w:rsid w:val="00170CA7"/>
    <w:rsid w:val="001719B7"/>
    <w:rsid w:val="00171BC1"/>
    <w:rsid w:val="00171EDC"/>
    <w:rsid w:val="00172770"/>
    <w:rsid w:val="00172958"/>
    <w:rsid w:val="00172A26"/>
    <w:rsid w:val="00172BD2"/>
    <w:rsid w:val="0017311A"/>
    <w:rsid w:val="00173250"/>
    <w:rsid w:val="00173491"/>
    <w:rsid w:val="00173B11"/>
    <w:rsid w:val="00173DFB"/>
    <w:rsid w:val="0017444A"/>
    <w:rsid w:val="00174B15"/>
    <w:rsid w:val="00174BF2"/>
    <w:rsid w:val="001752DD"/>
    <w:rsid w:val="00175D57"/>
    <w:rsid w:val="001763D4"/>
    <w:rsid w:val="001765AA"/>
    <w:rsid w:val="00176C9F"/>
    <w:rsid w:val="0017750E"/>
    <w:rsid w:val="001779B9"/>
    <w:rsid w:val="001801CF"/>
    <w:rsid w:val="0018121E"/>
    <w:rsid w:val="00181BB0"/>
    <w:rsid w:val="00181E77"/>
    <w:rsid w:val="00181F44"/>
    <w:rsid w:val="00183AE6"/>
    <w:rsid w:val="00183EC4"/>
    <w:rsid w:val="001845DD"/>
    <w:rsid w:val="00185AD0"/>
    <w:rsid w:val="00186169"/>
    <w:rsid w:val="001868FE"/>
    <w:rsid w:val="0019130B"/>
    <w:rsid w:val="001919EA"/>
    <w:rsid w:val="00191A5A"/>
    <w:rsid w:val="00192004"/>
    <w:rsid w:val="00192174"/>
    <w:rsid w:val="001922A2"/>
    <w:rsid w:val="0019247E"/>
    <w:rsid w:val="00192B40"/>
    <w:rsid w:val="00192C91"/>
    <w:rsid w:val="001941A3"/>
    <w:rsid w:val="001945C5"/>
    <w:rsid w:val="001946FF"/>
    <w:rsid w:val="001956C3"/>
    <w:rsid w:val="00195B92"/>
    <w:rsid w:val="00195BD6"/>
    <w:rsid w:val="00195DC9"/>
    <w:rsid w:val="00195FEB"/>
    <w:rsid w:val="00196C53"/>
    <w:rsid w:val="00197A91"/>
    <w:rsid w:val="00197BF0"/>
    <w:rsid w:val="00197D36"/>
    <w:rsid w:val="001A0341"/>
    <w:rsid w:val="001A0BED"/>
    <w:rsid w:val="001A0DB9"/>
    <w:rsid w:val="001A0ECC"/>
    <w:rsid w:val="001A0F6E"/>
    <w:rsid w:val="001A13A2"/>
    <w:rsid w:val="001A1D25"/>
    <w:rsid w:val="001A2116"/>
    <w:rsid w:val="001A2B4D"/>
    <w:rsid w:val="001A3651"/>
    <w:rsid w:val="001A38F1"/>
    <w:rsid w:val="001A3C8E"/>
    <w:rsid w:val="001A3D2A"/>
    <w:rsid w:val="001A40D4"/>
    <w:rsid w:val="001A4D54"/>
    <w:rsid w:val="001A53AC"/>
    <w:rsid w:val="001A54EE"/>
    <w:rsid w:val="001A57AF"/>
    <w:rsid w:val="001A5FCD"/>
    <w:rsid w:val="001A66D0"/>
    <w:rsid w:val="001A6AD3"/>
    <w:rsid w:val="001A6D8E"/>
    <w:rsid w:val="001A7110"/>
    <w:rsid w:val="001A75D4"/>
    <w:rsid w:val="001A7911"/>
    <w:rsid w:val="001B014D"/>
    <w:rsid w:val="001B0270"/>
    <w:rsid w:val="001B0373"/>
    <w:rsid w:val="001B0725"/>
    <w:rsid w:val="001B0A95"/>
    <w:rsid w:val="001B0D4E"/>
    <w:rsid w:val="001B0E7C"/>
    <w:rsid w:val="001B0FEC"/>
    <w:rsid w:val="001B131A"/>
    <w:rsid w:val="001B1CD8"/>
    <w:rsid w:val="001B1DA1"/>
    <w:rsid w:val="001B264F"/>
    <w:rsid w:val="001B29C2"/>
    <w:rsid w:val="001B37A0"/>
    <w:rsid w:val="001B49D9"/>
    <w:rsid w:val="001B4AFE"/>
    <w:rsid w:val="001B4BF6"/>
    <w:rsid w:val="001B560A"/>
    <w:rsid w:val="001B5B1B"/>
    <w:rsid w:val="001B5B4B"/>
    <w:rsid w:val="001B63DA"/>
    <w:rsid w:val="001B6A2D"/>
    <w:rsid w:val="001B6B46"/>
    <w:rsid w:val="001B6D13"/>
    <w:rsid w:val="001B6F01"/>
    <w:rsid w:val="001B744F"/>
    <w:rsid w:val="001B7EE6"/>
    <w:rsid w:val="001C0541"/>
    <w:rsid w:val="001C0E93"/>
    <w:rsid w:val="001C1190"/>
    <w:rsid w:val="001C149F"/>
    <w:rsid w:val="001C2088"/>
    <w:rsid w:val="001C219D"/>
    <w:rsid w:val="001C222E"/>
    <w:rsid w:val="001C2BCA"/>
    <w:rsid w:val="001C2EA6"/>
    <w:rsid w:val="001C36F5"/>
    <w:rsid w:val="001C39B2"/>
    <w:rsid w:val="001C39DE"/>
    <w:rsid w:val="001C4D43"/>
    <w:rsid w:val="001C4D9A"/>
    <w:rsid w:val="001C50A1"/>
    <w:rsid w:val="001C5869"/>
    <w:rsid w:val="001C59F0"/>
    <w:rsid w:val="001C5A86"/>
    <w:rsid w:val="001C607E"/>
    <w:rsid w:val="001C622F"/>
    <w:rsid w:val="001C6237"/>
    <w:rsid w:val="001C6B24"/>
    <w:rsid w:val="001C6D44"/>
    <w:rsid w:val="001C753D"/>
    <w:rsid w:val="001C76B3"/>
    <w:rsid w:val="001C78B6"/>
    <w:rsid w:val="001D05F6"/>
    <w:rsid w:val="001D0898"/>
    <w:rsid w:val="001D11A5"/>
    <w:rsid w:val="001D13C8"/>
    <w:rsid w:val="001D1B80"/>
    <w:rsid w:val="001D2813"/>
    <w:rsid w:val="001D284B"/>
    <w:rsid w:val="001D2E19"/>
    <w:rsid w:val="001D371E"/>
    <w:rsid w:val="001D3BCC"/>
    <w:rsid w:val="001D4957"/>
    <w:rsid w:val="001D4A82"/>
    <w:rsid w:val="001D4BE4"/>
    <w:rsid w:val="001D4EB8"/>
    <w:rsid w:val="001D4ECD"/>
    <w:rsid w:val="001D54F4"/>
    <w:rsid w:val="001D5FC9"/>
    <w:rsid w:val="001D63D8"/>
    <w:rsid w:val="001D6DAA"/>
    <w:rsid w:val="001D6DF5"/>
    <w:rsid w:val="001D6EB7"/>
    <w:rsid w:val="001D6F5D"/>
    <w:rsid w:val="001D73FE"/>
    <w:rsid w:val="001D740A"/>
    <w:rsid w:val="001D79F6"/>
    <w:rsid w:val="001D7C5D"/>
    <w:rsid w:val="001E0125"/>
    <w:rsid w:val="001E022C"/>
    <w:rsid w:val="001E02D1"/>
    <w:rsid w:val="001E0565"/>
    <w:rsid w:val="001E1135"/>
    <w:rsid w:val="001E1275"/>
    <w:rsid w:val="001E13C8"/>
    <w:rsid w:val="001E149A"/>
    <w:rsid w:val="001E197E"/>
    <w:rsid w:val="001E1A44"/>
    <w:rsid w:val="001E2179"/>
    <w:rsid w:val="001E2948"/>
    <w:rsid w:val="001E345F"/>
    <w:rsid w:val="001E4C9B"/>
    <w:rsid w:val="001E526C"/>
    <w:rsid w:val="001E6472"/>
    <w:rsid w:val="001E6C71"/>
    <w:rsid w:val="001E6D54"/>
    <w:rsid w:val="001E6E54"/>
    <w:rsid w:val="001E7700"/>
    <w:rsid w:val="001E79BB"/>
    <w:rsid w:val="001F0142"/>
    <w:rsid w:val="001F115A"/>
    <w:rsid w:val="001F11B4"/>
    <w:rsid w:val="001F139E"/>
    <w:rsid w:val="001F19BF"/>
    <w:rsid w:val="001F1A27"/>
    <w:rsid w:val="001F1A56"/>
    <w:rsid w:val="001F1F25"/>
    <w:rsid w:val="001F2214"/>
    <w:rsid w:val="001F2570"/>
    <w:rsid w:val="001F3136"/>
    <w:rsid w:val="001F3213"/>
    <w:rsid w:val="001F3F21"/>
    <w:rsid w:val="001F3FEF"/>
    <w:rsid w:val="001F40BE"/>
    <w:rsid w:val="001F4467"/>
    <w:rsid w:val="001F4A94"/>
    <w:rsid w:val="001F4B36"/>
    <w:rsid w:val="001F4FC5"/>
    <w:rsid w:val="001F5AFF"/>
    <w:rsid w:val="001F64E2"/>
    <w:rsid w:val="001F659C"/>
    <w:rsid w:val="001F664A"/>
    <w:rsid w:val="001F6C3F"/>
    <w:rsid w:val="001F7564"/>
    <w:rsid w:val="001F771D"/>
    <w:rsid w:val="002000BB"/>
    <w:rsid w:val="002002E2"/>
    <w:rsid w:val="00200429"/>
    <w:rsid w:val="0020078A"/>
    <w:rsid w:val="00200B62"/>
    <w:rsid w:val="00200C6A"/>
    <w:rsid w:val="00201926"/>
    <w:rsid w:val="00201E4A"/>
    <w:rsid w:val="0020245F"/>
    <w:rsid w:val="00202994"/>
    <w:rsid w:val="00202A17"/>
    <w:rsid w:val="00202FFF"/>
    <w:rsid w:val="002033B7"/>
    <w:rsid w:val="0020445C"/>
    <w:rsid w:val="00204685"/>
    <w:rsid w:val="00204F6E"/>
    <w:rsid w:val="00205080"/>
    <w:rsid w:val="00205304"/>
    <w:rsid w:val="002057EE"/>
    <w:rsid w:val="002069E4"/>
    <w:rsid w:val="00207D70"/>
    <w:rsid w:val="00210282"/>
    <w:rsid w:val="00210790"/>
    <w:rsid w:val="00210AB5"/>
    <w:rsid w:val="00211137"/>
    <w:rsid w:val="00211304"/>
    <w:rsid w:val="00211715"/>
    <w:rsid w:val="00211E37"/>
    <w:rsid w:val="00211E44"/>
    <w:rsid w:val="00212003"/>
    <w:rsid w:val="00212106"/>
    <w:rsid w:val="002123BE"/>
    <w:rsid w:val="0021318B"/>
    <w:rsid w:val="0021372C"/>
    <w:rsid w:val="00214A5C"/>
    <w:rsid w:val="00215420"/>
    <w:rsid w:val="002155AC"/>
    <w:rsid w:val="002155C5"/>
    <w:rsid w:val="00215D84"/>
    <w:rsid w:val="0021607E"/>
    <w:rsid w:val="0021642E"/>
    <w:rsid w:val="00216813"/>
    <w:rsid w:val="00216E90"/>
    <w:rsid w:val="00217487"/>
    <w:rsid w:val="00217798"/>
    <w:rsid w:val="00217930"/>
    <w:rsid w:val="00217A85"/>
    <w:rsid w:val="00220256"/>
    <w:rsid w:val="00220376"/>
    <w:rsid w:val="0022086A"/>
    <w:rsid w:val="00220A16"/>
    <w:rsid w:val="00220B1F"/>
    <w:rsid w:val="00220F87"/>
    <w:rsid w:val="00221141"/>
    <w:rsid w:val="00221C3D"/>
    <w:rsid w:val="00221E2D"/>
    <w:rsid w:val="0022230C"/>
    <w:rsid w:val="002225CE"/>
    <w:rsid w:val="002225EE"/>
    <w:rsid w:val="0022330C"/>
    <w:rsid w:val="00223E91"/>
    <w:rsid w:val="00224A1A"/>
    <w:rsid w:val="00224D71"/>
    <w:rsid w:val="002252D4"/>
    <w:rsid w:val="00225568"/>
    <w:rsid w:val="002257D0"/>
    <w:rsid w:val="00226392"/>
    <w:rsid w:val="00226556"/>
    <w:rsid w:val="00227274"/>
    <w:rsid w:val="002273DE"/>
    <w:rsid w:val="0022742B"/>
    <w:rsid w:val="002310C2"/>
    <w:rsid w:val="0023118E"/>
    <w:rsid w:val="00231516"/>
    <w:rsid w:val="0023156F"/>
    <w:rsid w:val="00231955"/>
    <w:rsid w:val="0023382F"/>
    <w:rsid w:val="002339BE"/>
    <w:rsid w:val="00233A7F"/>
    <w:rsid w:val="00234BA3"/>
    <w:rsid w:val="00234F3F"/>
    <w:rsid w:val="002353D4"/>
    <w:rsid w:val="0023586F"/>
    <w:rsid w:val="00235C6B"/>
    <w:rsid w:val="00235E48"/>
    <w:rsid w:val="00235E9D"/>
    <w:rsid w:val="00236926"/>
    <w:rsid w:val="00236942"/>
    <w:rsid w:val="00236C2A"/>
    <w:rsid w:val="00237037"/>
    <w:rsid w:val="00237B1A"/>
    <w:rsid w:val="0024018D"/>
    <w:rsid w:val="00240217"/>
    <w:rsid w:val="0024061D"/>
    <w:rsid w:val="00240A25"/>
    <w:rsid w:val="00240C23"/>
    <w:rsid w:val="00240E76"/>
    <w:rsid w:val="002411DD"/>
    <w:rsid w:val="00241AF4"/>
    <w:rsid w:val="00241D22"/>
    <w:rsid w:val="00242444"/>
    <w:rsid w:val="0024304B"/>
    <w:rsid w:val="00243223"/>
    <w:rsid w:val="002433B2"/>
    <w:rsid w:val="00243A00"/>
    <w:rsid w:val="00243B1F"/>
    <w:rsid w:val="00243DDA"/>
    <w:rsid w:val="00243F58"/>
    <w:rsid w:val="0024442D"/>
    <w:rsid w:val="00244B46"/>
    <w:rsid w:val="00245375"/>
    <w:rsid w:val="002453A8"/>
    <w:rsid w:val="00245730"/>
    <w:rsid w:val="00245DAA"/>
    <w:rsid w:val="00246252"/>
    <w:rsid w:val="002473C1"/>
    <w:rsid w:val="00247531"/>
    <w:rsid w:val="0024767E"/>
    <w:rsid w:val="00247784"/>
    <w:rsid w:val="002501DA"/>
    <w:rsid w:val="0025042F"/>
    <w:rsid w:val="00250A6E"/>
    <w:rsid w:val="00250ABB"/>
    <w:rsid w:val="00250BD5"/>
    <w:rsid w:val="0025137C"/>
    <w:rsid w:val="0025163F"/>
    <w:rsid w:val="002517AC"/>
    <w:rsid w:val="00251F76"/>
    <w:rsid w:val="00252AB4"/>
    <w:rsid w:val="00252B6F"/>
    <w:rsid w:val="00252BA3"/>
    <w:rsid w:val="00252CB2"/>
    <w:rsid w:val="00252F88"/>
    <w:rsid w:val="00253216"/>
    <w:rsid w:val="002535C8"/>
    <w:rsid w:val="002536C2"/>
    <w:rsid w:val="00253F09"/>
    <w:rsid w:val="0025455C"/>
    <w:rsid w:val="00254A0B"/>
    <w:rsid w:val="00255073"/>
    <w:rsid w:val="0025624F"/>
    <w:rsid w:val="00256300"/>
    <w:rsid w:val="00256459"/>
    <w:rsid w:val="002578CB"/>
    <w:rsid w:val="00257A1C"/>
    <w:rsid w:val="00257B07"/>
    <w:rsid w:val="00260133"/>
    <w:rsid w:val="002609B8"/>
    <w:rsid w:val="00260E15"/>
    <w:rsid w:val="002618FD"/>
    <w:rsid w:val="00262310"/>
    <w:rsid w:val="00263269"/>
    <w:rsid w:val="00263446"/>
    <w:rsid w:val="002635D2"/>
    <w:rsid w:val="00263EC5"/>
    <w:rsid w:val="00264AA9"/>
    <w:rsid w:val="00265013"/>
    <w:rsid w:val="00266942"/>
    <w:rsid w:val="00266D16"/>
    <w:rsid w:val="002673B6"/>
    <w:rsid w:val="0026773E"/>
    <w:rsid w:val="00270248"/>
    <w:rsid w:val="0027083E"/>
    <w:rsid w:val="00271096"/>
    <w:rsid w:val="00271819"/>
    <w:rsid w:val="002734A5"/>
    <w:rsid w:val="002737E0"/>
    <w:rsid w:val="0027386D"/>
    <w:rsid w:val="00273AE7"/>
    <w:rsid w:val="00273F74"/>
    <w:rsid w:val="00274364"/>
    <w:rsid w:val="0027487E"/>
    <w:rsid w:val="00274C89"/>
    <w:rsid w:val="00274F99"/>
    <w:rsid w:val="002750F2"/>
    <w:rsid w:val="002753CC"/>
    <w:rsid w:val="00275D94"/>
    <w:rsid w:val="00276117"/>
    <w:rsid w:val="002766F4"/>
    <w:rsid w:val="002770DA"/>
    <w:rsid w:val="0027772C"/>
    <w:rsid w:val="0027783D"/>
    <w:rsid w:val="00277A96"/>
    <w:rsid w:val="00277E8E"/>
    <w:rsid w:val="00280B01"/>
    <w:rsid w:val="00281B1B"/>
    <w:rsid w:val="00281C7C"/>
    <w:rsid w:val="002821A7"/>
    <w:rsid w:val="002834E8"/>
    <w:rsid w:val="00283813"/>
    <w:rsid w:val="00283E30"/>
    <w:rsid w:val="002842E5"/>
    <w:rsid w:val="00284424"/>
    <w:rsid w:val="002849EC"/>
    <w:rsid w:val="00284AC8"/>
    <w:rsid w:val="00284BD7"/>
    <w:rsid w:val="00284E9D"/>
    <w:rsid w:val="00285522"/>
    <w:rsid w:val="00285953"/>
    <w:rsid w:val="002859FC"/>
    <w:rsid w:val="00285D43"/>
    <w:rsid w:val="00286211"/>
    <w:rsid w:val="00286383"/>
    <w:rsid w:val="0028651B"/>
    <w:rsid w:val="002872E6"/>
    <w:rsid w:val="002900CB"/>
    <w:rsid w:val="0029027B"/>
    <w:rsid w:val="002905E9"/>
    <w:rsid w:val="002912ED"/>
    <w:rsid w:val="0029141E"/>
    <w:rsid w:val="00291773"/>
    <w:rsid w:val="00291C9F"/>
    <w:rsid w:val="002923F1"/>
    <w:rsid w:val="00292F6E"/>
    <w:rsid w:val="002931E2"/>
    <w:rsid w:val="00293432"/>
    <w:rsid w:val="0029369F"/>
    <w:rsid w:val="002939D9"/>
    <w:rsid w:val="002944F8"/>
    <w:rsid w:val="00294A84"/>
    <w:rsid w:val="00294C15"/>
    <w:rsid w:val="00294D47"/>
    <w:rsid w:val="00295885"/>
    <w:rsid w:val="00295FD3"/>
    <w:rsid w:val="0029640D"/>
    <w:rsid w:val="00296EFC"/>
    <w:rsid w:val="00296F0F"/>
    <w:rsid w:val="002971E5"/>
    <w:rsid w:val="00297CFD"/>
    <w:rsid w:val="00297FEF"/>
    <w:rsid w:val="002A07C3"/>
    <w:rsid w:val="002A083A"/>
    <w:rsid w:val="002A0A91"/>
    <w:rsid w:val="002A10FF"/>
    <w:rsid w:val="002A13E5"/>
    <w:rsid w:val="002A1484"/>
    <w:rsid w:val="002A1A4A"/>
    <w:rsid w:val="002A1C10"/>
    <w:rsid w:val="002A20EA"/>
    <w:rsid w:val="002A25E8"/>
    <w:rsid w:val="002A275A"/>
    <w:rsid w:val="002A2AD2"/>
    <w:rsid w:val="002A2FBF"/>
    <w:rsid w:val="002A30B2"/>
    <w:rsid w:val="002A3A29"/>
    <w:rsid w:val="002A45F2"/>
    <w:rsid w:val="002A5E91"/>
    <w:rsid w:val="002A6208"/>
    <w:rsid w:val="002A64F2"/>
    <w:rsid w:val="002A66D1"/>
    <w:rsid w:val="002A78FF"/>
    <w:rsid w:val="002A7BB8"/>
    <w:rsid w:val="002A7ED2"/>
    <w:rsid w:val="002B00D0"/>
    <w:rsid w:val="002B0662"/>
    <w:rsid w:val="002B0797"/>
    <w:rsid w:val="002B08B5"/>
    <w:rsid w:val="002B122F"/>
    <w:rsid w:val="002B186E"/>
    <w:rsid w:val="002B1AD5"/>
    <w:rsid w:val="002B1E58"/>
    <w:rsid w:val="002B228F"/>
    <w:rsid w:val="002B273A"/>
    <w:rsid w:val="002B2D4B"/>
    <w:rsid w:val="002B337E"/>
    <w:rsid w:val="002B46A3"/>
    <w:rsid w:val="002B482F"/>
    <w:rsid w:val="002B4903"/>
    <w:rsid w:val="002B5235"/>
    <w:rsid w:val="002B5EFE"/>
    <w:rsid w:val="002B65E7"/>
    <w:rsid w:val="002B667E"/>
    <w:rsid w:val="002B67C9"/>
    <w:rsid w:val="002B69DC"/>
    <w:rsid w:val="002B6A03"/>
    <w:rsid w:val="002B6CDA"/>
    <w:rsid w:val="002B6DA5"/>
    <w:rsid w:val="002B746F"/>
    <w:rsid w:val="002B75DF"/>
    <w:rsid w:val="002C02DA"/>
    <w:rsid w:val="002C0A28"/>
    <w:rsid w:val="002C0C9A"/>
    <w:rsid w:val="002C13A3"/>
    <w:rsid w:val="002C1601"/>
    <w:rsid w:val="002C1C5E"/>
    <w:rsid w:val="002C20EC"/>
    <w:rsid w:val="002C261F"/>
    <w:rsid w:val="002C270D"/>
    <w:rsid w:val="002C292C"/>
    <w:rsid w:val="002C2AD5"/>
    <w:rsid w:val="002C3611"/>
    <w:rsid w:val="002C3A53"/>
    <w:rsid w:val="002C470B"/>
    <w:rsid w:val="002C4AA2"/>
    <w:rsid w:val="002C5085"/>
    <w:rsid w:val="002C508D"/>
    <w:rsid w:val="002C50B3"/>
    <w:rsid w:val="002C544E"/>
    <w:rsid w:val="002C54D4"/>
    <w:rsid w:val="002C59AC"/>
    <w:rsid w:val="002C5F3C"/>
    <w:rsid w:val="002C7561"/>
    <w:rsid w:val="002D0294"/>
    <w:rsid w:val="002D02D3"/>
    <w:rsid w:val="002D0764"/>
    <w:rsid w:val="002D0B81"/>
    <w:rsid w:val="002D0FE0"/>
    <w:rsid w:val="002D1363"/>
    <w:rsid w:val="002D172D"/>
    <w:rsid w:val="002D1803"/>
    <w:rsid w:val="002D18CC"/>
    <w:rsid w:val="002D1B4F"/>
    <w:rsid w:val="002D1CCD"/>
    <w:rsid w:val="002D2485"/>
    <w:rsid w:val="002D2B03"/>
    <w:rsid w:val="002D2CC6"/>
    <w:rsid w:val="002D2F11"/>
    <w:rsid w:val="002D3161"/>
    <w:rsid w:val="002D39C4"/>
    <w:rsid w:val="002D4F20"/>
    <w:rsid w:val="002D53C3"/>
    <w:rsid w:val="002D5B1B"/>
    <w:rsid w:val="002D5C5D"/>
    <w:rsid w:val="002D5D9D"/>
    <w:rsid w:val="002D5EF0"/>
    <w:rsid w:val="002D61B7"/>
    <w:rsid w:val="002D66C8"/>
    <w:rsid w:val="002D753D"/>
    <w:rsid w:val="002D7F3B"/>
    <w:rsid w:val="002E065F"/>
    <w:rsid w:val="002E074A"/>
    <w:rsid w:val="002E084F"/>
    <w:rsid w:val="002E089B"/>
    <w:rsid w:val="002E0ADE"/>
    <w:rsid w:val="002E0B57"/>
    <w:rsid w:val="002E0DFC"/>
    <w:rsid w:val="002E0E65"/>
    <w:rsid w:val="002E0F87"/>
    <w:rsid w:val="002E13E4"/>
    <w:rsid w:val="002E1BEC"/>
    <w:rsid w:val="002E26A6"/>
    <w:rsid w:val="002E2CD7"/>
    <w:rsid w:val="002E3DB0"/>
    <w:rsid w:val="002E4693"/>
    <w:rsid w:val="002E4F79"/>
    <w:rsid w:val="002E52D9"/>
    <w:rsid w:val="002E54C5"/>
    <w:rsid w:val="002E6379"/>
    <w:rsid w:val="002E6ACB"/>
    <w:rsid w:val="002E6BD7"/>
    <w:rsid w:val="002E77DD"/>
    <w:rsid w:val="002E77FA"/>
    <w:rsid w:val="002E7E27"/>
    <w:rsid w:val="002F0194"/>
    <w:rsid w:val="002F09F1"/>
    <w:rsid w:val="002F0DD2"/>
    <w:rsid w:val="002F14A6"/>
    <w:rsid w:val="002F169D"/>
    <w:rsid w:val="002F1CC9"/>
    <w:rsid w:val="002F1D11"/>
    <w:rsid w:val="002F1DB6"/>
    <w:rsid w:val="002F1E00"/>
    <w:rsid w:val="002F20CB"/>
    <w:rsid w:val="002F22B3"/>
    <w:rsid w:val="002F2425"/>
    <w:rsid w:val="002F2552"/>
    <w:rsid w:val="002F3D10"/>
    <w:rsid w:val="002F41A8"/>
    <w:rsid w:val="002F51BA"/>
    <w:rsid w:val="002F54CE"/>
    <w:rsid w:val="002F56AE"/>
    <w:rsid w:val="002F58DB"/>
    <w:rsid w:val="002F6456"/>
    <w:rsid w:val="002F663A"/>
    <w:rsid w:val="002F68B9"/>
    <w:rsid w:val="002F6C62"/>
    <w:rsid w:val="002F70A0"/>
    <w:rsid w:val="002F725C"/>
    <w:rsid w:val="002F7315"/>
    <w:rsid w:val="002F7339"/>
    <w:rsid w:val="002F740D"/>
    <w:rsid w:val="002F75C7"/>
    <w:rsid w:val="0030132A"/>
    <w:rsid w:val="00301AC6"/>
    <w:rsid w:val="00301EC8"/>
    <w:rsid w:val="00302075"/>
    <w:rsid w:val="003024E2"/>
    <w:rsid w:val="00302575"/>
    <w:rsid w:val="003026A4"/>
    <w:rsid w:val="00302BA4"/>
    <w:rsid w:val="0030305D"/>
    <w:rsid w:val="003032EF"/>
    <w:rsid w:val="00303BF7"/>
    <w:rsid w:val="00303D21"/>
    <w:rsid w:val="00303E35"/>
    <w:rsid w:val="00303FAB"/>
    <w:rsid w:val="00304014"/>
    <w:rsid w:val="003043B6"/>
    <w:rsid w:val="00304635"/>
    <w:rsid w:val="00304F06"/>
    <w:rsid w:val="00305165"/>
    <w:rsid w:val="00306148"/>
    <w:rsid w:val="00307125"/>
    <w:rsid w:val="00307A9E"/>
    <w:rsid w:val="00307B8C"/>
    <w:rsid w:val="00307D3B"/>
    <w:rsid w:val="00307DD1"/>
    <w:rsid w:val="00310637"/>
    <w:rsid w:val="003109F9"/>
    <w:rsid w:val="0031129E"/>
    <w:rsid w:val="003112C5"/>
    <w:rsid w:val="0031232C"/>
    <w:rsid w:val="00312421"/>
    <w:rsid w:val="00312454"/>
    <w:rsid w:val="003139DF"/>
    <w:rsid w:val="00313D34"/>
    <w:rsid w:val="0031451D"/>
    <w:rsid w:val="003145D8"/>
    <w:rsid w:val="003145F0"/>
    <w:rsid w:val="0031470B"/>
    <w:rsid w:val="00314E32"/>
    <w:rsid w:val="00315631"/>
    <w:rsid w:val="003160B1"/>
    <w:rsid w:val="00316768"/>
    <w:rsid w:val="00316EAD"/>
    <w:rsid w:val="00317562"/>
    <w:rsid w:val="003176AC"/>
    <w:rsid w:val="00317710"/>
    <w:rsid w:val="0031772B"/>
    <w:rsid w:val="00317B70"/>
    <w:rsid w:val="00317B7D"/>
    <w:rsid w:val="00317BEF"/>
    <w:rsid w:val="00317CEB"/>
    <w:rsid w:val="0032015D"/>
    <w:rsid w:val="003207C1"/>
    <w:rsid w:val="003207DA"/>
    <w:rsid w:val="00320835"/>
    <w:rsid w:val="0032106C"/>
    <w:rsid w:val="003211E2"/>
    <w:rsid w:val="003212A4"/>
    <w:rsid w:val="0032180E"/>
    <w:rsid w:val="00321FB8"/>
    <w:rsid w:val="003226C3"/>
    <w:rsid w:val="00322794"/>
    <w:rsid w:val="003230CE"/>
    <w:rsid w:val="00323187"/>
    <w:rsid w:val="00323522"/>
    <w:rsid w:val="0032377F"/>
    <w:rsid w:val="003239C1"/>
    <w:rsid w:val="0032458C"/>
    <w:rsid w:val="00324A2B"/>
    <w:rsid w:val="00324CBA"/>
    <w:rsid w:val="00324D06"/>
    <w:rsid w:val="0032560F"/>
    <w:rsid w:val="003256D0"/>
    <w:rsid w:val="003257FC"/>
    <w:rsid w:val="00325EF9"/>
    <w:rsid w:val="00326844"/>
    <w:rsid w:val="003276CA"/>
    <w:rsid w:val="0032783C"/>
    <w:rsid w:val="00327F6B"/>
    <w:rsid w:val="00330236"/>
    <w:rsid w:val="0033053B"/>
    <w:rsid w:val="00330A2C"/>
    <w:rsid w:val="00330F5E"/>
    <w:rsid w:val="00331053"/>
    <w:rsid w:val="003311E7"/>
    <w:rsid w:val="00331359"/>
    <w:rsid w:val="00331375"/>
    <w:rsid w:val="003317C9"/>
    <w:rsid w:val="003319F3"/>
    <w:rsid w:val="00331F00"/>
    <w:rsid w:val="0033242D"/>
    <w:rsid w:val="00332FCF"/>
    <w:rsid w:val="00333439"/>
    <w:rsid w:val="003334B4"/>
    <w:rsid w:val="00333EBC"/>
    <w:rsid w:val="003348CB"/>
    <w:rsid w:val="00334B60"/>
    <w:rsid w:val="00335085"/>
    <w:rsid w:val="003353E0"/>
    <w:rsid w:val="00335CFE"/>
    <w:rsid w:val="00335FCB"/>
    <w:rsid w:val="00336A7E"/>
    <w:rsid w:val="00336AA1"/>
    <w:rsid w:val="0033720C"/>
    <w:rsid w:val="00337429"/>
    <w:rsid w:val="0033757A"/>
    <w:rsid w:val="00337B57"/>
    <w:rsid w:val="00337EA2"/>
    <w:rsid w:val="00340123"/>
    <w:rsid w:val="003401D8"/>
    <w:rsid w:val="00340795"/>
    <w:rsid w:val="0034118C"/>
    <w:rsid w:val="003411B8"/>
    <w:rsid w:val="003415EF"/>
    <w:rsid w:val="0034194B"/>
    <w:rsid w:val="00341A83"/>
    <w:rsid w:val="00341D34"/>
    <w:rsid w:val="003421E4"/>
    <w:rsid w:val="003428C2"/>
    <w:rsid w:val="00342D93"/>
    <w:rsid w:val="00343479"/>
    <w:rsid w:val="003434DD"/>
    <w:rsid w:val="00343532"/>
    <w:rsid w:val="003448CA"/>
    <w:rsid w:val="00344984"/>
    <w:rsid w:val="00344B1A"/>
    <w:rsid w:val="00345090"/>
    <w:rsid w:val="00345531"/>
    <w:rsid w:val="003459BF"/>
    <w:rsid w:val="00345FF7"/>
    <w:rsid w:val="003464D3"/>
    <w:rsid w:val="00346652"/>
    <w:rsid w:val="00346AF5"/>
    <w:rsid w:val="0034710E"/>
    <w:rsid w:val="00347CA7"/>
    <w:rsid w:val="00350376"/>
    <w:rsid w:val="00350534"/>
    <w:rsid w:val="00350757"/>
    <w:rsid w:val="00350C4E"/>
    <w:rsid w:val="00350D40"/>
    <w:rsid w:val="00351978"/>
    <w:rsid w:val="0035206E"/>
    <w:rsid w:val="0035211B"/>
    <w:rsid w:val="00352A3A"/>
    <w:rsid w:val="00353438"/>
    <w:rsid w:val="003534E2"/>
    <w:rsid w:val="003537A8"/>
    <w:rsid w:val="003539AE"/>
    <w:rsid w:val="00353A08"/>
    <w:rsid w:val="003548F8"/>
    <w:rsid w:val="00354FCC"/>
    <w:rsid w:val="0035550A"/>
    <w:rsid w:val="003558B6"/>
    <w:rsid w:val="00355A74"/>
    <w:rsid w:val="003561A8"/>
    <w:rsid w:val="00356E18"/>
    <w:rsid w:val="00357183"/>
    <w:rsid w:val="00360260"/>
    <w:rsid w:val="00361424"/>
    <w:rsid w:val="003621D0"/>
    <w:rsid w:val="00362671"/>
    <w:rsid w:val="00362B81"/>
    <w:rsid w:val="003635B3"/>
    <w:rsid w:val="00363D1E"/>
    <w:rsid w:val="00364061"/>
    <w:rsid w:val="00364768"/>
    <w:rsid w:val="00364797"/>
    <w:rsid w:val="00364F42"/>
    <w:rsid w:val="0036514A"/>
    <w:rsid w:val="003654D1"/>
    <w:rsid w:val="00366DDF"/>
    <w:rsid w:val="00367180"/>
    <w:rsid w:val="003672F6"/>
    <w:rsid w:val="00367B40"/>
    <w:rsid w:val="00367C31"/>
    <w:rsid w:val="003704F3"/>
    <w:rsid w:val="003704FF"/>
    <w:rsid w:val="003710A8"/>
    <w:rsid w:val="0037124A"/>
    <w:rsid w:val="003713A9"/>
    <w:rsid w:val="00371976"/>
    <w:rsid w:val="00371C64"/>
    <w:rsid w:val="00371CB0"/>
    <w:rsid w:val="00371FE9"/>
    <w:rsid w:val="00372462"/>
    <w:rsid w:val="00372FC5"/>
    <w:rsid w:val="003734B5"/>
    <w:rsid w:val="003739E3"/>
    <w:rsid w:val="00373FFA"/>
    <w:rsid w:val="00374276"/>
    <w:rsid w:val="003747B8"/>
    <w:rsid w:val="003753C5"/>
    <w:rsid w:val="00375958"/>
    <w:rsid w:val="0037622C"/>
    <w:rsid w:val="003768D4"/>
    <w:rsid w:val="00376EBF"/>
    <w:rsid w:val="003770A0"/>
    <w:rsid w:val="0037721E"/>
    <w:rsid w:val="00377389"/>
    <w:rsid w:val="003776C9"/>
    <w:rsid w:val="00377DDD"/>
    <w:rsid w:val="00377E86"/>
    <w:rsid w:val="00380224"/>
    <w:rsid w:val="003802D0"/>
    <w:rsid w:val="00380717"/>
    <w:rsid w:val="00380E3E"/>
    <w:rsid w:val="003810B1"/>
    <w:rsid w:val="00381A63"/>
    <w:rsid w:val="0038212C"/>
    <w:rsid w:val="003823DF"/>
    <w:rsid w:val="00382415"/>
    <w:rsid w:val="0038270F"/>
    <w:rsid w:val="00382AC2"/>
    <w:rsid w:val="003836CB"/>
    <w:rsid w:val="003837DE"/>
    <w:rsid w:val="003841A7"/>
    <w:rsid w:val="00384A97"/>
    <w:rsid w:val="00384F27"/>
    <w:rsid w:val="00385228"/>
    <w:rsid w:val="00385508"/>
    <w:rsid w:val="00385FB4"/>
    <w:rsid w:val="003867CA"/>
    <w:rsid w:val="0038690B"/>
    <w:rsid w:val="00386BD2"/>
    <w:rsid w:val="00386D97"/>
    <w:rsid w:val="003877BB"/>
    <w:rsid w:val="003906CD"/>
    <w:rsid w:val="00390B5E"/>
    <w:rsid w:val="0039147C"/>
    <w:rsid w:val="00391488"/>
    <w:rsid w:val="003914EE"/>
    <w:rsid w:val="00391E3F"/>
    <w:rsid w:val="00392B9A"/>
    <w:rsid w:val="00392C98"/>
    <w:rsid w:val="00393851"/>
    <w:rsid w:val="00393A21"/>
    <w:rsid w:val="00393C6C"/>
    <w:rsid w:val="00394C89"/>
    <w:rsid w:val="00395316"/>
    <w:rsid w:val="00396C50"/>
    <w:rsid w:val="00396C51"/>
    <w:rsid w:val="00396CD5"/>
    <w:rsid w:val="00396E58"/>
    <w:rsid w:val="00397DBE"/>
    <w:rsid w:val="003A0907"/>
    <w:rsid w:val="003A128F"/>
    <w:rsid w:val="003A15E6"/>
    <w:rsid w:val="003A1F80"/>
    <w:rsid w:val="003A219F"/>
    <w:rsid w:val="003A2C0F"/>
    <w:rsid w:val="003A2D00"/>
    <w:rsid w:val="003A30F4"/>
    <w:rsid w:val="003A4597"/>
    <w:rsid w:val="003A4BC3"/>
    <w:rsid w:val="003A4BED"/>
    <w:rsid w:val="003A4FDD"/>
    <w:rsid w:val="003A527A"/>
    <w:rsid w:val="003A53F1"/>
    <w:rsid w:val="003A57F3"/>
    <w:rsid w:val="003A65BA"/>
    <w:rsid w:val="003A6979"/>
    <w:rsid w:val="003A6CDC"/>
    <w:rsid w:val="003A6FA6"/>
    <w:rsid w:val="003A74F6"/>
    <w:rsid w:val="003A797C"/>
    <w:rsid w:val="003A7A71"/>
    <w:rsid w:val="003A7BAB"/>
    <w:rsid w:val="003A7C31"/>
    <w:rsid w:val="003A7EB9"/>
    <w:rsid w:val="003B05F1"/>
    <w:rsid w:val="003B160B"/>
    <w:rsid w:val="003B1D87"/>
    <w:rsid w:val="003B2709"/>
    <w:rsid w:val="003B2984"/>
    <w:rsid w:val="003B2CF6"/>
    <w:rsid w:val="003B31CD"/>
    <w:rsid w:val="003B3589"/>
    <w:rsid w:val="003B4034"/>
    <w:rsid w:val="003B4383"/>
    <w:rsid w:val="003B4B03"/>
    <w:rsid w:val="003B4C1B"/>
    <w:rsid w:val="003B4EAA"/>
    <w:rsid w:val="003B53F3"/>
    <w:rsid w:val="003B5E6D"/>
    <w:rsid w:val="003B624D"/>
    <w:rsid w:val="003B73AA"/>
    <w:rsid w:val="003B752E"/>
    <w:rsid w:val="003B77B9"/>
    <w:rsid w:val="003B7BE5"/>
    <w:rsid w:val="003B7BE7"/>
    <w:rsid w:val="003B7E64"/>
    <w:rsid w:val="003B7F7B"/>
    <w:rsid w:val="003C017F"/>
    <w:rsid w:val="003C04E5"/>
    <w:rsid w:val="003C066D"/>
    <w:rsid w:val="003C1C56"/>
    <w:rsid w:val="003C20D7"/>
    <w:rsid w:val="003C20DD"/>
    <w:rsid w:val="003C28EA"/>
    <w:rsid w:val="003C2D3E"/>
    <w:rsid w:val="003C3129"/>
    <w:rsid w:val="003C422A"/>
    <w:rsid w:val="003C42FC"/>
    <w:rsid w:val="003C4C2D"/>
    <w:rsid w:val="003C4CCE"/>
    <w:rsid w:val="003C4E11"/>
    <w:rsid w:val="003C5327"/>
    <w:rsid w:val="003C5506"/>
    <w:rsid w:val="003C5857"/>
    <w:rsid w:val="003C6CA7"/>
    <w:rsid w:val="003C6CAF"/>
    <w:rsid w:val="003C6E63"/>
    <w:rsid w:val="003C6F49"/>
    <w:rsid w:val="003C7363"/>
    <w:rsid w:val="003C751F"/>
    <w:rsid w:val="003C7CE0"/>
    <w:rsid w:val="003C7F33"/>
    <w:rsid w:val="003D07AC"/>
    <w:rsid w:val="003D0C00"/>
    <w:rsid w:val="003D0E3B"/>
    <w:rsid w:val="003D1480"/>
    <w:rsid w:val="003D1481"/>
    <w:rsid w:val="003D1643"/>
    <w:rsid w:val="003D17A1"/>
    <w:rsid w:val="003D1807"/>
    <w:rsid w:val="003D266C"/>
    <w:rsid w:val="003D2F20"/>
    <w:rsid w:val="003D4122"/>
    <w:rsid w:val="003D4196"/>
    <w:rsid w:val="003D4575"/>
    <w:rsid w:val="003D465A"/>
    <w:rsid w:val="003D47CC"/>
    <w:rsid w:val="003D5B2F"/>
    <w:rsid w:val="003D5BE3"/>
    <w:rsid w:val="003D5CDD"/>
    <w:rsid w:val="003D6140"/>
    <w:rsid w:val="003D6368"/>
    <w:rsid w:val="003D639C"/>
    <w:rsid w:val="003D6595"/>
    <w:rsid w:val="003D65D8"/>
    <w:rsid w:val="003D6753"/>
    <w:rsid w:val="003D6D4E"/>
    <w:rsid w:val="003D7919"/>
    <w:rsid w:val="003E028A"/>
    <w:rsid w:val="003E0E4F"/>
    <w:rsid w:val="003E0F38"/>
    <w:rsid w:val="003E152C"/>
    <w:rsid w:val="003E1917"/>
    <w:rsid w:val="003E1A09"/>
    <w:rsid w:val="003E2C54"/>
    <w:rsid w:val="003E2F86"/>
    <w:rsid w:val="003E317B"/>
    <w:rsid w:val="003E34C0"/>
    <w:rsid w:val="003E3F13"/>
    <w:rsid w:val="003E3FD8"/>
    <w:rsid w:val="003E5147"/>
    <w:rsid w:val="003E55E9"/>
    <w:rsid w:val="003E5741"/>
    <w:rsid w:val="003E593B"/>
    <w:rsid w:val="003E5FE6"/>
    <w:rsid w:val="003E6538"/>
    <w:rsid w:val="003E6728"/>
    <w:rsid w:val="003E68CC"/>
    <w:rsid w:val="003E6AF4"/>
    <w:rsid w:val="003E6C65"/>
    <w:rsid w:val="003E7E90"/>
    <w:rsid w:val="003EE284"/>
    <w:rsid w:val="003F0044"/>
    <w:rsid w:val="003F05D1"/>
    <w:rsid w:val="003F07E8"/>
    <w:rsid w:val="003F0FFF"/>
    <w:rsid w:val="003F114E"/>
    <w:rsid w:val="003F11A0"/>
    <w:rsid w:val="003F1A7D"/>
    <w:rsid w:val="003F1AF1"/>
    <w:rsid w:val="003F2600"/>
    <w:rsid w:val="003F28E2"/>
    <w:rsid w:val="003F2AB1"/>
    <w:rsid w:val="003F3A67"/>
    <w:rsid w:val="003F3ABB"/>
    <w:rsid w:val="003F3FAE"/>
    <w:rsid w:val="003F4AA8"/>
    <w:rsid w:val="003F4D15"/>
    <w:rsid w:val="003F54ED"/>
    <w:rsid w:val="003F5648"/>
    <w:rsid w:val="003F5A26"/>
    <w:rsid w:val="003F6131"/>
    <w:rsid w:val="003F693D"/>
    <w:rsid w:val="003F7330"/>
    <w:rsid w:val="003F7571"/>
    <w:rsid w:val="003F7A3E"/>
    <w:rsid w:val="00400635"/>
    <w:rsid w:val="004007D7"/>
    <w:rsid w:val="004008F4"/>
    <w:rsid w:val="00400A06"/>
    <w:rsid w:val="00400B90"/>
    <w:rsid w:val="00400DE1"/>
    <w:rsid w:val="00400F05"/>
    <w:rsid w:val="00401061"/>
    <w:rsid w:val="004019E3"/>
    <w:rsid w:val="00401B81"/>
    <w:rsid w:val="00401DAD"/>
    <w:rsid w:val="00402032"/>
    <w:rsid w:val="004021EB"/>
    <w:rsid w:val="00402FDC"/>
    <w:rsid w:val="00403073"/>
    <w:rsid w:val="0040314C"/>
    <w:rsid w:val="004035A2"/>
    <w:rsid w:val="0040389A"/>
    <w:rsid w:val="0040404A"/>
    <w:rsid w:val="00404F5B"/>
    <w:rsid w:val="00404F8D"/>
    <w:rsid w:val="00405001"/>
    <w:rsid w:val="00405ABE"/>
    <w:rsid w:val="004060B2"/>
    <w:rsid w:val="004062C1"/>
    <w:rsid w:val="004067C4"/>
    <w:rsid w:val="00406879"/>
    <w:rsid w:val="00406922"/>
    <w:rsid w:val="00406F96"/>
    <w:rsid w:val="0040708C"/>
    <w:rsid w:val="004072A4"/>
    <w:rsid w:val="004074C3"/>
    <w:rsid w:val="00407732"/>
    <w:rsid w:val="004078CF"/>
    <w:rsid w:val="00407B42"/>
    <w:rsid w:val="004103E4"/>
    <w:rsid w:val="0041099C"/>
    <w:rsid w:val="00411CB2"/>
    <w:rsid w:val="00411E1B"/>
    <w:rsid w:val="00412C93"/>
    <w:rsid w:val="00412CBB"/>
    <w:rsid w:val="00412FCF"/>
    <w:rsid w:val="00413068"/>
    <w:rsid w:val="00413300"/>
    <w:rsid w:val="00414242"/>
    <w:rsid w:val="00414785"/>
    <w:rsid w:val="004153EE"/>
    <w:rsid w:val="00415782"/>
    <w:rsid w:val="00415BF6"/>
    <w:rsid w:val="00415D88"/>
    <w:rsid w:val="00415EE9"/>
    <w:rsid w:val="00416295"/>
    <w:rsid w:val="00416E7E"/>
    <w:rsid w:val="0041757C"/>
    <w:rsid w:val="004175E3"/>
    <w:rsid w:val="0041768F"/>
    <w:rsid w:val="00420047"/>
    <w:rsid w:val="004210F1"/>
    <w:rsid w:val="0042120A"/>
    <w:rsid w:val="004212DA"/>
    <w:rsid w:val="004213B5"/>
    <w:rsid w:val="00421432"/>
    <w:rsid w:val="00421C79"/>
    <w:rsid w:val="00422151"/>
    <w:rsid w:val="00422FFD"/>
    <w:rsid w:val="00423856"/>
    <w:rsid w:val="00423AD5"/>
    <w:rsid w:val="00423E78"/>
    <w:rsid w:val="00423FB6"/>
    <w:rsid w:val="00424FB5"/>
    <w:rsid w:val="004253C4"/>
    <w:rsid w:val="004254D2"/>
    <w:rsid w:val="004259C9"/>
    <w:rsid w:val="00425A54"/>
    <w:rsid w:val="00425E06"/>
    <w:rsid w:val="00426457"/>
    <w:rsid w:val="00426673"/>
    <w:rsid w:val="00426C65"/>
    <w:rsid w:val="004272A4"/>
    <w:rsid w:val="00427E0A"/>
    <w:rsid w:val="00430304"/>
    <w:rsid w:val="004304E1"/>
    <w:rsid w:val="004304F3"/>
    <w:rsid w:val="004306A1"/>
    <w:rsid w:val="004309EE"/>
    <w:rsid w:val="00430D05"/>
    <w:rsid w:val="00430E39"/>
    <w:rsid w:val="00430F64"/>
    <w:rsid w:val="00431F07"/>
    <w:rsid w:val="004320C9"/>
    <w:rsid w:val="0043288D"/>
    <w:rsid w:val="00432ABA"/>
    <w:rsid w:val="00432EF4"/>
    <w:rsid w:val="00433A2B"/>
    <w:rsid w:val="00433BCC"/>
    <w:rsid w:val="00433E42"/>
    <w:rsid w:val="00434507"/>
    <w:rsid w:val="0043460F"/>
    <w:rsid w:val="00434AD5"/>
    <w:rsid w:val="00434B99"/>
    <w:rsid w:val="00434D62"/>
    <w:rsid w:val="00435B50"/>
    <w:rsid w:val="00436157"/>
    <w:rsid w:val="00436A6A"/>
    <w:rsid w:val="00436D73"/>
    <w:rsid w:val="00437240"/>
    <w:rsid w:val="00437B97"/>
    <w:rsid w:val="00440095"/>
    <w:rsid w:val="00441000"/>
    <w:rsid w:val="00441158"/>
    <w:rsid w:val="004413B1"/>
    <w:rsid w:val="00441CC6"/>
    <w:rsid w:val="00442002"/>
    <w:rsid w:val="004420A0"/>
    <w:rsid w:val="004425F8"/>
    <w:rsid w:val="00442777"/>
    <w:rsid w:val="0044336B"/>
    <w:rsid w:val="0044386D"/>
    <w:rsid w:val="00443F6C"/>
    <w:rsid w:val="00444247"/>
    <w:rsid w:val="00444335"/>
    <w:rsid w:val="00444482"/>
    <w:rsid w:val="00445490"/>
    <w:rsid w:val="00445608"/>
    <w:rsid w:val="00445ECF"/>
    <w:rsid w:val="00446573"/>
    <w:rsid w:val="004467BE"/>
    <w:rsid w:val="00447281"/>
    <w:rsid w:val="00447BFE"/>
    <w:rsid w:val="004502D7"/>
    <w:rsid w:val="0045033A"/>
    <w:rsid w:val="0045043F"/>
    <w:rsid w:val="00450C6E"/>
    <w:rsid w:val="00450D1E"/>
    <w:rsid w:val="00450DB1"/>
    <w:rsid w:val="0045183B"/>
    <w:rsid w:val="00452400"/>
    <w:rsid w:val="00453BB0"/>
    <w:rsid w:val="00453D6E"/>
    <w:rsid w:val="00454432"/>
    <w:rsid w:val="004547B3"/>
    <w:rsid w:val="00454A6E"/>
    <w:rsid w:val="00454C2B"/>
    <w:rsid w:val="00454EED"/>
    <w:rsid w:val="00454FD1"/>
    <w:rsid w:val="00455C3D"/>
    <w:rsid w:val="00455EAF"/>
    <w:rsid w:val="00456862"/>
    <w:rsid w:val="004569F9"/>
    <w:rsid w:val="00456C78"/>
    <w:rsid w:val="00457045"/>
    <w:rsid w:val="004572B2"/>
    <w:rsid w:val="004572D9"/>
    <w:rsid w:val="004573C2"/>
    <w:rsid w:val="00457A76"/>
    <w:rsid w:val="00457AAD"/>
    <w:rsid w:val="004607C7"/>
    <w:rsid w:val="00460A0D"/>
    <w:rsid w:val="00460A4A"/>
    <w:rsid w:val="004610CC"/>
    <w:rsid w:val="004615F2"/>
    <w:rsid w:val="00463609"/>
    <w:rsid w:val="004637A3"/>
    <w:rsid w:val="004638B4"/>
    <w:rsid w:val="00463F27"/>
    <w:rsid w:val="004646C7"/>
    <w:rsid w:val="00464A98"/>
    <w:rsid w:val="00464AB9"/>
    <w:rsid w:val="00465537"/>
    <w:rsid w:val="0046599B"/>
    <w:rsid w:val="0046651A"/>
    <w:rsid w:val="00466B57"/>
    <w:rsid w:val="00466C15"/>
    <w:rsid w:val="0046714D"/>
    <w:rsid w:val="004679D7"/>
    <w:rsid w:val="00467B5C"/>
    <w:rsid w:val="00470455"/>
    <w:rsid w:val="004704CD"/>
    <w:rsid w:val="004710E6"/>
    <w:rsid w:val="004715A0"/>
    <w:rsid w:val="00471F52"/>
    <w:rsid w:val="0047245D"/>
    <w:rsid w:val="0047247E"/>
    <w:rsid w:val="00472B1B"/>
    <w:rsid w:val="00472E18"/>
    <w:rsid w:val="0047310E"/>
    <w:rsid w:val="00473269"/>
    <w:rsid w:val="00473280"/>
    <w:rsid w:val="00473952"/>
    <w:rsid w:val="00473D6A"/>
    <w:rsid w:val="00473D82"/>
    <w:rsid w:val="00473E2C"/>
    <w:rsid w:val="004743D8"/>
    <w:rsid w:val="004751A5"/>
    <w:rsid w:val="0047534D"/>
    <w:rsid w:val="004753AF"/>
    <w:rsid w:val="00475B8B"/>
    <w:rsid w:val="00475C7B"/>
    <w:rsid w:val="004761E7"/>
    <w:rsid w:val="00476E0E"/>
    <w:rsid w:val="00476E69"/>
    <w:rsid w:val="00477D30"/>
    <w:rsid w:val="00480906"/>
    <w:rsid w:val="00480F6B"/>
    <w:rsid w:val="004812A1"/>
    <w:rsid w:val="00481698"/>
    <w:rsid w:val="0048177F"/>
    <w:rsid w:val="00482242"/>
    <w:rsid w:val="004822E4"/>
    <w:rsid w:val="004823F6"/>
    <w:rsid w:val="004826D6"/>
    <w:rsid w:val="004826F2"/>
    <w:rsid w:val="00482CB0"/>
    <w:rsid w:val="00483C78"/>
    <w:rsid w:val="00483D7B"/>
    <w:rsid w:val="00484142"/>
    <w:rsid w:val="00484AFC"/>
    <w:rsid w:val="00484BDB"/>
    <w:rsid w:val="00485266"/>
    <w:rsid w:val="004852EC"/>
    <w:rsid w:val="0048530C"/>
    <w:rsid w:val="004854D3"/>
    <w:rsid w:val="0048554C"/>
    <w:rsid w:val="00485796"/>
    <w:rsid w:val="00485DDE"/>
    <w:rsid w:val="00485E3B"/>
    <w:rsid w:val="00486016"/>
    <w:rsid w:val="00486064"/>
    <w:rsid w:val="004864FD"/>
    <w:rsid w:val="00486AB7"/>
    <w:rsid w:val="004870D5"/>
    <w:rsid w:val="004877CE"/>
    <w:rsid w:val="00487CBD"/>
    <w:rsid w:val="0049073D"/>
    <w:rsid w:val="004908D2"/>
    <w:rsid w:val="00490F54"/>
    <w:rsid w:val="00491916"/>
    <w:rsid w:val="00491F72"/>
    <w:rsid w:val="004926FE"/>
    <w:rsid w:val="00492C72"/>
    <w:rsid w:val="00492E59"/>
    <w:rsid w:val="00492FC5"/>
    <w:rsid w:val="00493097"/>
    <w:rsid w:val="00493489"/>
    <w:rsid w:val="0049366D"/>
    <w:rsid w:val="00493B30"/>
    <w:rsid w:val="00493BF7"/>
    <w:rsid w:val="00494AC1"/>
    <w:rsid w:val="0049550C"/>
    <w:rsid w:val="00495816"/>
    <w:rsid w:val="00496B9A"/>
    <w:rsid w:val="00497953"/>
    <w:rsid w:val="00497DB8"/>
    <w:rsid w:val="00499781"/>
    <w:rsid w:val="004A07B2"/>
    <w:rsid w:val="004A0817"/>
    <w:rsid w:val="004A1212"/>
    <w:rsid w:val="004A18E7"/>
    <w:rsid w:val="004A1AE2"/>
    <w:rsid w:val="004A1E56"/>
    <w:rsid w:val="004A2624"/>
    <w:rsid w:val="004A2C82"/>
    <w:rsid w:val="004A325B"/>
    <w:rsid w:val="004A3612"/>
    <w:rsid w:val="004A3972"/>
    <w:rsid w:val="004A3C54"/>
    <w:rsid w:val="004A4B65"/>
    <w:rsid w:val="004A5109"/>
    <w:rsid w:val="004A5FC9"/>
    <w:rsid w:val="004A65DD"/>
    <w:rsid w:val="004A6641"/>
    <w:rsid w:val="004A6AF4"/>
    <w:rsid w:val="004A6B3B"/>
    <w:rsid w:val="004A6C84"/>
    <w:rsid w:val="004A6DB4"/>
    <w:rsid w:val="004A6E40"/>
    <w:rsid w:val="004A7156"/>
    <w:rsid w:val="004A7849"/>
    <w:rsid w:val="004A7B61"/>
    <w:rsid w:val="004B06E6"/>
    <w:rsid w:val="004B0B73"/>
    <w:rsid w:val="004B1664"/>
    <w:rsid w:val="004B1A8F"/>
    <w:rsid w:val="004B1C0E"/>
    <w:rsid w:val="004B1E26"/>
    <w:rsid w:val="004B2430"/>
    <w:rsid w:val="004B249F"/>
    <w:rsid w:val="004B27B4"/>
    <w:rsid w:val="004B2CBB"/>
    <w:rsid w:val="004B32BF"/>
    <w:rsid w:val="004B40A4"/>
    <w:rsid w:val="004B4234"/>
    <w:rsid w:val="004B482E"/>
    <w:rsid w:val="004B4B6B"/>
    <w:rsid w:val="004B4E43"/>
    <w:rsid w:val="004B5004"/>
    <w:rsid w:val="004B533E"/>
    <w:rsid w:val="004B5804"/>
    <w:rsid w:val="004B5C2C"/>
    <w:rsid w:val="004B5D52"/>
    <w:rsid w:val="004B630E"/>
    <w:rsid w:val="004B6516"/>
    <w:rsid w:val="004B652D"/>
    <w:rsid w:val="004B6716"/>
    <w:rsid w:val="004B67D0"/>
    <w:rsid w:val="004B69FB"/>
    <w:rsid w:val="004B6B52"/>
    <w:rsid w:val="004B6D4A"/>
    <w:rsid w:val="004B6F9B"/>
    <w:rsid w:val="004C016A"/>
    <w:rsid w:val="004C0314"/>
    <w:rsid w:val="004C081A"/>
    <w:rsid w:val="004C1059"/>
    <w:rsid w:val="004C1148"/>
    <w:rsid w:val="004C17C7"/>
    <w:rsid w:val="004C1C17"/>
    <w:rsid w:val="004C22EF"/>
    <w:rsid w:val="004C2722"/>
    <w:rsid w:val="004C2C20"/>
    <w:rsid w:val="004C3D42"/>
    <w:rsid w:val="004C3D6E"/>
    <w:rsid w:val="004C3E76"/>
    <w:rsid w:val="004C47D5"/>
    <w:rsid w:val="004C55E3"/>
    <w:rsid w:val="004C5612"/>
    <w:rsid w:val="004C587A"/>
    <w:rsid w:val="004C64EB"/>
    <w:rsid w:val="004C6E4E"/>
    <w:rsid w:val="004C74F7"/>
    <w:rsid w:val="004C7867"/>
    <w:rsid w:val="004D086C"/>
    <w:rsid w:val="004D0D35"/>
    <w:rsid w:val="004D0E33"/>
    <w:rsid w:val="004D0F71"/>
    <w:rsid w:val="004D1BB7"/>
    <w:rsid w:val="004D1BD8"/>
    <w:rsid w:val="004D230E"/>
    <w:rsid w:val="004D2409"/>
    <w:rsid w:val="004D25D8"/>
    <w:rsid w:val="004D2953"/>
    <w:rsid w:val="004D31B8"/>
    <w:rsid w:val="004D33BF"/>
    <w:rsid w:val="004D3590"/>
    <w:rsid w:val="004D3906"/>
    <w:rsid w:val="004D48D3"/>
    <w:rsid w:val="004D544D"/>
    <w:rsid w:val="004D5BD6"/>
    <w:rsid w:val="004D6009"/>
    <w:rsid w:val="004D62D6"/>
    <w:rsid w:val="004D76AA"/>
    <w:rsid w:val="004D7ADF"/>
    <w:rsid w:val="004D7C14"/>
    <w:rsid w:val="004E002C"/>
    <w:rsid w:val="004E010A"/>
    <w:rsid w:val="004E0431"/>
    <w:rsid w:val="004E0AC6"/>
    <w:rsid w:val="004E0CCB"/>
    <w:rsid w:val="004E14A2"/>
    <w:rsid w:val="004E14BD"/>
    <w:rsid w:val="004E1EB4"/>
    <w:rsid w:val="004E20A8"/>
    <w:rsid w:val="004E24DC"/>
    <w:rsid w:val="004E3186"/>
    <w:rsid w:val="004E340F"/>
    <w:rsid w:val="004E3B38"/>
    <w:rsid w:val="004E427F"/>
    <w:rsid w:val="004E4779"/>
    <w:rsid w:val="004E4B4F"/>
    <w:rsid w:val="004E4E38"/>
    <w:rsid w:val="004E4F1F"/>
    <w:rsid w:val="004E50F9"/>
    <w:rsid w:val="004E5276"/>
    <w:rsid w:val="004E608C"/>
    <w:rsid w:val="004E6330"/>
    <w:rsid w:val="004E68CE"/>
    <w:rsid w:val="004E6BC0"/>
    <w:rsid w:val="004E76CB"/>
    <w:rsid w:val="004E7E21"/>
    <w:rsid w:val="004F03FD"/>
    <w:rsid w:val="004F0AAC"/>
    <w:rsid w:val="004F1502"/>
    <w:rsid w:val="004F1BB9"/>
    <w:rsid w:val="004F3069"/>
    <w:rsid w:val="004F3393"/>
    <w:rsid w:val="004F3916"/>
    <w:rsid w:val="004F39C9"/>
    <w:rsid w:val="004F3D14"/>
    <w:rsid w:val="004F3FDD"/>
    <w:rsid w:val="004F42FD"/>
    <w:rsid w:val="004F4811"/>
    <w:rsid w:val="004F4887"/>
    <w:rsid w:val="004F4A7D"/>
    <w:rsid w:val="004F4F51"/>
    <w:rsid w:val="004F514C"/>
    <w:rsid w:val="004F5162"/>
    <w:rsid w:val="004F565E"/>
    <w:rsid w:val="004F5836"/>
    <w:rsid w:val="004F6390"/>
    <w:rsid w:val="004F6CEB"/>
    <w:rsid w:val="004F74D8"/>
    <w:rsid w:val="004F7626"/>
    <w:rsid w:val="004F7A9C"/>
    <w:rsid w:val="0050047F"/>
    <w:rsid w:val="005006A3"/>
    <w:rsid w:val="005008F7"/>
    <w:rsid w:val="00500B6F"/>
    <w:rsid w:val="005015AF"/>
    <w:rsid w:val="0050166C"/>
    <w:rsid w:val="0050213C"/>
    <w:rsid w:val="00502722"/>
    <w:rsid w:val="00502F7A"/>
    <w:rsid w:val="0050349B"/>
    <w:rsid w:val="00503A38"/>
    <w:rsid w:val="00503AAB"/>
    <w:rsid w:val="005041A2"/>
    <w:rsid w:val="00504279"/>
    <w:rsid w:val="00504689"/>
    <w:rsid w:val="00504888"/>
    <w:rsid w:val="00504FDB"/>
    <w:rsid w:val="00505170"/>
    <w:rsid w:val="00505A7C"/>
    <w:rsid w:val="00505C2E"/>
    <w:rsid w:val="0050623F"/>
    <w:rsid w:val="00506246"/>
    <w:rsid w:val="0050636E"/>
    <w:rsid w:val="0050651F"/>
    <w:rsid w:val="00506DEA"/>
    <w:rsid w:val="00507DA2"/>
    <w:rsid w:val="00507DB4"/>
    <w:rsid w:val="0051001C"/>
    <w:rsid w:val="00510276"/>
    <w:rsid w:val="00510524"/>
    <w:rsid w:val="005107FC"/>
    <w:rsid w:val="00510A65"/>
    <w:rsid w:val="00512A3E"/>
    <w:rsid w:val="00513737"/>
    <w:rsid w:val="0051380A"/>
    <w:rsid w:val="00513C58"/>
    <w:rsid w:val="0051406E"/>
    <w:rsid w:val="00514DDE"/>
    <w:rsid w:val="00515731"/>
    <w:rsid w:val="00515D13"/>
    <w:rsid w:val="00516F6B"/>
    <w:rsid w:val="00517125"/>
    <w:rsid w:val="00517269"/>
    <w:rsid w:val="00517B59"/>
    <w:rsid w:val="00517F3A"/>
    <w:rsid w:val="0052028A"/>
    <w:rsid w:val="005212EF"/>
    <w:rsid w:val="0052132C"/>
    <w:rsid w:val="0052171C"/>
    <w:rsid w:val="00522523"/>
    <w:rsid w:val="0052259E"/>
    <w:rsid w:val="005227C5"/>
    <w:rsid w:val="00522FE1"/>
    <w:rsid w:val="00523CFF"/>
    <w:rsid w:val="005242EA"/>
    <w:rsid w:val="0052460B"/>
    <w:rsid w:val="005248C3"/>
    <w:rsid w:val="00524BDC"/>
    <w:rsid w:val="00524D23"/>
    <w:rsid w:val="00525193"/>
    <w:rsid w:val="005258FB"/>
    <w:rsid w:val="00525D50"/>
    <w:rsid w:val="00525DE4"/>
    <w:rsid w:val="00525F09"/>
    <w:rsid w:val="005260AB"/>
    <w:rsid w:val="00526676"/>
    <w:rsid w:val="00526C29"/>
    <w:rsid w:val="00527677"/>
    <w:rsid w:val="00527915"/>
    <w:rsid w:val="0053002C"/>
    <w:rsid w:val="00530289"/>
    <w:rsid w:val="0053031C"/>
    <w:rsid w:val="00530385"/>
    <w:rsid w:val="00530522"/>
    <w:rsid w:val="00530655"/>
    <w:rsid w:val="00530808"/>
    <w:rsid w:val="00531076"/>
    <w:rsid w:val="0053107E"/>
    <w:rsid w:val="00531129"/>
    <w:rsid w:val="00531698"/>
    <w:rsid w:val="00531D9E"/>
    <w:rsid w:val="00532367"/>
    <w:rsid w:val="005327B6"/>
    <w:rsid w:val="00532B99"/>
    <w:rsid w:val="00532D0D"/>
    <w:rsid w:val="005331BA"/>
    <w:rsid w:val="00533619"/>
    <w:rsid w:val="0053367F"/>
    <w:rsid w:val="0053373E"/>
    <w:rsid w:val="00533DBF"/>
    <w:rsid w:val="00534453"/>
    <w:rsid w:val="00534728"/>
    <w:rsid w:val="005347C8"/>
    <w:rsid w:val="005349F0"/>
    <w:rsid w:val="00534F98"/>
    <w:rsid w:val="00534F9D"/>
    <w:rsid w:val="0053531D"/>
    <w:rsid w:val="00535B1D"/>
    <w:rsid w:val="00535E81"/>
    <w:rsid w:val="0053627E"/>
    <w:rsid w:val="005368CD"/>
    <w:rsid w:val="005368E4"/>
    <w:rsid w:val="00536DC7"/>
    <w:rsid w:val="00536F14"/>
    <w:rsid w:val="0053700E"/>
    <w:rsid w:val="005371C8"/>
    <w:rsid w:val="00537580"/>
    <w:rsid w:val="005375A1"/>
    <w:rsid w:val="00537823"/>
    <w:rsid w:val="00537972"/>
    <w:rsid w:val="005400FF"/>
    <w:rsid w:val="005401C5"/>
    <w:rsid w:val="00540E14"/>
    <w:rsid w:val="0054171C"/>
    <w:rsid w:val="0054187A"/>
    <w:rsid w:val="00541A66"/>
    <w:rsid w:val="00541D08"/>
    <w:rsid w:val="00541F5E"/>
    <w:rsid w:val="00542652"/>
    <w:rsid w:val="0054288A"/>
    <w:rsid w:val="00542A5F"/>
    <w:rsid w:val="00543319"/>
    <w:rsid w:val="00543460"/>
    <w:rsid w:val="0054349A"/>
    <w:rsid w:val="00543A0D"/>
    <w:rsid w:val="00544023"/>
    <w:rsid w:val="0054462D"/>
    <w:rsid w:val="0054463C"/>
    <w:rsid w:val="00544D2A"/>
    <w:rsid w:val="00544E7D"/>
    <w:rsid w:val="0054519A"/>
    <w:rsid w:val="00545203"/>
    <w:rsid w:val="00546292"/>
    <w:rsid w:val="00546E65"/>
    <w:rsid w:val="00547513"/>
    <w:rsid w:val="00547947"/>
    <w:rsid w:val="00547B28"/>
    <w:rsid w:val="0055089C"/>
    <w:rsid w:val="00550AC5"/>
    <w:rsid w:val="00550FBF"/>
    <w:rsid w:val="00551117"/>
    <w:rsid w:val="005514C8"/>
    <w:rsid w:val="00551CDD"/>
    <w:rsid w:val="00551DB6"/>
    <w:rsid w:val="00552103"/>
    <w:rsid w:val="00552B82"/>
    <w:rsid w:val="00552D31"/>
    <w:rsid w:val="0055381E"/>
    <w:rsid w:val="00553937"/>
    <w:rsid w:val="005539A9"/>
    <w:rsid w:val="00553F47"/>
    <w:rsid w:val="005545A5"/>
    <w:rsid w:val="00554BE6"/>
    <w:rsid w:val="00554DAE"/>
    <w:rsid w:val="005552AA"/>
    <w:rsid w:val="00555847"/>
    <w:rsid w:val="0055636A"/>
    <w:rsid w:val="00556B14"/>
    <w:rsid w:val="00556D17"/>
    <w:rsid w:val="00557527"/>
    <w:rsid w:val="005577ED"/>
    <w:rsid w:val="00557A40"/>
    <w:rsid w:val="00557B7A"/>
    <w:rsid w:val="00557CD1"/>
    <w:rsid w:val="00560588"/>
    <w:rsid w:val="00560764"/>
    <w:rsid w:val="005612F9"/>
    <w:rsid w:val="00561881"/>
    <w:rsid w:val="00561D95"/>
    <w:rsid w:val="005620C0"/>
    <w:rsid w:val="00562236"/>
    <w:rsid w:val="0056291B"/>
    <w:rsid w:val="00562DF5"/>
    <w:rsid w:val="0056340A"/>
    <w:rsid w:val="0056353B"/>
    <w:rsid w:val="0056453F"/>
    <w:rsid w:val="005648E4"/>
    <w:rsid w:val="00564C9A"/>
    <w:rsid w:val="00564CC6"/>
    <w:rsid w:val="00564ED1"/>
    <w:rsid w:val="0056587A"/>
    <w:rsid w:val="00565C84"/>
    <w:rsid w:val="00565F53"/>
    <w:rsid w:val="00566543"/>
    <w:rsid w:val="005666F5"/>
    <w:rsid w:val="00566A47"/>
    <w:rsid w:val="0056755E"/>
    <w:rsid w:val="005677A9"/>
    <w:rsid w:val="00567A83"/>
    <w:rsid w:val="00567C95"/>
    <w:rsid w:val="00567E45"/>
    <w:rsid w:val="00567ED9"/>
    <w:rsid w:val="00567F9B"/>
    <w:rsid w:val="005707D8"/>
    <w:rsid w:val="00570C0E"/>
    <w:rsid w:val="00570DD9"/>
    <w:rsid w:val="00570FA4"/>
    <w:rsid w:val="005715B5"/>
    <w:rsid w:val="0057186E"/>
    <w:rsid w:val="00571922"/>
    <w:rsid w:val="005723F5"/>
    <w:rsid w:val="00572680"/>
    <w:rsid w:val="00573302"/>
    <w:rsid w:val="00573397"/>
    <w:rsid w:val="00573AAD"/>
    <w:rsid w:val="005742ED"/>
    <w:rsid w:val="005743F1"/>
    <w:rsid w:val="00574A64"/>
    <w:rsid w:val="00574F3E"/>
    <w:rsid w:val="005750D4"/>
    <w:rsid w:val="00575AFE"/>
    <w:rsid w:val="00575CC1"/>
    <w:rsid w:val="0057613E"/>
    <w:rsid w:val="00576387"/>
    <w:rsid w:val="005765CA"/>
    <w:rsid w:val="00577061"/>
    <w:rsid w:val="00577339"/>
    <w:rsid w:val="00577819"/>
    <w:rsid w:val="00577876"/>
    <w:rsid w:val="00577F69"/>
    <w:rsid w:val="00577FDF"/>
    <w:rsid w:val="00577FF6"/>
    <w:rsid w:val="00580AFD"/>
    <w:rsid w:val="00580D8D"/>
    <w:rsid w:val="00581250"/>
    <w:rsid w:val="005813DA"/>
    <w:rsid w:val="00581AF6"/>
    <w:rsid w:val="00581DB9"/>
    <w:rsid w:val="00582899"/>
    <w:rsid w:val="00582F2D"/>
    <w:rsid w:val="005831A6"/>
    <w:rsid w:val="005834F2"/>
    <w:rsid w:val="00583DE4"/>
    <w:rsid w:val="005841B4"/>
    <w:rsid w:val="005846C3"/>
    <w:rsid w:val="0058498B"/>
    <w:rsid w:val="00585563"/>
    <w:rsid w:val="0058557C"/>
    <w:rsid w:val="00585F7D"/>
    <w:rsid w:val="005861E4"/>
    <w:rsid w:val="0058623C"/>
    <w:rsid w:val="00586398"/>
    <w:rsid w:val="00587009"/>
    <w:rsid w:val="005878EF"/>
    <w:rsid w:val="005879A0"/>
    <w:rsid w:val="00587CB0"/>
    <w:rsid w:val="00587D48"/>
    <w:rsid w:val="00587E73"/>
    <w:rsid w:val="0059040E"/>
    <w:rsid w:val="00591421"/>
    <w:rsid w:val="0059166A"/>
    <w:rsid w:val="0059254B"/>
    <w:rsid w:val="005932AD"/>
    <w:rsid w:val="00594141"/>
    <w:rsid w:val="00594D38"/>
    <w:rsid w:val="00594E40"/>
    <w:rsid w:val="00594E4A"/>
    <w:rsid w:val="005950D9"/>
    <w:rsid w:val="00595114"/>
    <w:rsid w:val="0059523E"/>
    <w:rsid w:val="00596F60"/>
    <w:rsid w:val="005979B6"/>
    <w:rsid w:val="00597B6A"/>
    <w:rsid w:val="00597E47"/>
    <w:rsid w:val="0059C4DC"/>
    <w:rsid w:val="005A003A"/>
    <w:rsid w:val="005A0170"/>
    <w:rsid w:val="005A05B4"/>
    <w:rsid w:val="005A17D2"/>
    <w:rsid w:val="005A1841"/>
    <w:rsid w:val="005A1AB0"/>
    <w:rsid w:val="005A21F8"/>
    <w:rsid w:val="005A23FF"/>
    <w:rsid w:val="005A283F"/>
    <w:rsid w:val="005A29A5"/>
    <w:rsid w:val="005A358A"/>
    <w:rsid w:val="005A35FC"/>
    <w:rsid w:val="005A3D31"/>
    <w:rsid w:val="005A3E3B"/>
    <w:rsid w:val="005A3ED9"/>
    <w:rsid w:val="005A3FD9"/>
    <w:rsid w:val="005A470C"/>
    <w:rsid w:val="005A5302"/>
    <w:rsid w:val="005A59AC"/>
    <w:rsid w:val="005A5A60"/>
    <w:rsid w:val="005A6C46"/>
    <w:rsid w:val="005A6D58"/>
    <w:rsid w:val="005A72EF"/>
    <w:rsid w:val="005A7424"/>
    <w:rsid w:val="005A7608"/>
    <w:rsid w:val="005B07FD"/>
    <w:rsid w:val="005B1556"/>
    <w:rsid w:val="005B15E4"/>
    <w:rsid w:val="005B16E4"/>
    <w:rsid w:val="005B19D8"/>
    <w:rsid w:val="005B1AA6"/>
    <w:rsid w:val="005B1EC1"/>
    <w:rsid w:val="005B1FF0"/>
    <w:rsid w:val="005B241A"/>
    <w:rsid w:val="005B26CB"/>
    <w:rsid w:val="005B272D"/>
    <w:rsid w:val="005B2810"/>
    <w:rsid w:val="005B297F"/>
    <w:rsid w:val="005B2F0A"/>
    <w:rsid w:val="005B3248"/>
    <w:rsid w:val="005B3517"/>
    <w:rsid w:val="005B3AF2"/>
    <w:rsid w:val="005B3C42"/>
    <w:rsid w:val="005B486A"/>
    <w:rsid w:val="005B4ACD"/>
    <w:rsid w:val="005B5178"/>
    <w:rsid w:val="005B53FA"/>
    <w:rsid w:val="005B6E51"/>
    <w:rsid w:val="005B748B"/>
    <w:rsid w:val="005B7A0B"/>
    <w:rsid w:val="005B7A37"/>
    <w:rsid w:val="005C02FC"/>
    <w:rsid w:val="005C08CE"/>
    <w:rsid w:val="005C08DB"/>
    <w:rsid w:val="005C0937"/>
    <w:rsid w:val="005C0C53"/>
    <w:rsid w:val="005C0CA0"/>
    <w:rsid w:val="005C0F0C"/>
    <w:rsid w:val="005C0FE4"/>
    <w:rsid w:val="005C17C1"/>
    <w:rsid w:val="005C1CEF"/>
    <w:rsid w:val="005C1DF2"/>
    <w:rsid w:val="005C2991"/>
    <w:rsid w:val="005C2B79"/>
    <w:rsid w:val="005C3090"/>
    <w:rsid w:val="005C3096"/>
    <w:rsid w:val="005C334C"/>
    <w:rsid w:val="005C39B4"/>
    <w:rsid w:val="005C3B5F"/>
    <w:rsid w:val="005C3D75"/>
    <w:rsid w:val="005C3D89"/>
    <w:rsid w:val="005C3FF9"/>
    <w:rsid w:val="005C4345"/>
    <w:rsid w:val="005C4676"/>
    <w:rsid w:val="005C4F06"/>
    <w:rsid w:val="005C4F1D"/>
    <w:rsid w:val="005C55C6"/>
    <w:rsid w:val="005C5870"/>
    <w:rsid w:val="005C62C5"/>
    <w:rsid w:val="005C66DA"/>
    <w:rsid w:val="005C6D44"/>
    <w:rsid w:val="005C702A"/>
    <w:rsid w:val="005C78E9"/>
    <w:rsid w:val="005C7F11"/>
    <w:rsid w:val="005D016D"/>
    <w:rsid w:val="005D03BD"/>
    <w:rsid w:val="005D045B"/>
    <w:rsid w:val="005D0533"/>
    <w:rsid w:val="005D08DF"/>
    <w:rsid w:val="005D09BA"/>
    <w:rsid w:val="005D0DAE"/>
    <w:rsid w:val="005D0F32"/>
    <w:rsid w:val="005D10D3"/>
    <w:rsid w:val="005D1498"/>
    <w:rsid w:val="005D1937"/>
    <w:rsid w:val="005D1D90"/>
    <w:rsid w:val="005D20D3"/>
    <w:rsid w:val="005D328D"/>
    <w:rsid w:val="005D3752"/>
    <w:rsid w:val="005D3E2F"/>
    <w:rsid w:val="005D4A50"/>
    <w:rsid w:val="005D50AF"/>
    <w:rsid w:val="005D59DC"/>
    <w:rsid w:val="005D5A0F"/>
    <w:rsid w:val="005D5A2D"/>
    <w:rsid w:val="005D5A6A"/>
    <w:rsid w:val="005D5FB7"/>
    <w:rsid w:val="005D679E"/>
    <w:rsid w:val="005D6BF7"/>
    <w:rsid w:val="005D6E7F"/>
    <w:rsid w:val="005D70EC"/>
    <w:rsid w:val="005D7657"/>
    <w:rsid w:val="005D7C83"/>
    <w:rsid w:val="005E0015"/>
    <w:rsid w:val="005E054B"/>
    <w:rsid w:val="005E070B"/>
    <w:rsid w:val="005E0936"/>
    <w:rsid w:val="005E1BA3"/>
    <w:rsid w:val="005E2596"/>
    <w:rsid w:val="005E2CD8"/>
    <w:rsid w:val="005E347A"/>
    <w:rsid w:val="005E34E3"/>
    <w:rsid w:val="005E3DFF"/>
    <w:rsid w:val="005E45DA"/>
    <w:rsid w:val="005E4705"/>
    <w:rsid w:val="005E4DEF"/>
    <w:rsid w:val="005E54C5"/>
    <w:rsid w:val="005E5B90"/>
    <w:rsid w:val="005E5BEE"/>
    <w:rsid w:val="005E6009"/>
    <w:rsid w:val="005E634C"/>
    <w:rsid w:val="005E63C3"/>
    <w:rsid w:val="005E6B00"/>
    <w:rsid w:val="005E754A"/>
    <w:rsid w:val="005E766B"/>
    <w:rsid w:val="005E7C1A"/>
    <w:rsid w:val="005F050F"/>
    <w:rsid w:val="005F0801"/>
    <w:rsid w:val="005F0826"/>
    <w:rsid w:val="005F0BDA"/>
    <w:rsid w:val="005F116F"/>
    <w:rsid w:val="005F168C"/>
    <w:rsid w:val="005F18DC"/>
    <w:rsid w:val="005F1D1F"/>
    <w:rsid w:val="005F218F"/>
    <w:rsid w:val="005F22C4"/>
    <w:rsid w:val="005F2D78"/>
    <w:rsid w:val="005F2D7E"/>
    <w:rsid w:val="005F31DF"/>
    <w:rsid w:val="005F34C2"/>
    <w:rsid w:val="005F437E"/>
    <w:rsid w:val="005F4384"/>
    <w:rsid w:val="005F492C"/>
    <w:rsid w:val="005F49A2"/>
    <w:rsid w:val="005F5037"/>
    <w:rsid w:val="005F5AB8"/>
    <w:rsid w:val="005F5FB2"/>
    <w:rsid w:val="005F6DF8"/>
    <w:rsid w:val="005F6E2E"/>
    <w:rsid w:val="005F6E94"/>
    <w:rsid w:val="005F78A1"/>
    <w:rsid w:val="005FF088"/>
    <w:rsid w:val="0060009D"/>
    <w:rsid w:val="006000BD"/>
    <w:rsid w:val="006006E8"/>
    <w:rsid w:val="00601624"/>
    <w:rsid w:val="006016FB"/>
    <w:rsid w:val="00602975"/>
    <w:rsid w:val="00602A74"/>
    <w:rsid w:val="00603460"/>
    <w:rsid w:val="006034D1"/>
    <w:rsid w:val="00603532"/>
    <w:rsid w:val="00603BFF"/>
    <w:rsid w:val="00603C97"/>
    <w:rsid w:val="00604537"/>
    <w:rsid w:val="00604CCD"/>
    <w:rsid w:val="00604D4C"/>
    <w:rsid w:val="00604F30"/>
    <w:rsid w:val="00605382"/>
    <w:rsid w:val="00605D0C"/>
    <w:rsid w:val="006069D7"/>
    <w:rsid w:val="00606B68"/>
    <w:rsid w:val="00606B79"/>
    <w:rsid w:val="006075FA"/>
    <w:rsid w:val="006076FC"/>
    <w:rsid w:val="00607994"/>
    <w:rsid w:val="00607C59"/>
    <w:rsid w:val="00607F57"/>
    <w:rsid w:val="0061023A"/>
    <w:rsid w:val="00610266"/>
    <w:rsid w:val="006106B3"/>
    <w:rsid w:val="006109C3"/>
    <w:rsid w:val="00611025"/>
    <w:rsid w:val="00611A76"/>
    <w:rsid w:val="00611D91"/>
    <w:rsid w:val="00612439"/>
    <w:rsid w:val="0061258B"/>
    <w:rsid w:val="00612BEA"/>
    <w:rsid w:val="00612EE6"/>
    <w:rsid w:val="0061355E"/>
    <w:rsid w:val="00613D90"/>
    <w:rsid w:val="00614569"/>
    <w:rsid w:val="00614B9F"/>
    <w:rsid w:val="00614E04"/>
    <w:rsid w:val="0061560D"/>
    <w:rsid w:val="00615A2E"/>
    <w:rsid w:val="00615FC7"/>
    <w:rsid w:val="00615FCD"/>
    <w:rsid w:val="00616253"/>
    <w:rsid w:val="00616B91"/>
    <w:rsid w:val="00616F63"/>
    <w:rsid w:val="006171BB"/>
    <w:rsid w:val="00617DA5"/>
    <w:rsid w:val="006201BE"/>
    <w:rsid w:val="00620BD7"/>
    <w:rsid w:val="00621523"/>
    <w:rsid w:val="00621630"/>
    <w:rsid w:val="00621985"/>
    <w:rsid w:val="00622C02"/>
    <w:rsid w:val="00624C28"/>
    <w:rsid w:val="00624EC2"/>
    <w:rsid w:val="006257AC"/>
    <w:rsid w:val="00625E0D"/>
    <w:rsid w:val="006262A7"/>
    <w:rsid w:val="006262EB"/>
    <w:rsid w:val="00626D56"/>
    <w:rsid w:val="00630287"/>
    <w:rsid w:val="00630622"/>
    <w:rsid w:val="00630821"/>
    <w:rsid w:val="00630E59"/>
    <w:rsid w:val="006312BF"/>
    <w:rsid w:val="00631303"/>
    <w:rsid w:val="006313F3"/>
    <w:rsid w:val="0063258D"/>
    <w:rsid w:val="006327FA"/>
    <w:rsid w:val="00632866"/>
    <w:rsid w:val="00632C64"/>
    <w:rsid w:val="00632E14"/>
    <w:rsid w:val="00633011"/>
    <w:rsid w:val="00633247"/>
    <w:rsid w:val="0063365A"/>
    <w:rsid w:val="00634427"/>
    <w:rsid w:val="00635610"/>
    <w:rsid w:val="00635986"/>
    <w:rsid w:val="00635BB3"/>
    <w:rsid w:val="006363D7"/>
    <w:rsid w:val="006377A4"/>
    <w:rsid w:val="00637977"/>
    <w:rsid w:val="00637B00"/>
    <w:rsid w:val="0064020B"/>
    <w:rsid w:val="0064044C"/>
    <w:rsid w:val="00640CA5"/>
    <w:rsid w:val="00640D42"/>
    <w:rsid w:val="00640DAD"/>
    <w:rsid w:val="00641261"/>
    <w:rsid w:val="0064184F"/>
    <w:rsid w:val="00641FFC"/>
    <w:rsid w:val="006424D5"/>
    <w:rsid w:val="00642602"/>
    <w:rsid w:val="00642AF5"/>
    <w:rsid w:val="0064375E"/>
    <w:rsid w:val="00643AD5"/>
    <w:rsid w:val="00643DFA"/>
    <w:rsid w:val="0064465E"/>
    <w:rsid w:val="00644A26"/>
    <w:rsid w:val="00644EBF"/>
    <w:rsid w:val="00645BCE"/>
    <w:rsid w:val="0064688F"/>
    <w:rsid w:val="00646C4D"/>
    <w:rsid w:val="00646F4D"/>
    <w:rsid w:val="0064708A"/>
    <w:rsid w:val="006471E6"/>
    <w:rsid w:val="006473B4"/>
    <w:rsid w:val="006501E0"/>
    <w:rsid w:val="00650264"/>
    <w:rsid w:val="00650D45"/>
    <w:rsid w:val="00651D8C"/>
    <w:rsid w:val="00651FA8"/>
    <w:rsid w:val="006522C5"/>
    <w:rsid w:val="006525DF"/>
    <w:rsid w:val="006527DB"/>
    <w:rsid w:val="00652A55"/>
    <w:rsid w:val="0065370B"/>
    <w:rsid w:val="00653C37"/>
    <w:rsid w:val="00654245"/>
    <w:rsid w:val="0065495C"/>
    <w:rsid w:val="00654C78"/>
    <w:rsid w:val="00655B6F"/>
    <w:rsid w:val="00656235"/>
    <w:rsid w:val="00656D54"/>
    <w:rsid w:val="00656D78"/>
    <w:rsid w:val="00657081"/>
    <w:rsid w:val="00657368"/>
    <w:rsid w:val="0065741D"/>
    <w:rsid w:val="0065799B"/>
    <w:rsid w:val="00657B24"/>
    <w:rsid w:val="00657B64"/>
    <w:rsid w:val="00657CE6"/>
    <w:rsid w:val="006605CB"/>
    <w:rsid w:val="00660E39"/>
    <w:rsid w:val="0066204E"/>
    <w:rsid w:val="006621EE"/>
    <w:rsid w:val="00662B37"/>
    <w:rsid w:val="00662B7B"/>
    <w:rsid w:val="006633FC"/>
    <w:rsid w:val="00663525"/>
    <w:rsid w:val="006635EF"/>
    <w:rsid w:val="00663DF1"/>
    <w:rsid w:val="006640A9"/>
    <w:rsid w:val="006645EC"/>
    <w:rsid w:val="00664786"/>
    <w:rsid w:val="00665028"/>
    <w:rsid w:val="0066533A"/>
    <w:rsid w:val="0066556C"/>
    <w:rsid w:val="006658C1"/>
    <w:rsid w:val="00665946"/>
    <w:rsid w:val="00667B25"/>
    <w:rsid w:val="00667D20"/>
    <w:rsid w:val="00670419"/>
    <w:rsid w:val="0067056F"/>
    <w:rsid w:val="00670833"/>
    <w:rsid w:val="006708B2"/>
    <w:rsid w:val="00671457"/>
    <w:rsid w:val="00671BD5"/>
    <w:rsid w:val="00672410"/>
    <w:rsid w:val="00672A12"/>
    <w:rsid w:val="00672B32"/>
    <w:rsid w:val="00672D1F"/>
    <w:rsid w:val="00672E07"/>
    <w:rsid w:val="00672F59"/>
    <w:rsid w:val="0067344A"/>
    <w:rsid w:val="006734BA"/>
    <w:rsid w:val="00673D54"/>
    <w:rsid w:val="00674E7A"/>
    <w:rsid w:val="0067522E"/>
    <w:rsid w:val="006755AD"/>
    <w:rsid w:val="00675746"/>
    <w:rsid w:val="00676196"/>
    <w:rsid w:val="00676A4C"/>
    <w:rsid w:val="0067734E"/>
    <w:rsid w:val="00677363"/>
    <w:rsid w:val="00677BD3"/>
    <w:rsid w:val="00677FDE"/>
    <w:rsid w:val="006800DA"/>
    <w:rsid w:val="00680115"/>
    <w:rsid w:val="006803A4"/>
    <w:rsid w:val="006804C5"/>
    <w:rsid w:val="00680672"/>
    <w:rsid w:val="0068077C"/>
    <w:rsid w:val="006808E4"/>
    <w:rsid w:val="00680F8E"/>
    <w:rsid w:val="00681170"/>
    <w:rsid w:val="00681900"/>
    <w:rsid w:val="00681B98"/>
    <w:rsid w:val="006822BC"/>
    <w:rsid w:val="0068278B"/>
    <w:rsid w:val="00682DFD"/>
    <w:rsid w:val="006836E9"/>
    <w:rsid w:val="006843E9"/>
    <w:rsid w:val="00684989"/>
    <w:rsid w:val="00684F39"/>
    <w:rsid w:val="006863BA"/>
    <w:rsid w:val="00686471"/>
    <w:rsid w:val="00686AF9"/>
    <w:rsid w:val="00686FE4"/>
    <w:rsid w:val="0068772E"/>
    <w:rsid w:val="00687A7A"/>
    <w:rsid w:val="00687E5F"/>
    <w:rsid w:val="0068C22E"/>
    <w:rsid w:val="00690945"/>
    <w:rsid w:val="00690DE2"/>
    <w:rsid w:val="0069124E"/>
    <w:rsid w:val="006913B1"/>
    <w:rsid w:val="00691B51"/>
    <w:rsid w:val="00692465"/>
    <w:rsid w:val="00692B83"/>
    <w:rsid w:val="00693523"/>
    <w:rsid w:val="00693891"/>
    <w:rsid w:val="006939F4"/>
    <w:rsid w:val="00693BA5"/>
    <w:rsid w:val="00694D9F"/>
    <w:rsid w:val="00694E26"/>
    <w:rsid w:val="00694EF8"/>
    <w:rsid w:val="00695553"/>
    <w:rsid w:val="0069601A"/>
    <w:rsid w:val="00696139"/>
    <w:rsid w:val="00696147"/>
    <w:rsid w:val="006969D7"/>
    <w:rsid w:val="00697342"/>
    <w:rsid w:val="0069744D"/>
    <w:rsid w:val="006977F5"/>
    <w:rsid w:val="006A0807"/>
    <w:rsid w:val="006A0F11"/>
    <w:rsid w:val="006A12B7"/>
    <w:rsid w:val="006A1696"/>
    <w:rsid w:val="006A1AB0"/>
    <w:rsid w:val="006A1B00"/>
    <w:rsid w:val="006A22D9"/>
    <w:rsid w:val="006A42F7"/>
    <w:rsid w:val="006A44DD"/>
    <w:rsid w:val="006A4E01"/>
    <w:rsid w:val="006A5F3B"/>
    <w:rsid w:val="006A62DA"/>
    <w:rsid w:val="006A6987"/>
    <w:rsid w:val="006A6E40"/>
    <w:rsid w:val="006A6E9E"/>
    <w:rsid w:val="006A7261"/>
    <w:rsid w:val="006B0399"/>
    <w:rsid w:val="006B0A84"/>
    <w:rsid w:val="006B0D91"/>
    <w:rsid w:val="006B0EC9"/>
    <w:rsid w:val="006B11E0"/>
    <w:rsid w:val="006B1955"/>
    <w:rsid w:val="006B1ADD"/>
    <w:rsid w:val="006B25C6"/>
    <w:rsid w:val="006B29A2"/>
    <w:rsid w:val="006B2AB0"/>
    <w:rsid w:val="006B2E8C"/>
    <w:rsid w:val="006B2E8D"/>
    <w:rsid w:val="006B2FA4"/>
    <w:rsid w:val="006B3713"/>
    <w:rsid w:val="006B3A32"/>
    <w:rsid w:val="006B4DCE"/>
    <w:rsid w:val="006B5165"/>
    <w:rsid w:val="006B534C"/>
    <w:rsid w:val="006B5460"/>
    <w:rsid w:val="006B5982"/>
    <w:rsid w:val="006B5A41"/>
    <w:rsid w:val="006B5FA2"/>
    <w:rsid w:val="006B60DA"/>
    <w:rsid w:val="006B6845"/>
    <w:rsid w:val="006B6927"/>
    <w:rsid w:val="006B69A8"/>
    <w:rsid w:val="006B6F09"/>
    <w:rsid w:val="006B7032"/>
    <w:rsid w:val="006B706F"/>
    <w:rsid w:val="006B7C33"/>
    <w:rsid w:val="006B7E74"/>
    <w:rsid w:val="006C0232"/>
    <w:rsid w:val="006C02D7"/>
    <w:rsid w:val="006C054F"/>
    <w:rsid w:val="006C079B"/>
    <w:rsid w:val="006C122A"/>
    <w:rsid w:val="006C1326"/>
    <w:rsid w:val="006C1AAE"/>
    <w:rsid w:val="006C1B48"/>
    <w:rsid w:val="006C2954"/>
    <w:rsid w:val="006C2FD8"/>
    <w:rsid w:val="006C3119"/>
    <w:rsid w:val="006C37C4"/>
    <w:rsid w:val="006C4488"/>
    <w:rsid w:val="006C5614"/>
    <w:rsid w:val="006C57BE"/>
    <w:rsid w:val="006C5F2F"/>
    <w:rsid w:val="006C612C"/>
    <w:rsid w:val="006C638C"/>
    <w:rsid w:val="006C67CC"/>
    <w:rsid w:val="006C6A99"/>
    <w:rsid w:val="006C6CAA"/>
    <w:rsid w:val="006C7A77"/>
    <w:rsid w:val="006C7D1F"/>
    <w:rsid w:val="006C7E45"/>
    <w:rsid w:val="006D0120"/>
    <w:rsid w:val="006D0336"/>
    <w:rsid w:val="006D0425"/>
    <w:rsid w:val="006D064E"/>
    <w:rsid w:val="006D0B34"/>
    <w:rsid w:val="006D0B51"/>
    <w:rsid w:val="006D194A"/>
    <w:rsid w:val="006D1B13"/>
    <w:rsid w:val="006D23A2"/>
    <w:rsid w:val="006D2610"/>
    <w:rsid w:val="006D28AA"/>
    <w:rsid w:val="006D344E"/>
    <w:rsid w:val="006D3768"/>
    <w:rsid w:val="006D3F6F"/>
    <w:rsid w:val="006D4045"/>
    <w:rsid w:val="006D4B01"/>
    <w:rsid w:val="006D4EF1"/>
    <w:rsid w:val="006D5003"/>
    <w:rsid w:val="006D5971"/>
    <w:rsid w:val="006D65ED"/>
    <w:rsid w:val="006D6C08"/>
    <w:rsid w:val="006D73D0"/>
    <w:rsid w:val="006D7A67"/>
    <w:rsid w:val="006D7B56"/>
    <w:rsid w:val="006E044C"/>
    <w:rsid w:val="006E0A33"/>
    <w:rsid w:val="006E0C98"/>
    <w:rsid w:val="006E110D"/>
    <w:rsid w:val="006E120C"/>
    <w:rsid w:val="006E22D0"/>
    <w:rsid w:val="006E2965"/>
    <w:rsid w:val="006E2D42"/>
    <w:rsid w:val="006E32A4"/>
    <w:rsid w:val="006E3A83"/>
    <w:rsid w:val="006E401F"/>
    <w:rsid w:val="006E4827"/>
    <w:rsid w:val="006E4C2B"/>
    <w:rsid w:val="006E4DCE"/>
    <w:rsid w:val="006E5838"/>
    <w:rsid w:val="006E5F18"/>
    <w:rsid w:val="006E62C8"/>
    <w:rsid w:val="006E7512"/>
    <w:rsid w:val="006E797A"/>
    <w:rsid w:val="006E7C24"/>
    <w:rsid w:val="006F07C5"/>
    <w:rsid w:val="006F1069"/>
    <w:rsid w:val="006F12F6"/>
    <w:rsid w:val="006F133E"/>
    <w:rsid w:val="006F18F4"/>
    <w:rsid w:val="006F2131"/>
    <w:rsid w:val="006F2572"/>
    <w:rsid w:val="006F291A"/>
    <w:rsid w:val="006F295E"/>
    <w:rsid w:val="006F3759"/>
    <w:rsid w:val="006F3836"/>
    <w:rsid w:val="006F3C30"/>
    <w:rsid w:val="006F3EF7"/>
    <w:rsid w:val="006F4182"/>
    <w:rsid w:val="006F53FA"/>
    <w:rsid w:val="006F5458"/>
    <w:rsid w:val="006F5547"/>
    <w:rsid w:val="006F5845"/>
    <w:rsid w:val="006F5987"/>
    <w:rsid w:val="006F6B65"/>
    <w:rsid w:val="006F6CB3"/>
    <w:rsid w:val="006F72F9"/>
    <w:rsid w:val="006F7388"/>
    <w:rsid w:val="007001C0"/>
    <w:rsid w:val="0070074B"/>
    <w:rsid w:val="00701109"/>
    <w:rsid w:val="0070115E"/>
    <w:rsid w:val="007016A5"/>
    <w:rsid w:val="00702418"/>
    <w:rsid w:val="007026A2"/>
    <w:rsid w:val="00702849"/>
    <w:rsid w:val="007029EF"/>
    <w:rsid w:val="00703272"/>
    <w:rsid w:val="007033AE"/>
    <w:rsid w:val="007035B3"/>
    <w:rsid w:val="00703672"/>
    <w:rsid w:val="00703EF9"/>
    <w:rsid w:val="0070429E"/>
    <w:rsid w:val="00704580"/>
    <w:rsid w:val="00704585"/>
    <w:rsid w:val="0070490D"/>
    <w:rsid w:val="00704F3C"/>
    <w:rsid w:val="007058A6"/>
    <w:rsid w:val="00706141"/>
    <w:rsid w:val="007061FC"/>
    <w:rsid w:val="00706AB9"/>
    <w:rsid w:val="00706AE0"/>
    <w:rsid w:val="00707776"/>
    <w:rsid w:val="007079C3"/>
    <w:rsid w:val="00707A64"/>
    <w:rsid w:val="00707B75"/>
    <w:rsid w:val="0071065B"/>
    <w:rsid w:val="00710BAA"/>
    <w:rsid w:val="00710F61"/>
    <w:rsid w:val="007110ED"/>
    <w:rsid w:val="00711122"/>
    <w:rsid w:val="00711162"/>
    <w:rsid w:val="007116C0"/>
    <w:rsid w:val="00711EA1"/>
    <w:rsid w:val="007122E9"/>
    <w:rsid w:val="007129E8"/>
    <w:rsid w:val="007135EA"/>
    <w:rsid w:val="00714090"/>
    <w:rsid w:val="00714244"/>
    <w:rsid w:val="0071455B"/>
    <w:rsid w:val="007147B2"/>
    <w:rsid w:val="007155CE"/>
    <w:rsid w:val="0071592D"/>
    <w:rsid w:val="00715A20"/>
    <w:rsid w:val="00715B70"/>
    <w:rsid w:val="00715DD7"/>
    <w:rsid w:val="0071604D"/>
    <w:rsid w:val="007170FF"/>
    <w:rsid w:val="007173DB"/>
    <w:rsid w:val="00720625"/>
    <w:rsid w:val="007206C6"/>
    <w:rsid w:val="00722209"/>
    <w:rsid w:val="007226BE"/>
    <w:rsid w:val="0072281A"/>
    <w:rsid w:val="007228D8"/>
    <w:rsid w:val="00722F9F"/>
    <w:rsid w:val="00722FE8"/>
    <w:rsid w:val="00723B7E"/>
    <w:rsid w:val="00724ED3"/>
    <w:rsid w:val="007251EF"/>
    <w:rsid w:val="00725236"/>
    <w:rsid w:val="007252C7"/>
    <w:rsid w:val="007252E1"/>
    <w:rsid w:val="007256C8"/>
    <w:rsid w:val="007257F0"/>
    <w:rsid w:val="00725B76"/>
    <w:rsid w:val="00725FD9"/>
    <w:rsid w:val="0072618B"/>
    <w:rsid w:val="00727196"/>
    <w:rsid w:val="00727352"/>
    <w:rsid w:val="007273D5"/>
    <w:rsid w:val="00727492"/>
    <w:rsid w:val="007278C7"/>
    <w:rsid w:val="00727A78"/>
    <w:rsid w:val="00727B34"/>
    <w:rsid w:val="00727CCC"/>
    <w:rsid w:val="007301AA"/>
    <w:rsid w:val="00730338"/>
    <w:rsid w:val="007310DE"/>
    <w:rsid w:val="007311A4"/>
    <w:rsid w:val="0073149B"/>
    <w:rsid w:val="00731550"/>
    <w:rsid w:val="00731B38"/>
    <w:rsid w:val="00732042"/>
    <w:rsid w:val="00732079"/>
    <w:rsid w:val="00732409"/>
    <w:rsid w:val="00732C23"/>
    <w:rsid w:val="00732CC4"/>
    <w:rsid w:val="00732EDC"/>
    <w:rsid w:val="00733B7C"/>
    <w:rsid w:val="00733FDD"/>
    <w:rsid w:val="007342DB"/>
    <w:rsid w:val="007345DE"/>
    <w:rsid w:val="007348B5"/>
    <w:rsid w:val="00734DB5"/>
    <w:rsid w:val="007354C5"/>
    <w:rsid w:val="0073656D"/>
    <w:rsid w:val="0073779C"/>
    <w:rsid w:val="007379CC"/>
    <w:rsid w:val="00737A77"/>
    <w:rsid w:val="007405EA"/>
    <w:rsid w:val="00741DB8"/>
    <w:rsid w:val="0074229F"/>
    <w:rsid w:val="00742639"/>
    <w:rsid w:val="00742641"/>
    <w:rsid w:val="0074276A"/>
    <w:rsid w:val="00742D1E"/>
    <w:rsid w:val="00742D6D"/>
    <w:rsid w:val="007437CE"/>
    <w:rsid w:val="00743BDA"/>
    <w:rsid w:val="00743D22"/>
    <w:rsid w:val="00743D66"/>
    <w:rsid w:val="00743E80"/>
    <w:rsid w:val="007454B2"/>
    <w:rsid w:val="00745AC3"/>
    <w:rsid w:val="00745D87"/>
    <w:rsid w:val="00745FC6"/>
    <w:rsid w:val="00746540"/>
    <w:rsid w:val="007467B1"/>
    <w:rsid w:val="00746B37"/>
    <w:rsid w:val="007476EE"/>
    <w:rsid w:val="00747C08"/>
    <w:rsid w:val="00750015"/>
    <w:rsid w:val="0075008A"/>
    <w:rsid w:val="0075090F"/>
    <w:rsid w:val="00750D61"/>
    <w:rsid w:val="00751908"/>
    <w:rsid w:val="00752B06"/>
    <w:rsid w:val="0075321E"/>
    <w:rsid w:val="0075474B"/>
    <w:rsid w:val="00754909"/>
    <w:rsid w:val="00755063"/>
    <w:rsid w:val="00755417"/>
    <w:rsid w:val="00755EED"/>
    <w:rsid w:val="007560EA"/>
    <w:rsid w:val="007566F5"/>
    <w:rsid w:val="00756B6F"/>
    <w:rsid w:val="00756E9E"/>
    <w:rsid w:val="00757962"/>
    <w:rsid w:val="00760103"/>
    <w:rsid w:val="00760247"/>
    <w:rsid w:val="0076095B"/>
    <w:rsid w:val="00760B36"/>
    <w:rsid w:val="00761462"/>
    <w:rsid w:val="00761D18"/>
    <w:rsid w:val="00761FAF"/>
    <w:rsid w:val="00761FB5"/>
    <w:rsid w:val="00761FDB"/>
    <w:rsid w:val="00762576"/>
    <w:rsid w:val="007625C6"/>
    <w:rsid w:val="0076329D"/>
    <w:rsid w:val="0076356D"/>
    <w:rsid w:val="00763961"/>
    <w:rsid w:val="0076424F"/>
    <w:rsid w:val="007643D5"/>
    <w:rsid w:val="00764A26"/>
    <w:rsid w:val="00764D04"/>
    <w:rsid w:val="007650D4"/>
    <w:rsid w:val="00765491"/>
    <w:rsid w:val="00765D45"/>
    <w:rsid w:val="00765D80"/>
    <w:rsid w:val="00766057"/>
    <w:rsid w:val="007666DE"/>
    <w:rsid w:val="00766FDC"/>
    <w:rsid w:val="00766FED"/>
    <w:rsid w:val="007674A9"/>
    <w:rsid w:val="00767BA5"/>
    <w:rsid w:val="0077075B"/>
    <w:rsid w:val="00770CAB"/>
    <w:rsid w:val="007711F8"/>
    <w:rsid w:val="007718F7"/>
    <w:rsid w:val="007718FA"/>
    <w:rsid w:val="00772B16"/>
    <w:rsid w:val="00773A49"/>
    <w:rsid w:val="00773B4E"/>
    <w:rsid w:val="00773B68"/>
    <w:rsid w:val="007744BC"/>
    <w:rsid w:val="007746A2"/>
    <w:rsid w:val="00774707"/>
    <w:rsid w:val="00774B12"/>
    <w:rsid w:val="00774B24"/>
    <w:rsid w:val="00775004"/>
    <w:rsid w:val="0077544B"/>
    <w:rsid w:val="007755C7"/>
    <w:rsid w:val="00776F10"/>
    <w:rsid w:val="007772E8"/>
    <w:rsid w:val="00777324"/>
    <w:rsid w:val="00777BF6"/>
    <w:rsid w:val="00777DE7"/>
    <w:rsid w:val="00777ECA"/>
    <w:rsid w:val="007806B9"/>
    <w:rsid w:val="00780D51"/>
    <w:rsid w:val="00780E6B"/>
    <w:rsid w:val="0078102E"/>
    <w:rsid w:val="007810E4"/>
    <w:rsid w:val="0078127A"/>
    <w:rsid w:val="00781EB7"/>
    <w:rsid w:val="00782830"/>
    <w:rsid w:val="007828A9"/>
    <w:rsid w:val="00782965"/>
    <w:rsid w:val="00782F2B"/>
    <w:rsid w:val="007831D0"/>
    <w:rsid w:val="0078351D"/>
    <w:rsid w:val="00783525"/>
    <w:rsid w:val="00784BB5"/>
    <w:rsid w:val="00784D78"/>
    <w:rsid w:val="0078553C"/>
    <w:rsid w:val="0078577D"/>
    <w:rsid w:val="0078609A"/>
    <w:rsid w:val="00786697"/>
    <w:rsid w:val="00786874"/>
    <w:rsid w:val="00786A8F"/>
    <w:rsid w:val="00786D97"/>
    <w:rsid w:val="007874BA"/>
    <w:rsid w:val="007875C1"/>
    <w:rsid w:val="00787CAA"/>
    <w:rsid w:val="00790987"/>
    <w:rsid w:val="00791138"/>
    <w:rsid w:val="0079175D"/>
    <w:rsid w:val="00791D5E"/>
    <w:rsid w:val="00792948"/>
    <w:rsid w:val="00792C0B"/>
    <w:rsid w:val="00792D10"/>
    <w:rsid w:val="00792F63"/>
    <w:rsid w:val="00793241"/>
    <w:rsid w:val="0079347B"/>
    <w:rsid w:val="00794080"/>
    <w:rsid w:val="007940AB"/>
    <w:rsid w:val="00794559"/>
    <w:rsid w:val="0079475F"/>
    <w:rsid w:val="007949E2"/>
    <w:rsid w:val="00795496"/>
    <w:rsid w:val="007958C4"/>
    <w:rsid w:val="00797569"/>
    <w:rsid w:val="007979B5"/>
    <w:rsid w:val="00797A29"/>
    <w:rsid w:val="00797E36"/>
    <w:rsid w:val="007A01B7"/>
    <w:rsid w:val="007A0DBB"/>
    <w:rsid w:val="007A1ABE"/>
    <w:rsid w:val="007A1CA7"/>
    <w:rsid w:val="007A2876"/>
    <w:rsid w:val="007A2BF0"/>
    <w:rsid w:val="007A314E"/>
    <w:rsid w:val="007A3B16"/>
    <w:rsid w:val="007A3BF0"/>
    <w:rsid w:val="007A3C12"/>
    <w:rsid w:val="007A4471"/>
    <w:rsid w:val="007A4511"/>
    <w:rsid w:val="007A472F"/>
    <w:rsid w:val="007A4774"/>
    <w:rsid w:val="007A4C7A"/>
    <w:rsid w:val="007A5387"/>
    <w:rsid w:val="007A5DD1"/>
    <w:rsid w:val="007A6A6E"/>
    <w:rsid w:val="007A7247"/>
    <w:rsid w:val="007B0017"/>
    <w:rsid w:val="007B00C5"/>
    <w:rsid w:val="007B0205"/>
    <w:rsid w:val="007B13FC"/>
    <w:rsid w:val="007B18C8"/>
    <w:rsid w:val="007B18E8"/>
    <w:rsid w:val="007B1C45"/>
    <w:rsid w:val="007B1FEC"/>
    <w:rsid w:val="007B27AC"/>
    <w:rsid w:val="007B2AA2"/>
    <w:rsid w:val="007B32DE"/>
    <w:rsid w:val="007B3764"/>
    <w:rsid w:val="007B3BE7"/>
    <w:rsid w:val="007B4E5E"/>
    <w:rsid w:val="007B5988"/>
    <w:rsid w:val="007B5CF2"/>
    <w:rsid w:val="007B5E6E"/>
    <w:rsid w:val="007B5F64"/>
    <w:rsid w:val="007B65A4"/>
    <w:rsid w:val="007B6C9C"/>
    <w:rsid w:val="007B6E71"/>
    <w:rsid w:val="007B6FD6"/>
    <w:rsid w:val="007B70F7"/>
    <w:rsid w:val="007B7FDF"/>
    <w:rsid w:val="007C0053"/>
    <w:rsid w:val="007C0ACB"/>
    <w:rsid w:val="007C1517"/>
    <w:rsid w:val="007C17D3"/>
    <w:rsid w:val="007C2106"/>
    <w:rsid w:val="007C2583"/>
    <w:rsid w:val="007C25E1"/>
    <w:rsid w:val="007C26AE"/>
    <w:rsid w:val="007C2796"/>
    <w:rsid w:val="007C302F"/>
    <w:rsid w:val="007C311A"/>
    <w:rsid w:val="007C31D0"/>
    <w:rsid w:val="007C3364"/>
    <w:rsid w:val="007C3EB6"/>
    <w:rsid w:val="007C428B"/>
    <w:rsid w:val="007C4BE9"/>
    <w:rsid w:val="007C659E"/>
    <w:rsid w:val="007C7355"/>
    <w:rsid w:val="007C7876"/>
    <w:rsid w:val="007C7EF9"/>
    <w:rsid w:val="007D086A"/>
    <w:rsid w:val="007D131D"/>
    <w:rsid w:val="007D1805"/>
    <w:rsid w:val="007D1D04"/>
    <w:rsid w:val="007D1E0D"/>
    <w:rsid w:val="007D23ED"/>
    <w:rsid w:val="007D2D17"/>
    <w:rsid w:val="007D2DFF"/>
    <w:rsid w:val="007D3361"/>
    <w:rsid w:val="007D399B"/>
    <w:rsid w:val="007D3A69"/>
    <w:rsid w:val="007D3CCD"/>
    <w:rsid w:val="007D4079"/>
    <w:rsid w:val="007D43E6"/>
    <w:rsid w:val="007D4CC0"/>
    <w:rsid w:val="007D4EAB"/>
    <w:rsid w:val="007D514C"/>
    <w:rsid w:val="007D5689"/>
    <w:rsid w:val="007D5BFB"/>
    <w:rsid w:val="007D5CCA"/>
    <w:rsid w:val="007D6200"/>
    <w:rsid w:val="007D62AB"/>
    <w:rsid w:val="007D641E"/>
    <w:rsid w:val="007D644B"/>
    <w:rsid w:val="007D7727"/>
    <w:rsid w:val="007E0291"/>
    <w:rsid w:val="007E02AD"/>
    <w:rsid w:val="007E0F77"/>
    <w:rsid w:val="007E106E"/>
    <w:rsid w:val="007E10CA"/>
    <w:rsid w:val="007E1432"/>
    <w:rsid w:val="007E22DA"/>
    <w:rsid w:val="007E345C"/>
    <w:rsid w:val="007E38D9"/>
    <w:rsid w:val="007E4A01"/>
    <w:rsid w:val="007E4DA0"/>
    <w:rsid w:val="007E4DCC"/>
    <w:rsid w:val="007E585F"/>
    <w:rsid w:val="007E5C73"/>
    <w:rsid w:val="007E6CAA"/>
    <w:rsid w:val="007E7082"/>
    <w:rsid w:val="007E7475"/>
    <w:rsid w:val="007E76C6"/>
    <w:rsid w:val="007F0002"/>
    <w:rsid w:val="007F0AE6"/>
    <w:rsid w:val="007F155E"/>
    <w:rsid w:val="007F1809"/>
    <w:rsid w:val="007F18FA"/>
    <w:rsid w:val="007F26DE"/>
    <w:rsid w:val="007F2719"/>
    <w:rsid w:val="007F29FC"/>
    <w:rsid w:val="007F30CB"/>
    <w:rsid w:val="007F366C"/>
    <w:rsid w:val="007F367D"/>
    <w:rsid w:val="007F38BB"/>
    <w:rsid w:val="007F38E1"/>
    <w:rsid w:val="007F3DC0"/>
    <w:rsid w:val="007F3E68"/>
    <w:rsid w:val="007F3FC8"/>
    <w:rsid w:val="007F3FD1"/>
    <w:rsid w:val="007F45C0"/>
    <w:rsid w:val="007F4ABD"/>
    <w:rsid w:val="007F543C"/>
    <w:rsid w:val="007F5B85"/>
    <w:rsid w:val="007F615A"/>
    <w:rsid w:val="007F667D"/>
    <w:rsid w:val="007F66BA"/>
    <w:rsid w:val="007F6856"/>
    <w:rsid w:val="007F764F"/>
    <w:rsid w:val="007F7862"/>
    <w:rsid w:val="007F7EF8"/>
    <w:rsid w:val="0080058D"/>
    <w:rsid w:val="00800731"/>
    <w:rsid w:val="00801151"/>
    <w:rsid w:val="008013EB"/>
    <w:rsid w:val="008015C5"/>
    <w:rsid w:val="008015FE"/>
    <w:rsid w:val="008017F8"/>
    <w:rsid w:val="00801F1E"/>
    <w:rsid w:val="00802116"/>
    <w:rsid w:val="00802846"/>
    <w:rsid w:val="00802E6C"/>
    <w:rsid w:val="008037EE"/>
    <w:rsid w:val="00803D2B"/>
    <w:rsid w:val="00803E5F"/>
    <w:rsid w:val="00803EEE"/>
    <w:rsid w:val="008042F0"/>
    <w:rsid w:val="00804737"/>
    <w:rsid w:val="0080547D"/>
    <w:rsid w:val="0080563F"/>
    <w:rsid w:val="0080571B"/>
    <w:rsid w:val="00805929"/>
    <w:rsid w:val="00805BF8"/>
    <w:rsid w:val="00805D5E"/>
    <w:rsid w:val="0080631F"/>
    <w:rsid w:val="00806833"/>
    <w:rsid w:val="008069D8"/>
    <w:rsid w:val="00806B81"/>
    <w:rsid w:val="00806BF5"/>
    <w:rsid w:val="00807120"/>
    <w:rsid w:val="0080740E"/>
    <w:rsid w:val="00807E00"/>
    <w:rsid w:val="008104AB"/>
    <w:rsid w:val="0081077B"/>
    <w:rsid w:val="00810DFA"/>
    <w:rsid w:val="00811AC4"/>
    <w:rsid w:val="00811BFF"/>
    <w:rsid w:val="00811D19"/>
    <w:rsid w:val="00811E4C"/>
    <w:rsid w:val="00812171"/>
    <w:rsid w:val="008125D3"/>
    <w:rsid w:val="00812802"/>
    <w:rsid w:val="00812A43"/>
    <w:rsid w:val="00812B69"/>
    <w:rsid w:val="00812F8C"/>
    <w:rsid w:val="00813EC5"/>
    <w:rsid w:val="00814007"/>
    <w:rsid w:val="00814311"/>
    <w:rsid w:val="0081527C"/>
    <w:rsid w:val="00815652"/>
    <w:rsid w:val="008157C7"/>
    <w:rsid w:val="00815956"/>
    <w:rsid w:val="00815B1E"/>
    <w:rsid w:val="00815C84"/>
    <w:rsid w:val="00815F9E"/>
    <w:rsid w:val="00816850"/>
    <w:rsid w:val="00817104"/>
    <w:rsid w:val="008172F5"/>
    <w:rsid w:val="00817545"/>
    <w:rsid w:val="00817C55"/>
    <w:rsid w:val="008203B8"/>
    <w:rsid w:val="00820469"/>
    <w:rsid w:val="0082124D"/>
    <w:rsid w:val="0082133B"/>
    <w:rsid w:val="00821603"/>
    <w:rsid w:val="0082186E"/>
    <w:rsid w:val="00821967"/>
    <w:rsid w:val="00821A7C"/>
    <w:rsid w:val="00821FD8"/>
    <w:rsid w:val="008226CE"/>
    <w:rsid w:val="00822789"/>
    <w:rsid w:val="00822D81"/>
    <w:rsid w:val="0082308B"/>
    <w:rsid w:val="00823A93"/>
    <w:rsid w:val="00823B9A"/>
    <w:rsid w:val="00823E47"/>
    <w:rsid w:val="008240EC"/>
    <w:rsid w:val="00824BB8"/>
    <w:rsid w:val="00824EE7"/>
    <w:rsid w:val="00825B38"/>
    <w:rsid w:val="0082681D"/>
    <w:rsid w:val="00826B9C"/>
    <w:rsid w:val="00826C3F"/>
    <w:rsid w:val="00826FA2"/>
    <w:rsid w:val="00826FB5"/>
    <w:rsid w:val="00827949"/>
    <w:rsid w:val="00827D59"/>
    <w:rsid w:val="00827E93"/>
    <w:rsid w:val="00830E74"/>
    <w:rsid w:val="00831F88"/>
    <w:rsid w:val="00832463"/>
    <w:rsid w:val="00833028"/>
    <w:rsid w:val="00834C54"/>
    <w:rsid w:val="00834D61"/>
    <w:rsid w:val="00835146"/>
    <w:rsid w:val="008354D1"/>
    <w:rsid w:val="0083555A"/>
    <w:rsid w:val="00835881"/>
    <w:rsid w:val="00835D7F"/>
    <w:rsid w:val="0083673B"/>
    <w:rsid w:val="008370F9"/>
    <w:rsid w:val="0083739B"/>
    <w:rsid w:val="0083740B"/>
    <w:rsid w:val="00837434"/>
    <w:rsid w:val="0083760E"/>
    <w:rsid w:val="008409DB"/>
    <w:rsid w:val="00840BDD"/>
    <w:rsid w:val="00841369"/>
    <w:rsid w:val="008415B8"/>
    <w:rsid w:val="0084181C"/>
    <w:rsid w:val="00841914"/>
    <w:rsid w:val="008419CB"/>
    <w:rsid w:val="00841C13"/>
    <w:rsid w:val="00841DB2"/>
    <w:rsid w:val="00842AFA"/>
    <w:rsid w:val="00842FB5"/>
    <w:rsid w:val="008430EE"/>
    <w:rsid w:val="00843887"/>
    <w:rsid w:val="00843C3D"/>
    <w:rsid w:val="00843CE2"/>
    <w:rsid w:val="00844897"/>
    <w:rsid w:val="00844E24"/>
    <w:rsid w:val="00845069"/>
    <w:rsid w:val="00845C3B"/>
    <w:rsid w:val="0084653D"/>
    <w:rsid w:val="008467A5"/>
    <w:rsid w:val="00846A9A"/>
    <w:rsid w:val="00846D1B"/>
    <w:rsid w:val="00850590"/>
    <w:rsid w:val="00850916"/>
    <w:rsid w:val="00850C8D"/>
    <w:rsid w:val="00851340"/>
    <w:rsid w:val="008518CF"/>
    <w:rsid w:val="00851B19"/>
    <w:rsid w:val="00853144"/>
    <w:rsid w:val="00853970"/>
    <w:rsid w:val="00853DBC"/>
    <w:rsid w:val="00853EFD"/>
    <w:rsid w:val="00854C4A"/>
    <w:rsid w:val="008550EF"/>
    <w:rsid w:val="0085512E"/>
    <w:rsid w:val="00855D43"/>
    <w:rsid w:val="00855F70"/>
    <w:rsid w:val="00856E3A"/>
    <w:rsid w:val="008574B8"/>
    <w:rsid w:val="00857611"/>
    <w:rsid w:val="00857DA3"/>
    <w:rsid w:val="00857F39"/>
    <w:rsid w:val="00860032"/>
    <w:rsid w:val="00860B84"/>
    <w:rsid w:val="008613D3"/>
    <w:rsid w:val="0086174B"/>
    <w:rsid w:val="0086241E"/>
    <w:rsid w:val="00862D04"/>
    <w:rsid w:val="00862E6C"/>
    <w:rsid w:val="00862FD7"/>
    <w:rsid w:val="00863C6E"/>
    <w:rsid w:val="00864848"/>
    <w:rsid w:val="00865062"/>
    <w:rsid w:val="00865430"/>
    <w:rsid w:val="00865438"/>
    <w:rsid w:val="0086556F"/>
    <w:rsid w:val="008655E6"/>
    <w:rsid w:val="008655FA"/>
    <w:rsid w:val="0086563F"/>
    <w:rsid w:val="00865C91"/>
    <w:rsid w:val="00865CBE"/>
    <w:rsid w:val="00865DC3"/>
    <w:rsid w:val="008665C6"/>
    <w:rsid w:val="00866624"/>
    <w:rsid w:val="0086691B"/>
    <w:rsid w:val="00866A48"/>
    <w:rsid w:val="00866C45"/>
    <w:rsid w:val="00867748"/>
    <w:rsid w:val="00867B6E"/>
    <w:rsid w:val="00867BC3"/>
    <w:rsid w:val="008700E3"/>
    <w:rsid w:val="0087010A"/>
    <w:rsid w:val="00870116"/>
    <w:rsid w:val="00871012"/>
    <w:rsid w:val="008710CE"/>
    <w:rsid w:val="00871470"/>
    <w:rsid w:val="00871C72"/>
    <w:rsid w:val="008722CD"/>
    <w:rsid w:val="00872374"/>
    <w:rsid w:val="00872523"/>
    <w:rsid w:val="008727DC"/>
    <w:rsid w:val="00872C67"/>
    <w:rsid w:val="0087327A"/>
    <w:rsid w:val="0087350A"/>
    <w:rsid w:val="0087422D"/>
    <w:rsid w:val="0087514B"/>
    <w:rsid w:val="00876858"/>
    <w:rsid w:val="00876975"/>
    <w:rsid w:val="00876A5A"/>
    <w:rsid w:val="00876BC8"/>
    <w:rsid w:val="00876EC9"/>
    <w:rsid w:val="0087739E"/>
    <w:rsid w:val="00877F99"/>
    <w:rsid w:val="008801AE"/>
    <w:rsid w:val="008806F3"/>
    <w:rsid w:val="0088088E"/>
    <w:rsid w:val="008808A3"/>
    <w:rsid w:val="0088184D"/>
    <w:rsid w:val="00882509"/>
    <w:rsid w:val="00882736"/>
    <w:rsid w:val="00882AFC"/>
    <w:rsid w:val="0088353F"/>
    <w:rsid w:val="008841CD"/>
    <w:rsid w:val="0088456E"/>
    <w:rsid w:val="00884B1D"/>
    <w:rsid w:val="008859D7"/>
    <w:rsid w:val="00886414"/>
    <w:rsid w:val="00886BFA"/>
    <w:rsid w:val="00886CB2"/>
    <w:rsid w:val="00886EBB"/>
    <w:rsid w:val="008873FF"/>
    <w:rsid w:val="00887443"/>
    <w:rsid w:val="0088767F"/>
    <w:rsid w:val="00887844"/>
    <w:rsid w:val="00887B6A"/>
    <w:rsid w:val="00890837"/>
    <w:rsid w:val="00890866"/>
    <w:rsid w:val="00890879"/>
    <w:rsid w:val="008909A0"/>
    <w:rsid w:val="00890A6C"/>
    <w:rsid w:val="008917D9"/>
    <w:rsid w:val="008918C7"/>
    <w:rsid w:val="00891AF8"/>
    <w:rsid w:val="00892C05"/>
    <w:rsid w:val="00893656"/>
    <w:rsid w:val="0089434F"/>
    <w:rsid w:val="008945AF"/>
    <w:rsid w:val="008956B1"/>
    <w:rsid w:val="008958F3"/>
    <w:rsid w:val="00895B21"/>
    <w:rsid w:val="008960F1"/>
    <w:rsid w:val="0089632D"/>
    <w:rsid w:val="00896B83"/>
    <w:rsid w:val="00896BE3"/>
    <w:rsid w:val="00896DA0"/>
    <w:rsid w:val="00896E38"/>
    <w:rsid w:val="008A0815"/>
    <w:rsid w:val="008A0A47"/>
    <w:rsid w:val="008A13A1"/>
    <w:rsid w:val="008A13EA"/>
    <w:rsid w:val="008A150D"/>
    <w:rsid w:val="008A1532"/>
    <w:rsid w:val="008A21E8"/>
    <w:rsid w:val="008A2843"/>
    <w:rsid w:val="008A2B52"/>
    <w:rsid w:val="008A3188"/>
    <w:rsid w:val="008A3F4D"/>
    <w:rsid w:val="008A40D0"/>
    <w:rsid w:val="008A5ACF"/>
    <w:rsid w:val="008A5CF9"/>
    <w:rsid w:val="008A5E6D"/>
    <w:rsid w:val="008A6A65"/>
    <w:rsid w:val="008A6E04"/>
    <w:rsid w:val="008A7940"/>
    <w:rsid w:val="008A7BE9"/>
    <w:rsid w:val="008A7D49"/>
    <w:rsid w:val="008B02FA"/>
    <w:rsid w:val="008B0B3A"/>
    <w:rsid w:val="008B2580"/>
    <w:rsid w:val="008B268F"/>
    <w:rsid w:val="008B2783"/>
    <w:rsid w:val="008B2D22"/>
    <w:rsid w:val="008B2D6F"/>
    <w:rsid w:val="008B342F"/>
    <w:rsid w:val="008B39C4"/>
    <w:rsid w:val="008B3C8A"/>
    <w:rsid w:val="008B47B7"/>
    <w:rsid w:val="008B52BD"/>
    <w:rsid w:val="008B5570"/>
    <w:rsid w:val="008B5D80"/>
    <w:rsid w:val="008B6B70"/>
    <w:rsid w:val="008B73DE"/>
    <w:rsid w:val="008B7656"/>
    <w:rsid w:val="008B775F"/>
    <w:rsid w:val="008B7B69"/>
    <w:rsid w:val="008B7F8A"/>
    <w:rsid w:val="008C0347"/>
    <w:rsid w:val="008C063F"/>
    <w:rsid w:val="008C1663"/>
    <w:rsid w:val="008C1AED"/>
    <w:rsid w:val="008C22D5"/>
    <w:rsid w:val="008C2927"/>
    <w:rsid w:val="008C2A21"/>
    <w:rsid w:val="008C2BB5"/>
    <w:rsid w:val="008C2FF8"/>
    <w:rsid w:val="008C3101"/>
    <w:rsid w:val="008C4507"/>
    <w:rsid w:val="008C48D3"/>
    <w:rsid w:val="008C5456"/>
    <w:rsid w:val="008C5651"/>
    <w:rsid w:val="008C58AE"/>
    <w:rsid w:val="008C5960"/>
    <w:rsid w:val="008C5F07"/>
    <w:rsid w:val="008C5F71"/>
    <w:rsid w:val="008C5F86"/>
    <w:rsid w:val="008C66B0"/>
    <w:rsid w:val="008C6EE2"/>
    <w:rsid w:val="008C75F3"/>
    <w:rsid w:val="008C7CF3"/>
    <w:rsid w:val="008C7D99"/>
    <w:rsid w:val="008C7FA8"/>
    <w:rsid w:val="008D0175"/>
    <w:rsid w:val="008D05D0"/>
    <w:rsid w:val="008D0815"/>
    <w:rsid w:val="008D091F"/>
    <w:rsid w:val="008D0C92"/>
    <w:rsid w:val="008D18C4"/>
    <w:rsid w:val="008D1D80"/>
    <w:rsid w:val="008D2BAD"/>
    <w:rsid w:val="008D30A2"/>
    <w:rsid w:val="008D31DB"/>
    <w:rsid w:val="008D365A"/>
    <w:rsid w:val="008D3872"/>
    <w:rsid w:val="008D4FDE"/>
    <w:rsid w:val="008D51DA"/>
    <w:rsid w:val="008D5469"/>
    <w:rsid w:val="008D54F2"/>
    <w:rsid w:val="008D6583"/>
    <w:rsid w:val="008D7C2F"/>
    <w:rsid w:val="008D7F8F"/>
    <w:rsid w:val="008E0140"/>
    <w:rsid w:val="008E03A1"/>
    <w:rsid w:val="008E065F"/>
    <w:rsid w:val="008E079F"/>
    <w:rsid w:val="008E1021"/>
    <w:rsid w:val="008E1267"/>
    <w:rsid w:val="008E1A63"/>
    <w:rsid w:val="008E1CFB"/>
    <w:rsid w:val="008E1FB3"/>
    <w:rsid w:val="008E22E5"/>
    <w:rsid w:val="008E2E19"/>
    <w:rsid w:val="008E2F1A"/>
    <w:rsid w:val="008E39FD"/>
    <w:rsid w:val="008E47F8"/>
    <w:rsid w:val="008E4E37"/>
    <w:rsid w:val="008E63A8"/>
    <w:rsid w:val="008E67D4"/>
    <w:rsid w:val="008E6BAC"/>
    <w:rsid w:val="008E6ECE"/>
    <w:rsid w:val="008E719B"/>
    <w:rsid w:val="008E75F0"/>
    <w:rsid w:val="008E7615"/>
    <w:rsid w:val="008E7CFF"/>
    <w:rsid w:val="008F028F"/>
    <w:rsid w:val="008F05F9"/>
    <w:rsid w:val="008F13C8"/>
    <w:rsid w:val="008F1737"/>
    <w:rsid w:val="008F1A9D"/>
    <w:rsid w:val="008F1C95"/>
    <w:rsid w:val="008F1CFA"/>
    <w:rsid w:val="008F2120"/>
    <w:rsid w:val="008F242D"/>
    <w:rsid w:val="008F295C"/>
    <w:rsid w:val="008F2965"/>
    <w:rsid w:val="008F2D82"/>
    <w:rsid w:val="008F2EDD"/>
    <w:rsid w:val="008F2FB8"/>
    <w:rsid w:val="008F38D5"/>
    <w:rsid w:val="008F3E94"/>
    <w:rsid w:val="008F40C5"/>
    <w:rsid w:val="008F45AF"/>
    <w:rsid w:val="008F45BA"/>
    <w:rsid w:val="008F4B87"/>
    <w:rsid w:val="008F4D1B"/>
    <w:rsid w:val="008F568E"/>
    <w:rsid w:val="008F56C7"/>
    <w:rsid w:val="008F5A40"/>
    <w:rsid w:val="008F5BF6"/>
    <w:rsid w:val="008F5C1A"/>
    <w:rsid w:val="008F60C8"/>
    <w:rsid w:val="008F6323"/>
    <w:rsid w:val="008F679A"/>
    <w:rsid w:val="008F7070"/>
    <w:rsid w:val="008F71C7"/>
    <w:rsid w:val="008F7665"/>
    <w:rsid w:val="008F7A13"/>
    <w:rsid w:val="009002AC"/>
    <w:rsid w:val="00900301"/>
    <w:rsid w:val="0090079D"/>
    <w:rsid w:val="00900CFA"/>
    <w:rsid w:val="00900CFD"/>
    <w:rsid w:val="00900D6E"/>
    <w:rsid w:val="00901309"/>
    <w:rsid w:val="00901916"/>
    <w:rsid w:val="009021DC"/>
    <w:rsid w:val="00902437"/>
    <w:rsid w:val="00903365"/>
    <w:rsid w:val="009034F9"/>
    <w:rsid w:val="0090364A"/>
    <w:rsid w:val="00903721"/>
    <w:rsid w:val="00903CD9"/>
    <w:rsid w:val="00903D28"/>
    <w:rsid w:val="00904321"/>
    <w:rsid w:val="0090437E"/>
    <w:rsid w:val="009044A5"/>
    <w:rsid w:val="009049E9"/>
    <w:rsid w:val="00904E30"/>
    <w:rsid w:val="00905CF4"/>
    <w:rsid w:val="00906027"/>
    <w:rsid w:val="00906060"/>
    <w:rsid w:val="009066A5"/>
    <w:rsid w:val="00906A1F"/>
    <w:rsid w:val="009074BB"/>
    <w:rsid w:val="00910271"/>
    <w:rsid w:val="009105A5"/>
    <w:rsid w:val="009114C8"/>
    <w:rsid w:val="009115AC"/>
    <w:rsid w:val="00911AFE"/>
    <w:rsid w:val="009122DD"/>
    <w:rsid w:val="009127AF"/>
    <w:rsid w:val="009127FE"/>
    <w:rsid w:val="009128E3"/>
    <w:rsid w:val="009135AE"/>
    <w:rsid w:val="00913AC0"/>
    <w:rsid w:val="00913E42"/>
    <w:rsid w:val="00914689"/>
    <w:rsid w:val="00914A08"/>
    <w:rsid w:val="00914A92"/>
    <w:rsid w:val="00915299"/>
    <w:rsid w:val="009158F7"/>
    <w:rsid w:val="00915957"/>
    <w:rsid w:val="00915BB5"/>
    <w:rsid w:val="00915DEC"/>
    <w:rsid w:val="00916408"/>
    <w:rsid w:val="00917364"/>
    <w:rsid w:val="00917E91"/>
    <w:rsid w:val="0092046A"/>
    <w:rsid w:val="00921758"/>
    <w:rsid w:val="00921869"/>
    <w:rsid w:val="00921B03"/>
    <w:rsid w:val="00921DAF"/>
    <w:rsid w:val="00922A90"/>
    <w:rsid w:val="00922FCF"/>
    <w:rsid w:val="009236C8"/>
    <w:rsid w:val="0092406B"/>
    <w:rsid w:val="00924961"/>
    <w:rsid w:val="00924B89"/>
    <w:rsid w:val="00924C04"/>
    <w:rsid w:val="009251FA"/>
    <w:rsid w:val="009258E8"/>
    <w:rsid w:val="009259E1"/>
    <w:rsid w:val="00925A19"/>
    <w:rsid w:val="009266AF"/>
    <w:rsid w:val="00926930"/>
    <w:rsid w:val="00926D50"/>
    <w:rsid w:val="00927265"/>
    <w:rsid w:val="00927DE2"/>
    <w:rsid w:val="009305ED"/>
    <w:rsid w:val="009309B7"/>
    <w:rsid w:val="00930C27"/>
    <w:rsid w:val="00931491"/>
    <w:rsid w:val="00931685"/>
    <w:rsid w:val="00931697"/>
    <w:rsid w:val="00932135"/>
    <w:rsid w:val="009323D1"/>
    <w:rsid w:val="00932759"/>
    <w:rsid w:val="0093283E"/>
    <w:rsid w:val="00932AC0"/>
    <w:rsid w:val="00932CDD"/>
    <w:rsid w:val="00932F42"/>
    <w:rsid w:val="00933A25"/>
    <w:rsid w:val="00933B3E"/>
    <w:rsid w:val="009348E5"/>
    <w:rsid w:val="00934910"/>
    <w:rsid w:val="00934E88"/>
    <w:rsid w:val="0093569A"/>
    <w:rsid w:val="00935955"/>
    <w:rsid w:val="00935C84"/>
    <w:rsid w:val="0093663C"/>
    <w:rsid w:val="00936C00"/>
    <w:rsid w:val="00936F0B"/>
    <w:rsid w:val="0093738D"/>
    <w:rsid w:val="0093790F"/>
    <w:rsid w:val="00937ED4"/>
    <w:rsid w:val="00940A26"/>
    <w:rsid w:val="00940F8E"/>
    <w:rsid w:val="00941059"/>
    <w:rsid w:val="00941736"/>
    <w:rsid w:val="00941F54"/>
    <w:rsid w:val="00942900"/>
    <w:rsid w:val="00943120"/>
    <w:rsid w:val="00943202"/>
    <w:rsid w:val="0094573C"/>
    <w:rsid w:val="00946168"/>
    <w:rsid w:val="009468E5"/>
    <w:rsid w:val="00946A60"/>
    <w:rsid w:val="009477E5"/>
    <w:rsid w:val="00950F2D"/>
    <w:rsid w:val="009512FD"/>
    <w:rsid w:val="00951677"/>
    <w:rsid w:val="00951DC5"/>
    <w:rsid w:val="00952384"/>
    <w:rsid w:val="009524A4"/>
    <w:rsid w:val="009524AE"/>
    <w:rsid w:val="00952F1E"/>
    <w:rsid w:val="009537BB"/>
    <w:rsid w:val="00953E15"/>
    <w:rsid w:val="009541E4"/>
    <w:rsid w:val="00954F72"/>
    <w:rsid w:val="00956056"/>
    <w:rsid w:val="009560E1"/>
    <w:rsid w:val="0095649A"/>
    <w:rsid w:val="00956553"/>
    <w:rsid w:val="009602C3"/>
    <w:rsid w:val="00960688"/>
    <w:rsid w:val="0096071D"/>
    <w:rsid w:val="00960BCA"/>
    <w:rsid w:val="00960E96"/>
    <w:rsid w:val="00961100"/>
    <w:rsid w:val="00961445"/>
    <w:rsid w:val="00961B1C"/>
    <w:rsid w:val="00961C1B"/>
    <w:rsid w:val="009620F0"/>
    <w:rsid w:val="00962A42"/>
    <w:rsid w:val="00962DF4"/>
    <w:rsid w:val="00963008"/>
    <w:rsid w:val="009632A1"/>
    <w:rsid w:val="00963382"/>
    <w:rsid w:val="00963E57"/>
    <w:rsid w:val="009640D9"/>
    <w:rsid w:val="0096455C"/>
    <w:rsid w:val="009645F4"/>
    <w:rsid w:val="009658C5"/>
    <w:rsid w:val="00966B42"/>
    <w:rsid w:val="00967069"/>
    <w:rsid w:val="00967165"/>
    <w:rsid w:val="00967718"/>
    <w:rsid w:val="0096798E"/>
    <w:rsid w:val="00967CCC"/>
    <w:rsid w:val="009709B6"/>
    <w:rsid w:val="00970CEF"/>
    <w:rsid w:val="00970EAA"/>
    <w:rsid w:val="0097136B"/>
    <w:rsid w:val="00971835"/>
    <w:rsid w:val="00972C57"/>
    <w:rsid w:val="00973369"/>
    <w:rsid w:val="00973682"/>
    <w:rsid w:val="00973799"/>
    <w:rsid w:val="00974499"/>
    <w:rsid w:val="00974CE4"/>
    <w:rsid w:val="00974FA7"/>
    <w:rsid w:val="00975830"/>
    <w:rsid w:val="0097602E"/>
    <w:rsid w:val="0097638E"/>
    <w:rsid w:val="00976491"/>
    <w:rsid w:val="009765E8"/>
    <w:rsid w:val="009766BC"/>
    <w:rsid w:val="009767B0"/>
    <w:rsid w:val="00976C63"/>
    <w:rsid w:val="00976DC7"/>
    <w:rsid w:val="00976EAC"/>
    <w:rsid w:val="0097713F"/>
    <w:rsid w:val="00977188"/>
    <w:rsid w:val="00977572"/>
    <w:rsid w:val="009779B0"/>
    <w:rsid w:val="00977A1E"/>
    <w:rsid w:val="0098042F"/>
    <w:rsid w:val="009805D0"/>
    <w:rsid w:val="0098095E"/>
    <w:rsid w:val="009809AB"/>
    <w:rsid w:val="00980B7E"/>
    <w:rsid w:val="00980CFB"/>
    <w:rsid w:val="00981330"/>
    <w:rsid w:val="0098192E"/>
    <w:rsid w:val="00982161"/>
    <w:rsid w:val="009825FD"/>
    <w:rsid w:val="0098278A"/>
    <w:rsid w:val="009831DA"/>
    <w:rsid w:val="009832DC"/>
    <w:rsid w:val="009833DE"/>
    <w:rsid w:val="009835B7"/>
    <w:rsid w:val="00983791"/>
    <w:rsid w:val="0098418C"/>
    <w:rsid w:val="00984898"/>
    <w:rsid w:val="00984943"/>
    <w:rsid w:val="00984967"/>
    <w:rsid w:val="00984DA0"/>
    <w:rsid w:val="009855B4"/>
    <w:rsid w:val="00985CD1"/>
    <w:rsid w:val="00986228"/>
    <w:rsid w:val="00986696"/>
    <w:rsid w:val="00986BA8"/>
    <w:rsid w:val="00990495"/>
    <w:rsid w:val="0099098E"/>
    <w:rsid w:val="009912C4"/>
    <w:rsid w:val="00991B3F"/>
    <w:rsid w:val="009921C9"/>
    <w:rsid w:val="009928E6"/>
    <w:rsid w:val="00992B48"/>
    <w:rsid w:val="00992C2A"/>
    <w:rsid w:val="00993620"/>
    <w:rsid w:val="00993F7D"/>
    <w:rsid w:val="009948AC"/>
    <w:rsid w:val="00994C02"/>
    <w:rsid w:val="00994EA2"/>
    <w:rsid w:val="009951BD"/>
    <w:rsid w:val="009959F4"/>
    <w:rsid w:val="00995D7C"/>
    <w:rsid w:val="00996312"/>
    <w:rsid w:val="00996442"/>
    <w:rsid w:val="00996A6B"/>
    <w:rsid w:val="00996ECC"/>
    <w:rsid w:val="0099722E"/>
    <w:rsid w:val="009972E3"/>
    <w:rsid w:val="009975C3"/>
    <w:rsid w:val="009978EE"/>
    <w:rsid w:val="0099D478"/>
    <w:rsid w:val="009A07E8"/>
    <w:rsid w:val="009A0A68"/>
    <w:rsid w:val="009A0B40"/>
    <w:rsid w:val="009A0C79"/>
    <w:rsid w:val="009A0E27"/>
    <w:rsid w:val="009A12A8"/>
    <w:rsid w:val="009A1B1D"/>
    <w:rsid w:val="009A20E3"/>
    <w:rsid w:val="009A219F"/>
    <w:rsid w:val="009A238A"/>
    <w:rsid w:val="009A24DA"/>
    <w:rsid w:val="009A2DB7"/>
    <w:rsid w:val="009A3034"/>
    <w:rsid w:val="009A3437"/>
    <w:rsid w:val="009A3543"/>
    <w:rsid w:val="009A3920"/>
    <w:rsid w:val="009A3C01"/>
    <w:rsid w:val="009A40A9"/>
    <w:rsid w:val="009A4206"/>
    <w:rsid w:val="009A4B09"/>
    <w:rsid w:val="009A55ED"/>
    <w:rsid w:val="009A57AA"/>
    <w:rsid w:val="009A5C53"/>
    <w:rsid w:val="009A635A"/>
    <w:rsid w:val="009A66CB"/>
    <w:rsid w:val="009A6958"/>
    <w:rsid w:val="009A703F"/>
    <w:rsid w:val="009A7060"/>
    <w:rsid w:val="009B0E4F"/>
    <w:rsid w:val="009B10AA"/>
    <w:rsid w:val="009B14F6"/>
    <w:rsid w:val="009B1923"/>
    <w:rsid w:val="009B1A97"/>
    <w:rsid w:val="009B1C53"/>
    <w:rsid w:val="009B1E37"/>
    <w:rsid w:val="009B259F"/>
    <w:rsid w:val="009B2B0A"/>
    <w:rsid w:val="009B2F9D"/>
    <w:rsid w:val="009B37CD"/>
    <w:rsid w:val="009B3AEF"/>
    <w:rsid w:val="009B43AB"/>
    <w:rsid w:val="009B48EF"/>
    <w:rsid w:val="009B5409"/>
    <w:rsid w:val="009B67DF"/>
    <w:rsid w:val="009B682C"/>
    <w:rsid w:val="009B6C3B"/>
    <w:rsid w:val="009B6CD3"/>
    <w:rsid w:val="009B6FCD"/>
    <w:rsid w:val="009B79E8"/>
    <w:rsid w:val="009B7B21"/>
    <w:rsid w:val="009C0739"/>
    <w:rsid w:val="009C093A"/>
    <w:rsid w:val="009C0B6D"/>
    <w:rsid w:val="009C1341"/>
    <w:rsid w:val="009C13F7"/>
    <w:rsid w:val="009C23A0"/>
    <w:rsid w:val="009C2532"/>
    <w:rsid w:val="009C3226"/>
    <w:rsid w:val="009C3373"/>
    <w:rsid w:val="009C3BE4"/>
    <w:rsid w:val="009C4EFB"/>
    <w:rsid w:val="009C4FD3"/>
    <w:rsid w:val="009C5387"/>
    <w:rsid w:val="009C542C"/>
    <w:rsid w:val="009C5DF1"/>
    <w:rsid w:val="009C5E5F"/>
    <w:rsid w:val="009C5FAC"/>
    <w:rsid w:val="009C6370"/>
    <w:rsid w:val="009C64C4"/>
    <w:rsid w:val="009C7621"/>
    <w:rsid w:val="009C76C0"/>
    <w:rsid w:val="009C7D9F"/>
    <w:rsid w:val="009D056B"/>
    <w:rsid w:val="009D1AFD"/>
    <w:rsid w:val="009D3E36"/>
    <w:rsid w:val="009D3EF7"/>
    <w:rsid w:val="009D4066"/>
    <w:rsid w:val="009D430D"/>
    <w:rsid w:val="009D57EF"/>
    <w:rsid w:val="009D5D96"/>
    <w:rsid w:val="009D61F8"/>
    <w:rsid w:val="009D68C6"/>
    <w:rsid w:val="009D6AF4"/>
    <w:rsid w:val="009D72F6"/>
    <w:rsid w:val="009D77FE"/>
    <w:rsid w:val="009D7A24"/>
    <w:rsid w:val="009D7B58"/>
    <w:rsid w:val="009D7FDE"/>
    <w:rsid w:val="009E00B9"/>
    <w:rsid w:val="009E0105"/>
    <w:rsid w:val="009E0311"/>
    <w:rsid w:val="009E0388"/>
    <w:rsid w:val="009E0696"/>
    <w:rsid w:val="009E0721"/>
    <w:rsid w:val="009E1023"/>
    <w:rsid w:val="009E1445"/>
    <w:rsid w:val="009E23D0"/>
    <w:rsid w:val="009E263F"/>
    <w:rsid w:val="009E28F4"/>
    <w:rsid w:val="009E3284"/>
    <w:rsid w:val="009E3373"/>
    <w:rsid w:val="009E36F6"/>
    <w:rsid w:val="009E3B2C"/>
    <w:rsid w:val="009E3B88"/>
    <w:rsid w:val="009E3BC7"/>
    <w:rsid w:val="009E41A5"/>
    <w:rsid w:val="009E4327"/>
    <w:rsid w:val="009E4393"/>
    <w:rsid w:val="009E45E8"/>
    <w:rsid w:val="009E47DF"/>
    <w:rsid w:val="009E52F5"/>
    <w:rsid w:val="009E5318"/>
    <w:rsid w:val="009E540D"/>
    <w:rsid w:val="009E5830"/>
    <w:rsid w:val="009E5895"/>
    <w:rsid w:val="009E589B"/>
    <w:rsid w:val="009E5F10"/>
    <w:rsid w:val="009E65D5"/>
    <w:rsid w:val="009E66BC"/>
    <w:rsid w:val="009E670C"/>
    <w:rsid w:val="009E69D5"/>
    <w:rsid w:val="009E6C2C"/>
    <w:rsid w:val="009E6F01"/>
    <w:rsid w:val="009E73C8"/>
    <w:rsid w:val="009E73FC"/>
    <w:rsid w:val="009F0403"/>
    <w:rsid w:val="009F083A"/>
    <w:rsid w:val="009F1C39"/>
    <w:rsid w:val="009F1D5D"/>
    <w:rsid w:val="009F1E7E"/>
    <w:rsid w:val="009F24C7"/>
    <w:rsid w:val="009F2DF6"/>
    <w:rsid w:val="009F2DFD"/>
    <w:rsid w:val="009F2F26"/>
    <w:rsid w:val="009F341A"/>
    <w:rsid w:val="009F3815"/>
    <w:rsid w:val="009F3A54"/>
    <w:rsid w:val="009F4A0B"/>
    <w:rsid w:val="009F4A4B"/>
    <w:rsid w:val="009F4B4D"/>
    <w:rsid w:val="009F54D9"/>
    <w:rsid w:val="009F5739"/>
    <w:rsid w:val="009F5AFD"/>
    <w:rsid w:val="009F5E3E"/>
    <w:rsid w:val="009F5F39"/>
    <w:rsid w:val="009F65E9"/>
    <w:rsid w:val="009F66C3"/>
    <w:rsid w:val="009F6B74"/>
    <w:rsid w:val="009F6E0D"/>
    <w:rsid w:val="009F72A3"/>
    <w:rsid w:val="009F7447"/>
    <w:rsid w:val="00A0053F"/>
    <w:rsid w:val="00A00E89"/>
    <w:rsid w:val="00A01352"/>
    <w:rsid w:val="00A01867"/>
    <w:rsid w:val="00A01C1C"/>
    <w:rsid w:val="00A024CE"/>
    <w:rsid w:val="00A03063"/>
    <w:rsid w:val="00A04346"/>
    <w:rsid w:val="00A0494E"/>
    <w:rsid w:val="00A05E73"/>
    <w:rsid w:val="00A05EE7"/>
    <w:rsid w:val="00A06149"/>
    <w:rsid w:val="00A06B02"/>
    <w:rsid w:val="00A06C08"/>
    <w:rsid w:val="00A073B5"/>
    <w:rsid w:val="00A073CB"/>
    <w:rsid w:val="00A0752A"/>
    <w:rsid w:val="00A0781C"/>
    <w:rsid w:val="00A07D93"/>
    <w:rsid w:val="00A10527"/>
    <w:rsid w:val="00A10841"/>
    <w:rsid w:val="00A10937"/>
    <w:rsid w:val="00A10F73"/>
    <w:rsid w:val="00A124FA"/>
    <w:rsid w:val="00A128A9"/>
    <w:rsid w:val="00A1293A"/>
    <w:rsid w:val="00A1374E"/>
    <w:rsid w:val="00A13CC8"/>
    <w:rsid w:val="00A13E4D"/>
    <w:rsid w:val="00A14259"/>
    <w:rsid w:val="00A1437A"/>
    <w:rsid w:val="00A14740"/>
    <w:rsid w:val="00A14D97"/>
    <w:rsid w:val="00A15907"/>
    <w:rsid w:val="00A15C97"/>
    <w:rsid w:val="00A15E49"/>
    <w:rsid w:val="00A16E38"/>
    <w:rsid w:val="00A17358"/>
    <w:rsid w:val="00A202D3"/>
    <w:rsid w:val="00A20964"/>
    <w:rsid w:val="00A21797"/>
    <w:rsid w:val="00A21C44"/>
    <w:rsid w:val="00A21FD8"/>
    <w:rsid w:val="00A220CB"/>
    <w:rsid w:val="00A22142"/>
    <w:rsid w:val="00A2231A"/>
    <w:rsid w:val="00A22A78"/>
    <w:rsid w:val="00A22AF2"/>
    <w:rsid w:val="00A22C25"/>
    <w:rsid w:val="00A23680"/>
    <w:rsid w:val="00A2399E"/>
    <w:rsid w:val="00A23B75"/>
    <w:rsid w:val="00A240CB"/>
    <w:rsid w:val="00A24675"/>
    <w:rsid w:val="00A24F86"/>
    <w:rsid w:val="00A255F1"/>
    <w:rsid w:val="00A26C92"/>
    <w:rsid w:val="00A27B41"/>
    <w:rsid w:val="00A27C00"/>
    <w:rsid w:val="00A27D37"/>
    <w:rsid w:val="00A27E11"/>
    <w:rsid w:val="00A3029C"/>
    <w:rsid w:val="00A30765"/>
    <w:rsid w:val="00A3093C"/>
    <w:rsid w:val="00A30991"/>
    <w:rsid w:val="00A3150C"/>
    <w:rsid w:val="00A319E4"/>
    <w:rsid w:val="00A3230A"/>
    <w:rsid w:val="00A328A4"/>
    <w:rsid w:val="00A32BC3"/>
    <w:rsid w:val="00A32E87"/>
    <w:rsid w:val="00A331D8"/>
    <w:rsid w:val="00A332DC"/>
    <w:rsid w:val="00A334D9"/>
    <w:rsid w:val="00A33883"/>
    <w:rsid w:val="00A33B48"/>
    <w:rsid w:val="00A33D37"/>
    <w:rsid w:val="00A3517C"/>
    <w:rsid w:val="00A358AA"/>
    <w:rsid w:val="00A35AD5"/>
    <w:rsid w:val="00A35E0D"/>
    <w:rsid w:val="00A36657"/>
    <w:rsid w:val="00A36CFC"/>
    <w:rsid w:val="00A36EB3"/>
    <w:rsid w:val="00A373AB"/>
    <w:rsid w:val="00A37BA2"/>
    <w:rsid w:val="00A40916"/>
    <w:rsid w:val="00A41442"/>
    <w:rsid w:val="00A41C1B"/>
    <w:rsid w:val="00A41EAC"/>
    <w:rsid w:val="00A4278B"/>
    <w:rsid w:val="00A42DB6"/>
    <w:rsid w:val="00A42F18"/>
    <w:rsid w:val="00A430C8"/>
    <w:rsid w:val="00A430E7"/>
    <w:rsid w:val="00A4414D"/>
    <w:rsid w:val="00A44392"/>
    <w:rsid w:val="00A44496"/>
    <w:rsid w:val="00A44509"/>
    <w:rsid w:val="00A450A0"/>
    <w:rsid w:val="00A45577"/>
    <w:rsid w:val="00A45D11"/>
    <w:rsid w:val="00A469CF"/>
    <w:rsid w:val="00A4706E"/>
    <w:rsid w:val="00A47333"/>
    <w:rsid w:val="00A5059F"/>
    <w:rsid w:val="00A50911"/>
    <w:rsid w:val="00A50E43"/>
    <w:rsid w:val="00A520EE"/>
    <w:rsid w:val="00A52149"/>
    <w:rsid w:val="00A5222E"/>
    <w:rsid w:val="00A524A4"/>
    <w:rsid w:val="00A528C2"/>
    <w:rsid w:val="00A52CB8"/>
    <w:rsid w:val="00A54536"/>
    <w:rsid w:val="00A545FB"/>
    <w:rsid w:val="00A54FE6"/>
    <w:rsid w:val="00A55412"/>
    <w:rsid w:val="00A55C83"/>
    <w:rsid w:val="00A5651E"/>
    <w:rsid w:val="00A5722C"/>
    <w:rsid w:val="00A57835"/>
    <w:rsid w:val="00A57971"/>
    <w:rsid w:val="00A57CD2"/>
    <w:rsid w:val="00A6020A"/>
    <w:rsid w:val="00A60388"/>
    <w:rsid w:val="00A6039E"/>
    <w:rsid w:val="00A606CE"/>
    <w:rsid w:val="00A60984"/>
    <w:rsid w:val="00A60D1C"/>
    <w:rsid w:val="00A60D33"/>
    <w:rsid w:val="00A60FFD"/>
    <w:rsid w:val="00A6152A"/>
    <w:rsid w:val="00A6175A"/>
    <w:rsid w:val="00A62446"/>
    <w:rsid w:val="00A62A94"/>
    <w:rsid w:val="00A63194"/>
    <w:rsid w:val="00A63298"/>
    <w:rsid w:val="00A641D4"/>
    <w:rsid w:val="00A64678"/>
    <w:rsid w:val="00A6472E"/>
    <w:rsid w:val="00A647E4"/>
    <w:rsid w:val="00A64EEF"/>
    <w:rsid w:val="00A655CF"/>
    <w:rsid w:val="00A656A1"/>
    <w:rsid w:val="00A65C1C"/>
    <w:rsid w:val="00A66E08"/>
    <w:rsid w:val="00A67B5B"/>
    <w:rsid w:val="00A71346"/>
    <w:rsid w:val="00A7174A"/>
    <w:rsid w:val="00A71DFA"/>
    <w:rsid w:val="00A71F90"/>
    <w:rsid w:val="00A72955"/>
    <w:rsid w:val="00A72C9F"/>
    <w:rsid w:val="00A72E5C"/>
    <w:rsid w:val="00A72EAD"/>
    <w:rsid w:val="00A734D1"/>
    <w:rsid w:val="00A73C82"/>
    <w:rsid w:val="00A745CC"/>
    <w:rsid w:val="00A75140"/>
    <w:rsid w:val="00A75167"/>
    <w:rsid w:val="00A752BF"/>
    <w:rsid w:val="00A75A6F"/>
    <w:rsid w:val="00A75D67"/>
    <w:rsid w:val="00A76096"/>
    <w:rsid w:val="00A765DD"/>
    <w:rsid w:val="00A766D6"/>
    <w:rsid w:val="00A766F9"/>
    <w:rsid w:val="00A77180"/>
    <w:rsid w:val="00A77327"/>
    <w:rsid w:val="00A775B7"/>
    <w:rsid w:val="00A77D5F"/>
    <w:rsid w:val="00A8006C"/>
    <w:rsid w:val="00A81042"/>
    <w:rsid w:val="00A817C6"/>
    <w:rsid w:val="00A81D73"/>
    <w:rsid w:val="00A8202E"/>
    <w:rsid w:val="00A8230E"/>
    <w:rsid w:val="00A82B03"/>
    <w:rsid w:val="00A82F5E"/>
    <w:rsid w:val="00A8321B"/>
    <w:rsid w:val="00A8340D"/>
    <w:rsid w:val="00A83450"/>
    <w:rsid w:val="00A83490"/>
    <w:rsid w:val="00A83550"/>
    <w:rsid w:val="00A84D7D"/>
    <w:rsid w:val="00A850F1"/>
    <w:rsid w:val="00A85AAC"/>
    <w:rsid w:val="00A85D29"/>
    <w:rsid w:val="00A85D8C"/>
    <w:rsid w:val="00A85E8F"/>
    <w:rsid w:val="00A860E0"/>
    <w:rsid w:val="00A8645C"/>
    <w:rsid w:val="00A868F2"/>
    <w:rsid w:val="00A86F9B"/>
    <w:rsid w:val="00A878F2"/>
    <w:rsid w:val="00A87AE9"/>
    <w:rsid w:val="00A9015A"/>
    <w:rsid w:val="00A9043D"/>
    <w:rsid w:val="00A90499"/>
    <w:rsid w:val="00A9096D"/>
    <w:rsid w:val="00A91210"/>
    <w:rsid w:val="00A917EC"/>
    <w:rsid w:val="00A925B5"/>
    <w:rsid w:val="00A927A7"/>
    <w:rsid w:val="00A92C71"/>
    <w:rsid w:val="00A92C8C"/>
    <w:rsid w:val="00A93049"/>
    <w:rsid w:val="00A937F2"/>
    <w:rsid w:val="00A941E0"/>
    <w:rsid w:val="00A94315"/>
    <w:rsid w:val="00A94448"/>
    <w:rsid w:val="00A9464F"/>
    <w:rsid w:val="00A94827"/>
    <w:rsid w:val="00A94CF3"/>
    <w:rsid w:val="00A94EDA"/>
    <w:rsid w:val="00A94FF4"/>
    <w:rsid w:val="00A95596"/>
    <w:rsid w:val="00A95BE8"/>
    <w:rsid w:val="00A9610E"/>
    <w:rsid w:val="00A9619F"/>
    <w:rsid w:val="00A96F43"/>
    <w:rsid w:val="00A9768C"/>
    <w:rsid w:val="00A978B2"/>
    <w:rsid w:val="00A97903"/>
    <w:rsid w:val="00A97CFE"/>
    <w:rsid w:val="00AA0666"/>
    <w:rsid w:val="00AA075F"/>
    <w:rsid w:val="00AA19F1"/>
    <w:rsid w:val="00AA19FA"/>
    <w:rsid w:val="00AA1D97"/>
    <w:rsid w:val="00AA1F02"/>
    <w:rsid w:val="00AA2487"/>
    <w:rsid w:val="00AA24C6"/>
    <w:rsid w:val="00AA34BD"/>
    <w:rsid w:val="00AA3BE6"/>
    <w:rsid w:val="00AA3C8B"/>
    <w:rsid w:val="00AA3DF0"/>
    <w:rsid w:val="00AA4D98"/>
    <w:rsid w:val="00AA5400"/>
    <w:rsid w:val="00AA5569"/>
    <w:rsid w:val="00AA5AB8"/>
    <w:rsid w:val="00AA5B5F"/>
    <w:rsid w:val="00AA5F47"/>
    <w:rsid w:val="00AA5FA5"/>
    <w:rsid w:val="00AA63A0"/>
    <w:rsid w:val="00AA7827"/>
    <w:rsid w:val="00AB0752"/>
    <w:rsid w:val="00AB081D"/>
    <w:rsid w:val="00AB1BD5"/>
    <w:rsid w:val="00AB1D26"/>
    <w:rsid w:val="00AB2226"/>
    <w:rsid w:val="00AB23CB"/>
    <w:rsid w:val="00AB28A6"/>
    <w:rsid w:val="00AB2EE9"/>
    <w:rsid w:val="00AB33E5"/>
    <w:rsid w:val="00AB3894"/>
    <w:rsid w:val="00AB392A"/>
    <w:rsid w:val="00AB3B2E"/>
    <w:rsid w:val="00AB415D"/>
    <w:rsid w:val="00AB4382"/>
    <w:rsid w:val="00AB43EA"/>
    <w:rsid w:val="00AB4542"/>
    <w:rsid w:val="00AB4A93"/>
    <w:rsid w:val="00AB4DC4"/>
    <w:rsid w:val="00AB58CD"/>
    <w:rsid w:val="00AB59E3"/>
    <w:rsid w:val="00AB5B22"/>
    <w:rsid w:val="00AB5BCB"/>
    <w:rsid w:val="00AB5F46"/>
    <w:rsid w:val="00AB615A"/>
    <w:rsid w:val="00AB6388"/>
    <w:rsid w:val="00AB69E3"/>
    <w:rsid w:val="00AB6F2E"/>
    <w:rsid w:val="00AB732E"/>
    <w:rsid w:val="00AB78F5"/>
    <w:rsid w:val="00AB790D"/>
    <w:rsid w:val="00AB7C2A"/>
    <w:rsid w:val="00AB7E3E"/>
    <w:rsid w:val="00AC0163"/>
    <w:rsid w:val="00AC019B"/>
    <w:rsid w:val="00AC10CC"/>
    <w:rsid w:val="00AC1D1F"/>
    <w:rsid w:val="00AC1D63"/>
    <w:rsid w:val="00AC214F"/>
    <w:rsid w:val="00AC22EA"/>
    <w:rsid w:val="00AC2534"/>
    <w:rsid w:val="00AC2557"/>
    <w:rsid w:val="00AC2E11"/>
    <w:rsid w:val="00AC3418"/>
    <w:rsid w:val="00AC36C1"/>
    <w:rsid w:val="00AC415A"/>
    <w:rsid w:val="00AC46B4"/>
    <w:rsid w:val="00AC4B13"/>
    <w:rsid w:val="00AC4C6A"/>
    <w:rsid w:val="00AC4E5E"/>
    <w:rsid w:val="00AC5092"/>
    <w:rsid w:val="00AC57DC"/>
    <w:rsid w:val="00AC59BE"/>
    <w:rsid w:val="00AC5E52"/>
    <w:rsid w:val="00AC790E"/>
    <w:rsid w:val="00AD089F"/>
    <w:rsid w:val="00AD0A61"/>
    <w:rsid w:val="00AD0CC9"/>
    <w:rsid w:val="00AD0D9B"/>
    <w:rsid w:val="00AD1051"/>
    <w:rsid w:val="00AD1194"/>
    <w:rsid w:val="00AD164D"/>
    <w:rsid w:val="00AD25AE"/>
    <w:rsid w:val="00AD2B06"/>
    <w:rsid w:val="00AD2CEB"/>
    <w:rsid w:val="00AD33A5"/>
    <w:rsid w:val="00AD34DD"/>
    <w:rsid w:val="00AD38FF"/>
    <w:rsid w:val="00AD3F87"/>
    <w:rsid w:val="00AD4001"/>
    <w:rsid w:val="00AD462F"/>
    <w:rsid w:val="00AD4812"/>
    <w:rsid w:val="00AD57D3"/>
    <w:rsid w:val="00AD6061"/>
    <w:rsid w:val="00AD6587"/>
    <w:rsid w:val="00AD6614"/>
    <w:rsid w:val="00AD6EFB"/>
    <w:rsid w:val="00AD6FB1"/>
    <w:rsid w:val="00AE0EE0"/>
    <w:rsid w:val="00AE123A"/>
    <w:rsid w:val="00AE19F2"/>
    <w:rsid w:val="00AE1F2A"/>
    <w:rsid w:val="00AE22DA"/>
    <w:rsid w:val="00AE2517"/>
    <w:rsid w:val="00AE2B81"/>
    <w:rsid w:val="00AE2DA7"/>
    <w:rsid w:val="00AE2FEA"/>
    <w:rsid w:val="00AE35BC"/>
    <w:rsid w:val="00AE3ED8"/>
    <w:rsid w:val="00AE4529"/>
    <w:rsid w:val="00AE46B6"/>
    <w:rsid w:val="00AE4979"/>
    <w:rsid w:val="00AE4A44"/>
    <w:rsid w:val="00AE4ED7"/>
    <w:rsid w:val="00AE50B2"/>
    <w:rsid w:val="00AE56C5"/>
    <w:rsid w:val="00AE61D9"/>
    <w:rsid w:val="00AE62E4"/>
    <w:rsid w:val="00AE697C"/>
    <w:rsid w:val="00AE6EE6"/>
    <w:rsid w:val="00AF1335"/>
    <w:rsid w:val="00AF17EF"/>
    <w:rsid w:val="00AF19CB"/>
    <w:rsid w:val="00AF21D9"/>
    <w:rsid w:val="00AF2330"/>
    <w:rsid w:val="00AF2567"/>
    <w:rsid w:val="00AF2BCD"/>
    <w:rsid w:val="00AF2F4F"/>
    <w:rsid w:val="00AF35AF"/>
    <w:rsid w:val="00AF39BA"/>
    <w:rsid w:val="00AF3C8F"/>
    <w:rsid w:val="00AF3D40"/>
    <w:rsid w:val="00AF3DF4"/>
    <w:rsid w:val="00AF4732"/>
    <w:rsid w:val="00AF57EA"/>
    <w:rsid w:val="00AF68DA"/>
    <w:rsid w:val="00AF6DA8"/>
    <w:rsid w:val="00AF6DE0"/>
    <w:rsid w:val="00B006F4"/>
    <w:rsid w:val="00B009A9"/>
    <w:rsid w:val="00B00E32"/>
    <w:rsid w:val="00B00E7B"/>
    <w:rsid w:val="00B01012"/>
    <w:rsid w:val="00B019AB"/>
    <w:rsid w:val="00B02A2F"/>
    <w:rsid w:val="00B02C06"/>
    <w:rsid w:val="00B030C3"/>
    <w:rsid w:val="00B03685"/>
    <w:rsid w:val="00B03F37"/>
    <w:rsid w:val="00B0452C"/>
    <w:rsid w:val="00B04CC2"/>
    <w:rsid w:val="00B052F9"/>
    <w:rsid w:val="00B0681E"/>
    <w:rsid w:val="00B0681F"/>
    <w:rsid w:val="00B06D78"/>
    <w:rsid w:val="00B06DBC"/>
    <w:rsid w:val="00B06F4F"/>
    <w:rsid w:val="00B06FB8"/>
    <w:rsid w:val="00B072F9"/>
    <w:rsid w:val="00B07A93"/>
    <w:rsid w:val="00B10090"/>
    <w:rsid w:val="00B100EB"/>
    <w:rsid w:val="00B10CCA"/>
    <w:rsid w:val="00B1132A"/>
    <w:rsid w:val="00B113A8"/>
    <w:rsid w:val="00B117DC"/>
    <w:rsid w:val="00B119CB"/>
    <w:rsid w:val="00B11DC8"/>
    <w:rsid w:val="00B122EA"/>
    <w:rsid w:val="00B12527"/>
    <w:rsid w:val="00B125CB"/>
    <w:rsid w:val="00B126C1"/>
    <w:rsid w:val="00B12ABD"/>
    <w:rsid w:val="00B12C94"/>
    <w:rsid w:val="00B12EC7"/>
    <w:rsid w:val="00B1310C"/>
    <w:rsid w:val="00B1392E"/>
    <w:rsid w:val="00B13BDF"/>
    <w:rsid w:val="00B13CE2"/>
    <w:rsid w:val="00B142D4"/>
    <w:rsid w:val="00B149BA"/>
    <w:rsid w:val="00B14A55"/>
    <w:rsid w:val="00B14AA1"/>
    <w:rsid w:val="00B15064"/>
    <w:rsid w:val="00B1539B"/>
    <w:rsid w:val="00B1589A"/>
    <w:rsid w:val="00B1765F"/>
    <w:rsid w:val="00B17FB7"/>
    <w:rsid w:val="00B20271"/>
    <w:rsid w:val="00B20C24"/>
    <w:rsid w:val="00B213C1"/>
    <w:rsid w:val="00B2192A"/>
    <w:rsid w:val="00B228B3"/>
    <w:rsid w:val="00B22A79"/>
    <w:rsid w:val="00B22A82"/>
    <w:rsid w:val="00B2306E"/>
    <w:rsid w:val="00B23A1F"/>
    <w:rsid w:val="00B23F67"/>
    <w:rsid w:val="00B24757"/>
    <w:rsid w:val="00B247B0"/>
    <w:rsid w:val="00B24F16"/>
    <w:rsid w:val="00B258A8"/>
    <w:rsid w:val="00B2608D"/>
    <w:rsid w:val="00B267B9"/>
    <w:rsid w:val="00B270D0"/>
    <w:rsid w:val="00B27373"/>
    <w:rsid w:val="00B27B57"/>
    <w:rsid w:val="00B30035"/>
    <w:rsid w:val="00B30393"/>
    <w:rsid w:val="00B30474"/>
    <w:rsid w:val="00B309B8"/>
    <w:rsid w:val="00B30BD5"/>
    <w:rsid w:val="00B311D9"/>
    <w:rsid w:val="00B31630"/>
    <w:rsid w:val="00B3174B"/>
    <w:rsid w:val="00B31BAC"/>
    <w:rsid w:val="00B31E5F"/>
    <w:rsid w:val="00B320D0"/>
    <w:rsid w:val="00B321E1"/>
    <w:rsid w:val="00B32383"/>
    <w:rsid w:val="00B327CD"/>
    <w:rsid w:val="00B32816"/>
    <w:rsid w:val="00B32AFE"/>
    <w:rsid w:val="00B34448"/>
    <w:rsid w:val="00B34515"/>
    <w:rsid w:val="00B3454D"/>
    <w:rsid w:val="00B36359"/>
    <w:rsid w:val="00B363AD"/>
    <w:rsid w:val="00B363D4"/>
    <w:rsid w:val="00B36564"/>
    <w:rsid w:val="00B3682D"/>
    <w:rsid w:val="00B36E31"/>
    <w:rsid w:val="00B36EF4"/>
    <w:rsid w:val="00B3708F"/>
    <w:rsid w:val="00B372FC"/>
    <w:rsid w:val="00B376EC"/>
    <w:rsid w:val="00B37869"/>
    <w:rsid w:val="00B37C09"/>
    <w:rsid w:val="00B37E3C"/>
    <w:rsid w:val="00B40B33"/>
    <w:rsid w:val="00B40DD2"/>
    <w:rsid w:val="00B40DEE"/>
    <w:rsid w:val="00B410E5"/>
    <w:rsid w:val="00B41192"/>
    <w:rsid w:val="00B418AB"/>
    <w:rsid w:val="00B41C0E"/>
    <w:rsid w:val="00B41D95"/>
    <w:rsid w:val="00B41E31"/>
    <w:rsid w:val="00B4208B"/>
    <w:rsid w:val="00B42176"/>
    <w:rsid w:val="00B43033"/>
    <w:rsid w:val="00B43111"/>
    <w:rsid w:val="00B4388A"/>
    <w:rsid w:val="00B439A2"/>
    <w:rsid w:val="00B443DF"/>
    <w:rsid w:val="00B447A6"/>
    <w:rsid w:val="00B45570"/>
    <w:rsid w:val="00B45B5D"/>
    <w:rsid w:val="00B45DA6"/>
    <w:rsid w:val="00B45F95"/>
    <w:rsid w:val="00B4659D"/>
    <w:rsid w:val="00B46697"/>
    <w:rsid w:val="00B46FBC"/>
    <w:rsid w:val="00B475DA"/>
    <w:rsid w:val="00B50703"/>
    <w:rsid w:val="00B50A6F"/>
    <w:rsid w:val="00B50D08"/>
    <w:rsid w:val="00B51299"/>
    <w:rsid w:val="00B515FE"/>
    <w:rsid w:val="00B51767"/>
    <w:rsid w:val="00B51CDB"/>
    <w:rsid w:val="00B525AF"/>
    <w:rsid w:val="00B531B9"/>
    <w:rsid w:val="00B53746"/>
    <w:rsid w:val="00B53A01"/>
    <w:rsid w:val="00B54665"/>
    <w:rsid w:val="00B547A9"/>
    <w:rsid w:val="00B548AA"/>
    <w:rsid w:val="00B548B7"/>
    <w:rsid w:val="00B54A8E"/>
    <w:rsid w:val="00B56C62"/>
    <w:rsid w:val="00B579B9"/>
    <w:rsid w:val="00B60E4F"/>
    <w:rsid w:val="00B60EDB"/>
    <w:rsid w:val="00B61941"/>
    <w:rsid w:val="00B61A38"/>
    <w:rsid w:val="00B61A96"/>
    <w:rsid w:val="00B622AC"/>
    <w:rsid w:val="00B624DB"/>
    <w:rsid w:val="00B626A4"/>
    <w:rsid w:val="00B626C5"/>
    <w:rsid w:val="00B62B2D"/>
    <w:rsid w:val="00B63998"/>
    <w:rsid w:val="00B643AF"/>
    <w:rsid w:val="00B64483"/>
    <w:rsid w:val="00B66835"/>
    <w:rsid w:val="00B66A79"/>
    <w:rsid w:val="00B66DA3"/>
    <w:rsid w:val="00B66FED"/>
    <w:rsid w:val="00B67968"/>
    <w:rsid w:val="00B679AF"/>
    <w:rsid w:val="00B67F08"/>
    <w:rsid w:val="00B70987"/>
    <w:rsid w:val="00B7101F"/>
    <w:rsid w:val="00B715C3"/>
    <w:rsid w:val="00B7167A"/>
    <w:rsid w:val="00B71992"/>
    <w:rsid w:val="00B71F8A"/>
    <w:rsid w:val="00B723CF"/>
    <w:rsid w:val="00B72D21"/>
    <w:rsid w:val="00B736C3"/>
    <w:rsid w:val="00B738BF"/>
    <w:rsid w:val="00B7399A"/>
    <w:rsid w:val="00B73AD2"/>
    <w:rsid w:val="00B73CA8"/>
    <w:rsid w:val="00B73FE2"/>
    <w:rsid w:val="00B740F5"/>
    <w:rsid w:val="00B748F1"/>
    <w:rsid w:val="00B74A42"/>
    <w:rsid w:val="00B74AB6"/>
    <w:rsid w:val="00B74B5B"/>
    <w:rsid w:val="00B74EA0"/>
    <w:rsid w:val="00B75B26"/>
    <w:rsid w:val="00B75B56"/>
    <w:rsid w:val="00B75D96"/>
    <w:rsid w:val="00B75F8F"/>
    <w:rsid w:val="00B7653A"/>
    <w:rsid w:val="00B76A00"/>
    <w:rsid w:val="00B76AB0"/>
    <w:rsid w:val="00B77015"/>
    <w:rsid w:val="00B7796A"/>
    <w:rsid w:val="00B779C0"/>
    <w:rsid w:val="00B77D69"/>
    <w:rsid w:val="00B80873"/>
    <w:rsid w:val="00B808BB"/>
    <w:rsid w:val="00B80B1F"/>
    <w:rsid w:val="00B81504"/>
    <w:rsid w:val="00B819B3"/>
    <w:rsid w:val="00B81DC1"/>
    <w:rsid w:val="00B81E5D"/>
    <w:rsid w:val="00B82159"/>
    <w:rsid w:val="00B82504"/>
    <w:rsid w:val="00B8255B"/>
    <w:rsid w:val="00B82630"/>
    <w:rsid w:val="00B8296D"/>
    <w:rsid w:val="00B82988"/>
    <w:rsid w:val="00B83826"/>
    <w:rsid w:val="00B838DB"/>
    <w:rsid w:val="00B83BD3"/>
    <w:rsid w:val="00B83E1A"/>
    <w:rsid w:val="00B84631"/>
    <w:rsid w:val="00B8493F"/>
    <w:rsid w:val="00B84DA4"/>
    <w:rsid w:val="00B856F1"/>
    <w:rsid w:val="00B86088"/>
    <w:rsid w:val="00B86A3E"/>
    <w:rsid w:val="00B86C8B"/>
    <w:rsid w:val="00B87151"/>
    <w:rsid w:val="00B87633"/>
    <w:rsid w:val="00B878C0"/>
    <w:rsid w:val="00B87BD2"/>
    <w:rsid w:val="00B87D9C"/>
    <w:rsid w:val="00B89D63"/>
    <w:rsid w:val="00B90003"/>
    <w:rsid w:val="00B90986"/>
    <w:rsid w:val="00B90A0E"/>
    <w:rsid w:val="00B90FDE"/>
    <w:rsid w:val="00B9140F"/>
    <w:rsid w:val="00B91DA9"/>
    <w:rsid w:val="00B91DF7"/>
    <w:rsid w:val="00B91E49"/>
    <w:rsid w:val="00B92446"/>
    <w:rsid w:val="00B935FE"/>
    <w:rsid w:val="00B93645"/>
    <w:rsid w:val="00B93C4B"/>
    <w:rsid w:val="00B93C81"/>
    <w:rsid w:val="00B94696"/>
    <w:rsid w:val="00B94B05"/>
    <w:rsid w:val="00B94C25"/>
    <w:rsid w:val="00B94EC4"/>
    <w:rsid w:val="00B94F4B"/>
    <w:rsid w:val="00B95887"/>
    <w:rsid w:val="00B95B85"/>
    <w:rsid w:val="00B95DE6"/>
    <w:rsid w:val="00B96194"/>
    <w:rsid w:val="00B96515"/>
    <w:rsid w:val="00B9657A"/>
    <w:rsid w:val="00B9704A"/>
    <w:rsid w:val="00B97068"/>
    <w:rsid w:val="00B971B7"/>
    <w:rsid w:val="00B971F2"/>
    <w:rsid w:val="00B9772E"/>
    <w:rsid w:val="00B97AC7"/>
    <w:rsid w:val="00B97F61"/>
    <w:rsid w:val="00BA03F1"/>
    <w:rsid w:val="00BA05DD"/>
    <w:rsid w:val="00BA116F"/>
    <w:rsid w:val="00BA1963"/>
    <w:rsid w:val="00BA31DB"/>
    <w:rsid w:val="00BA38CF"/>
    <w:rsid w:val="00BA394F"/>
    <w:rsid w:val="00BA3DD5"/>
    <w:rsid w:val="00BA3F1E"/>
    <w:rsid w:val="00BA432E"/>
    <w:rsid w:val="00BA4456"/>
    <w:rsid w:val="00BA51F2"/>
    <w:rsid w:val="00BA61B9"/>
    <w:rsid w:val="00BA671D"/>
    <w:rsid w:val="00BA67A1"/>
    <w:rsid w:val="00BA67D0"/>
    <w:rsid w:val="00BA7005"/>
    <w:rsid w:val="00BA78C5"/>
    <w:rsid w:val="00BA7CB3"/>
    <w:rsid w:val="00BA7FD8"/>
    <w:rsid w:val="00BB060C"/>
    <w:rsid w:val="00BB0827"/>
    <w:rsid w:val="00BB1251"/>
    <w:rsid w:val="00BB173D"/>
    <w:rsid w:val="00BB261D"/>
    <w:rsid w:val="00BB26BE"/>
    <w:rsid w:val="00BB27BC"/>
    <w:rsid w:val="00BB2B63"/>
    <w:rsid w:val="00BB2C48"/>
    <w:rsid w:val="00BB2E7F"/>
    <w:rsid w:val="00BB3651"/>
    <w:rsid w:val="00BB3D38"/>
    <w:rsid w:val="00BB466D"/>
    <w:rsid w:val="00BB4F32"/>
    <w:rsid w:val="00BB4F69"/>
    <w:rsid w:val="00BB5456"/>
    <w:rsid w:val="00BB5D9C"/>
    <w:rsid w:val="00BB5F6E"/>
    <w:rsid w:val="00BB60F7"/>
    <w:rsid w:val="00BB61BF"/>
    <w:rsid w:val="00BB6518"/>
    <w:rsid w:val="00BB6678"/>
    <w:rsid w:val="00BB6A57"/>
    <w:rsid w:val="00BB7298"/>
    <w:rsid w:val="00BB7479"/>
    <w:rsid w:val="00BB7839"/>
    <w:rsid w:val="00BB78F7"/>
    <w:rsid w:val="00BB79F1"/>
    <w:rsid w:val="00BB7C81"/>
    <w:rsid w:val="00BC09A6"/>
    <w:rsid w:val="00BC1186"/>
    <w:rsid w:val="00BC3ED9"/>
    <w:rsid w:val="00BC4687"/>
    <w:rsid w:val="00BC47F3"/>
    <w:rsid w:val="00BC513B"/>
    <w:rsid w:val="00BC568F"/>
    <w:rsid w:val="00BC5E15"/>
    <w:rsid w:val="00BC624E"/>
    <w:rsid w:val="00BC6CC0"/>
    <w:rsid w:val="00BC6E6F"/>
    <w:rsid w:val="00BC7581"/>
    <w:rsid w:val="00BC75B7"/>
    <w:rsid w:val="00BC75D6"/>
    <w:rsid w:val="00BC79A6"/>
    <w:rsid w:val="00BC7B64"/>
    <w:rsid w:val="00BC7B7F"/>
    <w:rsid w:val="00BC7D61"/>
    <w:rsid w:val="00BD08CC"/>
    <w:rsid w:val="00BD1958"/>
    <w:rsid w:val="00BD1E1E"/>
    <w:rsid w:val="00BD2292"/>
    <w:rsid w:val="00BD26D2"/>
    <w:rsid w:val="00BD2AC0"/>
    <w:rsid w:val="00BD2C8A"/>
    <w:rsid w:val="00BD31FC"/>
    <w:rsid w:val="00BD3A97"/>
    <w:rsid w:val="00BD3F5D"/>
    <w:rsid w:val="00BD41E5"/>
    <w:rsid w:val="00BD4473"/>
    <w:rsid w:val="00BD493B"/>
    <w:rsid w:val="00BD4AED"/>
    <w:rsid w:val="00BD5026"/>
    <w:rsid w:val="00BD570F"/>
    <w:rsid w:val="00BD5C9C"/>
    <w:rsid w:val="00BD66CC"/>
    <w:rsid w:val="00BD6BFE"/>
    <w:rsid w:val="00BD7619"/>
    <w:rsid w:val="00BE044C"/>
    <w:rsid w:val="00BE0680"/>
    <w:rsid w:val="00BE097A"/>
    <w:rsid w:val="00BE15CC"/>
    <w:rsid w:val="00BE15D2"/>
    <w:rsid w:val="00BE16BE"/>
    <w:rsid w:val="00BE18D6"/>
    <w:rsid w:val="00BE19DD"/>
    <w:rsid w:val="00BE1F18"/>
    <w:rsid w:val="00BE20AB"/>
    <w:rsid w:val="00BE2484"/>
    <w:rsid w:val="00BE2928"/>
    <w:rsid w:val="00BE2D1C"/>
    <w:rsid w:val="00BE39F9"/>
    <w:rsid w:val="00BE589C"/>
    <w:rsid w:val="00BE5BD4"/>
    <w:rsid w:val="00BE5C70"/>
    <w:rsid w:val="00BE5DA1"/>
    <w:rsid w:val="00BE639F"/>
    <w:rsid w:val="00BE6623"/>
    <w:rsid w:val="00BE66BC"/>
    <w:rsid w:val="00BE6A4A"/>
    <w:rsid w:val="00BE7067"/>
    <w:rsid w:val="00BE7151"/>
    <w:rsid w:val="00BE77C6"/>
    <w:rsid w:val="00BE79AD"/>
    <w:rsid w:val="00BE7EA3"/>
    <w:rsid w:val="00BF00B6"/>
    <w:rsid w:val="00BF0241"/>
    <w:rsid w:val="00BF0286"/>
    <w:rsid w:val="00BF08F0"/>
    <w:rsid w:val="00BF0EA8"/>
    <w:rsid w:val="00BF142F"/>
    <w:rsid w:val="00BF193F"/>
    <w:rsid w:val="00BF1AB3"/>
    <w:rsid w:val="00BF1F24"/>
    <w:rsid w:val="00BF2044"/>
    <w:rsid w:val="00BF2350"/>
    <w:rsid w:val="00BF23BB"/>
    <w:rsid w:val="00BF2468"/>
    <w:rsid w:val="00BF2C8A"/>
    <w:rsid w:val="00BF2DAC"/>
    <w:rsid w:val="00BF2EF3"/>
    <w:rsid w:val="00BF32A4"/>
    <w:rsid w:val="00BF3CD8"/>
    <w:rsid w:val="00BF4677"/>
    <w:rsid w:val="00BF4782"/>
    <w:rsid w:val="00BF4BC5"/>
    <w:rsid w:val="00BF5D0F"/>
    <w:rsid w:val="00BF6386"/>
    <w:rsid w:val="00BF63DB"/>
    <w:rsid w:val="00BF6630"/>
    <w:rsid w:val="00BF67FA"/>
    <w:rsid w:val="00BF7FB1"/>
    <w:rsid w:val="00BFCBA7"/>
    <w:rsid w:val="00C00458"/>
    <w:rsid w:val="00C00475"/>
    <w:rsid w:val="00C006F3"/>
    <w:rsid w:val="00C00753"/>
    <w:rsid w:val="00C0106B"/>
    <w:rsid w:val="00C01543"/>
    <w:rsid w:val="00C02113"/>
    <w:rsid w:val="00C0294C"/>
    <w:rsid w:val="00C02A00"/>
    <w:rsid w:val="00C02AB8"/>
    <w:rsid w:val="00C0317B"/>
    <w:rsid w:val="00C0395C"/>
    <w:rsid w:val="00C03AB0"/>
    <w:rsid w:val="00C03BB8"/>
    <w:rsid w:val="00C04275"/>
    <w:rsid w:val="00C04679"/>
    <w:rsid w:val="00C0492C"/>
    <w:rsid w:val="00C050B1"/>
    <w:rsid w:val="00C050B7"/>
    <w:rsid w:val="00C05116"/>
    <w:rsid w:val="00C05DE1"/>
    <w:rsid w:val="00C05E50"/>
    <w:rsid w:val="00C0661E"/>
    <w:rsid w:val="00C0683A"/>
    <w:rsid w:val="00C06CB8"/>
    <w:rsid w:val="00C0706C"/>
    <w:rsid w:val="00C070F6"/>
    <w:rsid w:val="00C07422"/>
    <w:rsid w:val="00C07941"/>
    <w:rsid w:val="00C07A3F"/>
    <w:rsid w:val="00C07B1A"/>
    <w:rsid w:val="00C10278"/>
    <w:rsid w:val="00C105EF"/>
    <w:rsid w:val="00C10B15"/>
    <w:rsid w:val="00C11675"/>
    <w:rsid w:val="00C11849"/>
    <w:rsid w:val="00C12420"/>
    <w:rsid w:val="00C12CDE"/>
    <w:rsid w:val="00C12E9B"/>
    <w:rsid w:val="00C13046"/>
    <w:rsid w:val="00C13756"/>
    <w:rsid w:val="00C13B72"/>
    <w:rsid w:val="00C13E4A"/>
    <w:rsid w:val="00C13F6D"/>
    <w:rsid w:val="00C14394"/>
    <w:rsid w:val="00C14910"/>
    <w:rsid w:val="00C14D1A"/>
    <w:rsid w:val="00C14D79"/>
    <w:rsid w:val="00C14DCB"/>
    <w:rsid w:val="00C151B9"/>
    <w:rsid w:val="00C151C7"/>
    <w:rsid w:val="00C152BC"/>
    <w:rsid w:val="00C157F4"/>
    <w:rsid w:val="00C1616B"/>
    <w:rsid w:val="00C167A6"/>
    <w:rsid w:val="00C167C6"/>
    <w:rsid w:val="00C16AB9"/>
    <w:rsid w:val="00C16BDC"/>
    <w:rsid w:val="00C16EDC"/>
    <w:rsid w:val="00C17789"/>
    <w:rsid w:val="00C20C27"/>
    <w:rsid w:val="00C21128"/>
    <w:rsid w:val="00C21971"/>
    <w:rsid w:val="00C21C5C"/>
    <w:rsid w:val="00C21C7D"/>
    <w:rsid w:val="00C21DAA"/>
    <w:rsid w:val="00C21FE1"/>
    <w:rsid w:val="00C2211F"/>
    <w:rsid w:val="00C22433"/>
    <w:rsid w:val="00C224F9"/>
    <w:rsid w:val="00C2289E"/>
    <w:rsid w:val="00C231B4"/>
    <w:rsid w:val="00C23B1E"/>
    <w:rsid w:val="00C24143"/>
    <w:rsid w:val="00C25F56"/>
    <w:rsid w:val="00C262FE"/>
    <w:rsid w:val="00C26421"/>
    <w:rsid w:val="00C26461"/>
    <w:rsid w:val="00C26823"/>
    <w:rsid w:val="00C26DC1"/>
    <w:rsid w:val="00C271B5"/>
    <w:rsid w:val="00C275B2"/>
    <w:rsid w:val="00C30244"/>
    <w:rsid w:val="00C303F8"/>
    <w:rsid w:val="00C30478"/>
    <w:rsid w:val="00C304C0"/>
    <w:rsid w:val="00C30632"/>
    <w:rsid w:val="00C30B7D"/>
    <w:rsid w:val="00C30B8F"/>
    <w:rsid w:val="00C31224"/>
    <w:rsid w:val="00C31438"/>
    <w:rsid w:val="00C31530"/>
    <w:rsid w:val="00C31966"/>
    <w:rsid w:val="00C3199D"/>
    <w:rsid w:val="00C31AC6"/>
    <w:rsid w:val="00C31C50"/>
    <w:rsid w:val="00C32CAB"/>
    <w:rsid w:val="00C33451"/>
    <w:rsid w:val="00C3383C"/>
    <w:rsid w:val="00C33B99"/>
    <w:rsid w:val="00C33BF7"/>
    <w:rsid w:val="00C33EEE"/>
    <w:rsid w:val="00C342D5"/>
    <w:rsid w:val="00C3442E"/>
    <w:rsid w:val="00C35341"/>
    <w:rsid w:val="00C3630F"/>
    <w:rsid w:val="00C3646E"/>
    <w:rsid w:val="00C37445"/>
    <w:rsid w:val="00C37505"/>
    <w:rsid w:val="00C379AB"/>
    <w:rsid w:val="00C37A2B"/>
    <w:rsid w:val="00C37E93"/>
    <w:rsid w:val="00C37F21"/>
    <w:rsid w:val="00C4019F"/>
    <w:rsid w:val="00C40BDD"/>
    <w:rsid w:val="00C40DEE"/>
    <w:rsid w:val="00C41996"/>
    <w:rsid w:val="00C41A4F"/>
    <w:rsid w:val="00C423EA"/>
    <w:rsid w:val="00C426AD"/>
    <w:rsid w:val="00C42BB0"/>
    <w:rsid w:val="00C42F2E"/>
    <w:rsid w:val="00C43974"/>
    <w:rsid w:val="00C43BBC"/>
    <w:rsid w:val="00C4413E"/>
    <w:rsid w:val="00C44656"/>
    <w:rsid w:val="00C44A15"/>
    <w:rsid w:val="00C44BDC"/>
    <w:rsid w:val="00C44D6E"/>
    <w:rsid w:val="00C44E63"/>
    <w:rsid w:val="00C45250"/>
    <w:rsid w:val="00C4546C"/>
    <w:rsid w:val="00C4578B"/>
    <w:rsid w:val="00C45C01"/>
    <w:rsid w:val="00C45DB2"/>
    <w:rsid w:val="00C464CD"/>
    <w:rsid w:val="00C46D43"/>
    <w:rsid w:val="00C47E60"/>
    <w:rsid w:val="00C47F45"/>
    <w:rsid w:val="00C504A9"/>
    <w:rsid w:val="00C507C8"/>
    <w:rsid w:val="00C50CFB"/>
    <w:rsid w:val="00C5138D"/>
    <w:rsid w:val="00C513AB"/>
    <w:rsid w:val="00C514DA"/>
    <w:rsid w:val="00C5154D"/>
    <w:rsid w:val="00C519DD"/>
    <w:rsid w:val="00C51B58"/>
    <w:rsid w:val="00C51F33"/>
    <w:rsid w:val="00C523E9"/>
    <w:rsid w:val="00C530C6"/>
    <w:rsid w:val="00C532DB"/>
    <w:rsid w:val="00C532DE"/>
    <w:rsid w:val="00C539AE"/>
    <w:rsid w:val="00C53E72"/>
    <w:rsid w:val="00C54038"/>
    <w:rsid w:val="00C54B47"/>
    <w:rsid w:val="00C55059"/>
    <w:rsid w:val="00C5526C"/>
    <w:rsid w:val="00C55E5A"/>
    <w:rsid w:val="00C55EB3"/>
    <w:rsid w:val="00C55F01"/>
    <w:rsid w:val="00C56148"/>
    <w:rsid w:val="00C56C49"/>
    <w:rsid w:val="00C56E14"/>
    <w:rsid w:val="00C56EF0"/>
    <w:rsid w:val="00C5729C"/>
    <w:rsid w:val="00C574EE"/>
    <w:rsid w:val="00C5758C"/>
    <w:rsid w:val="00C57688"/>
    <w:rsid w:val="00C57A43"/>
    <w:rsid w:val="00C57B0A"/>
    <w:rsid w:val="00C57D89"/>
    <w:rsid w:val="00C57EE8"/>
    <w:rsid w:val="00C60DF1"/>
    <w:rsid w:val="00C61171"/>
    <w:rsid w:val="00C61909"/>
    <w:rsid w:val="00C62010"/>
    <w:rsid w:val="00C6282A"/>
    <w:rsid w:val="00C62D9D"/>
    <w:rsid w:val="00C63186"/>
    <w:rsid w:val="00C63FC1"/>
    <w:rsid w:val="00C647FF"/>
    <w:rsid w:val="00C64A4C"/>
    <w:rsid w:val="00C64CFE"/>
    <w:rsid w:val="00C651ED"/>
    <w:rsid w:val="00C65A17"/>
    <w:rsid w:val="00C65FFB"/>
    <w:rsid w:val="00C662C3"/>
    <w:rsid w:val="00C66315"/>
    <w:rsid w:val="00C663FF"/>
    <w:rsid w:val="00C66CAB"/>
    <w:rsid w:val="00C67562"/>
    <w:rsid w:val="00C675C1"/>
    <w:rsid w:val="00C678EE"/>
    <w:rsid w:val="00C678F1"/>
    <w:rsid w:val="00C6794D"/>
    <w:rsid w:val="00C67CF1"/>
    <w:rsid w:val="00C70156"/>
    <w:rsid w:val="00C70363"/>
    <w:rsid w:val="00C70745"/>
    <w:rsid w:val="00C71123"/>
    <w:rsid w:val="00C7127E"/>
    <w:rsid w:val="00C72662"/>
    <w:rsid w:val="00C735BA"/>
    <w:rsid w:val="00C736E3"/>
    <w:rsid w:val="00C73E3C"/>
    <w:rsid w:val="00C74095"/>
    <w:rsid w:val="00C74410"/>
    <w:rsid w:val="00C74591"/>
    <w:rsid w:val="00C7499C"/>
    <w:rsid w:val="00C74C9C"/>
    <w:rsid w:val="00C74D81"/>
    <w:rsid w:val="00C753B5"/>
    <w:rsid w:val="00C757F4"/>
    <w:rsid w:val="00C75B85"/>
    <w:rsid w:val="00C76110"/>
    <w:rsid w:val="00C76149"/>
    <w:rsid w:val="00C76178"/>
    <w:rsid w:val="00C765F4"/>
    <w:rsid w:val="00C76BB8"/>
    <w:rsid w:val="00C776E5"/>
    <w:rsid w:val="00C7798B"/>
    <w:rsid w:val="00C77F1D"/>
    <w:rsid w:val="00C8027A"/>
    <w:rsid w:val="00C80378"/>
    <w:rsid w:val="00C80F5A"/>
    <w:rsid w:val="00C81518"/>
    <w:rsid w:val="00C816D6"/>
    <w:rsid w:val="00C81B52"/>
    <w:rsid w:val="00C81D64"/>
    <w:rsid w:val="00C82807"/>
    <w:rsid w:val="00C82BE7"/>
    <w:rsid w:val="00C832FD"/>
    <w:rsid w:val="00C8336E"/>
    <w:rsid w:val="00C8348A"/>
    <w:rsid w:val="00C83A4D"/>
    <w:rsid w:val="00C83E4A"/>
    <w:rsid w:val="00C8438C"/>
    <w:rsid w:val="00C844E4"/>
    <w:rsid w:val="00C85D8D"/>
    <w:rsid w:val="00C85FA9"/>
    <w:rsid w:val="00C86284"/>
    <w:rsid w:val="00C86752"/>
    <w:rsid w:val="00C867B8"/>
    <w:rsid w:val="00C867E5"/>
    <w:rsid w:val="00C869A6"/>
    <w:rsid w:val="00C86CE8"/>
    <w:rsid w:val="00C86D2E"/>
    <w:rsid w:val="00C86E62"/>
    <w:rsid w:val="00C8794F"/>
    <w:rsid w:val="00C90A59"/>
    <w:rsid w:val="00C90A98"/>
    <w:rsid w:val="00C90DAD"/>
    <w:rsid w:val="00C915D5"/>
    <w:rsid w:val="00C916D1"/>
    <w:rsid w:val="00C9192C"/>
    <w:rsid w:val="00C91D54"/>
    <w:rsid w:val="00C920F3"/>
    <w:rsid w:val="00C93773"/>
    <w:rsid w:val="00C93C54"/>
    <w:rsid w:val="00C94E57"/>
    <w:rsid w:val="00C95747"/>
    <w:rsid w:val="00C9581C"/>
    <w:rsid w:val="00C9607A"/>
    <w:rsid w:val="00C96137"/>
    <w:rsid w:val="00C9625C"/>
    <w:rsid w:val="00C963F3"/>
    <w:rsid w:val="00C96644"/>
    <w:rsid w:val="00C96FE1"/>
    <w:rsid w:val="00C9752F"/>
    <w:rsid w:val="00C976B6"/>
    <w:rsid w:val="00C97D88"/>
    <w:rsid w:val="00C97FB3"/>
    <w:rsid w:val="00CA0BCA"/>
    <w:rsid w:val="00CA1226"/>
    <w:rsid w:val="00CA1341"/>
    <w:rsid w:val="00CA1BA3"/>
    <w:rsid w:val="00CA265B"/>
    <w:rsid w:val="00CA38E6"/>
    <w:rsid w:val="00CA3ECA"/>
    <w:rsid w:val="00CA3FE1"/>
    <w:rsid w:val="00CA4399"/>
    <w:rsid w:val="00CA4443"/>
    <w:rsid w:val="00CA4662"/>
    <w:rsid w:val="00CA48A5"/>
    <w:rsid w:val="00CA4AC9"/>
    <w:rsid w:val="00CA4CE4"/>
    <w:rsid w:val="00CA5297"/>
    <w:rsid w:val="00CA53C8"/>
    <w:rsid w:val="00CA56E1"/>
    <w:rsid w:val="00CA5835"/>
    <w:rsid w:val="00CA5AD0"/>
    <w:rsid w:val="00CA5E87"/>
    <w:rsid w:val="00CA5EF7"/>
    <w:rsid w:val="00CA5F19"/>
    <w:rsid w:val="00CA625C"/>
    <w:rsid w:val="00CA665F"/>
    <w:rsid w:val="00CA6BE5"/>
    <w:rsid w:val="00CA6CD2"/>
    <w:rsid w:val="00CA7027"/>
    <w:rsid w:val="00CA76E0"/>
    <w:rsid w:val="00CA791D"/>
    <w:rsid w:val="00CA7FB9"/>
    <w:rsid w:val="00CB0443"/>
    <w:rsid w:val="00CB066B"/>
    <w:rsid w:val="00CB098B"/>
    <w:rsid w:val="00CB0B47"/>
    <w:rsid w:val="00CB0BE5"/>
    <w:rsid w:val="00CB0C83"/>
    <w:rsid w:val="00CB1A2E"/>
    <w:rsid w:val="00CB212C"/>
    <w:rsid w:val="00CB23D2"/>
    <w:rsid w:val="00CB257A"/>
    <w:rsid w:val="00CB2BA3"/>
    <w:rsid w:val="00CB2E42"/>
    <w:rsid w:val="00CB2EC2"/>
    <w:rsid w:val="00CB3012"/>
    <w:rsid w:val="00CB33E2"/>
    <w:rsid w:val="00CB43BC"/>
    <w:rsid w:val="00CB5081"/>
    <w:rsid w:val="00CB515B"/>
    <w:rsid w:val="00CB525B"/>
    <w:rsid w:val="00CB581A"/>
    <w:rsid w:val="00CB6595"/>
    <w:rsid w:val="00CB6C9D"/>
    <w:rsid w:val="00CB6DDA"/>
    <w:rsid w:val="00CB75AA"/>
    <w:rsid w:val="00CB7C23"/>
    <w:rsid w:val="00CB7EA9"/>
    <w:rsid w:val="00CC05EB"/>
    <w:rsid w:val="00CC08EB"/>
    <w:rsid w:val="00CC1438"/>
    <w:rsid w:val="00CC2481"/>
    <w:rsid w:val="00CC2777"/>
    <w:rsid w:val="00CC28B7"/>
    <w:rsid w:val="00CC3B76"/>
    <w:rsid w:val="00CC401B"/>
    <w:rsid w:val="00CC44E1"/>
    <w:rsid w:val="00CC4CFE"/>
    <w:rsid w:val="00CC50DD"/>
    <w:rsid w:val="00CC52F1"/>
    <w:rsid w:val="00CC53E3"/>
    <w:rsid w:val="00CC5BC0"/>
    <w:rsid w:val="00CC66D0"/>
    <w:rsid w:val="00CC6987"/>
    <w:rsid w:val="00CD08F6"/>
    <w:rsid w:val="00CD1BCA"/>
    <w:rsid w:val="00CD20A0"/>
    <w:rsid w:val="00CD2182"/>
    <w:rsid w:val="00CD25BE"/>
    <w:rsid w:val="00CD2E04"/>
    <w:rsid w:val="00CD2F93"/>
    <w:rsid w:val="00CD315B"/>
    <w:rsid w:val="00CD363F"/>
    <w:rsid w:val="00CD38DD"/>
    <w:rsid w:val="00CD3A30"/>
    <w:rsid w:val="00CD4387"/>
    <w:rsid w:val="00CD472F"/>
    <w:rsid w:val="00CD4895"/>
    <w:rsid w:val="00CD53ED"/>
    <w:rsid w:val="00CD572B"/>
    <w:rsid w:val="00CD5A2E"/>
    <w:rsid w:val="00CD5A85"/>
    <w:rsid w:val="00CD6125"/>
    <w:rsid w:val="00CD6852"/>
    <w:rsid w:val="00CD6AE2"/>
    <w:rsid w:val="00CD7135"/>
    <w:rsid w:val="00CD71B9"/>
    <w:rsid w:val="00CD7422"/>
    <w:rsid w:val="00CD7CF1"/>
    <w:rsid w:val="00CE019E"/>
    <w:rsid w:val="00CE0407"/>
    <w:rsid w:val="00CE0839"/>
    <w:rsid w:val="00CE1124"/>
    <w:rsid w:val="00CE1BA2"/>
    <w:rsid w:val="00CE1E92"/>
    <w:rsid w:val="00CE2414"/>
    <w:rsid w:val="00CE2C7A"/>
    <w:rsid w:val="00CE2EEA"/>
    <w:rsid w:val="00CE3782"/>
    <w:rsid w:val="00CE39A1"/>
    <w:rsid w:val="00CE3CE9"/>
    <w:rsid w:val="00CE4DFD"/>
    <w:rsid w:val="00CE4F55"/>
    <w:rsid w:val="00CE56D5"/>
    <w:rsid w:val="00CE5888"/>
    <w:rsid w:val="00CE5AFE"/>
    <w:rsid w:val="00CE630C"/>
    <w:rsid w:val="00CE6C57"/>
    <w:rsid w:val="00CE73C8"/>
    <w:rsid w:val="00CE73CC"/>
    <w:rsid w:val="00CF06C1"/>
    <w:rsid w:val="00CF0AB3"/>
    <w:rsid w:val="00CF111A"/>
    <w:rsid w:val="00CF1B3C"/>
    <w:rsid w:val="00CF26F7"/>
    <w:rsid w:val="00CF2967"/>
    <w:rsid w:val="00CF385A"/>
    <w:rsid w:val="00CF3956"/>
    <w:rsid w:val="00CF3981"/>
    <w:rsid w:val="00CF4176"/>
    <w:rsid w:val="00CF471C"/>
    <w:rsid w:val="00CF4F29"/>
    <w:rsid w:val="00CF54C4"/>
    <w:rsid w:val="00CF5FE0"/>
    <w:rsid w:val="00CF6970"/>
    <w:rsid w:val="00CF6AF1"/>
    <w:rsid w:val="00CF7756"/>
    <w:rsid w:val="00CF7997"/>
    <w:rsid w:val="00CFA6FA"/>
    <w:rsid w:val="00CFEDBA"/>
    <w:rsid w:val="00D00055"/>
    <w:rsid w:val="00D0031E"/>
    <w:rsid w:val="00D0033F"/>
    <w:rsid w:val="00D00458"/>
    <w:rsid w:val="00D00A49"/>
    <w:rsid w:val="00D00A52"/>
    <w:rsid w:val="00D015C0"/>
    <w:rsid w:val="00D01F73"/>
    <w:rsid w:val="00D02922"/>
    <w:rsid w:val="00D02B76"/>
    <w:rsid w:val="00D02CEE"/>
    <w:rsid w:val="00D032B9"/>
    <w:rsid w:val="00D041B8"/>
    <w:rsid w:val="00D044BD"/>
    <w:rsid w:val="00D04AC4"/>
    <w:rsid w:val="00D04E78"/>
    <w:rsid w:val="00D06208"/>
    <w:rsid w:val="00D06947"/>
    <w:rsid w:val="00D0716D"/>
    <w:rsid w:val="00D078B6"/>
    <w:rsid w:val="00D10511"/>
    <w:rsid w:val="00D11003"/>
    <w:rsid w:val="00D111F0"/>
    <w:rsid w:val="00D1123D"/>
    <w:rsid w:val="00D114DF"/>
    <w:rsid w:val="00D11859"/>
    <w:rsid w:val="00D11A56"/>
    <w:rsid w:val="00D11D0F"/>
    <w:rsid w:val="00D11E3A"/>
    <w:rsid w:val="00D12190"/>
    <w:rsid w:val="00D12E73"/>
    <w:rsid w:val="00D130D2"/>
    <w:rsid w:val="00D1344D"/>
    <w:rsid w:val="00D13698"/>
    <w:rsid w:val="00D13C06"/>
    <w:rsid w:val="00D13DE0"/>
    <w:rsid w:val="00D13E8B"/>
    <w:rsid w:val="00D1448B"/>
    <w:rsid w:val="00D14572"/>
    <w:rsid w:val="00D14722"/>
    <w:rsid w:val="00D14A6B"/>
    <w:rsid w:val="00D1528E"/>
    <w:rsid w:val="00D1569B"/>
    <w:rsid w:val="00D167C8"/>
    <w:rsid w:val="00D1685A"/>
    <w:rsid w:val="00D172F6"/>
    <w:rsid w:val="00D176DC"/>
    <w:rsid w:val="00D17868"/>
    <w:rsid w:val="00D17E61"/>
    <w:rsid w:val="00D202F8"/>
    <w:rsid w:val="00D20FB2"/>
    <w:rsid w:val="00D21732"/>
    <w:rsid w:val="00D21828"/>
    <w:rsid w:val="00D21AD3"/>
    <w:rsid w:val="00D21CBD"/>
    <w:rsid w:val="00D220FE"/>
    <w:rsid w:val="00D22217"/>
    <w:rsid w:val="00D22584"/>
    <w:rsid w:val="00D2277F"/>
    <w:rsid w:val="00D2324C"/>
    <w:rsid w:val="00D236D4"/>
    <w:rsid w:val="00D2395F"/>
    <w:rsid w:val="00D24798"/>
    <w:rsid w:val="00D2487A"/>
    <w:rsid w:val="00D24A22"/>
    <w:rsid w:val="00D24A7E"/>
    <w:rsid w:val="00D24DD1"/>
    <w:rsid w:val="00D24F67"/>
    <w:rsid w:val="00D2558D"/>
    <w:rsid w:val="00D25F5A"/>
    <w:rsid w:val="00D262B5"/>
    <w:rsid w:val="00D265FC"/>
    <w:rsid w:val="00D268CA"/>
    <w:rsid w:val="00D26BF7"/>
    <w:rsid w:val="00D270CF"/>
    <w:rsid w:val="00D272D3"/>
    <w:rsid w:val="00D27706"/>
    <w:rsid w:val="00D27E8E"/>
    <w:rsid w:val="00D3016D"/>
    <w:rsid w:val="00D305E6"/>
    <w:rsid w:val="00D30EDD"/>
    <w:rsid w:val="00D30EE5"/>
    <w:rsid w:val="00D315AF"/>
    <w:rsid w:val="00D31743"/>
    <w:rsid w:val="00D31B27"/>
    <w:rsid w:val="00D31CC2"/>
    <w:rsid w:val="00D31F13"/>
    <w:rsid w:val="00D31F29"/>
    <w:rsid w:val="00D32D12"/>
    <w:rsid w:val="00D32D23"/>
    <w:rsid w:val="00D32D8C"/>
    <w:rsid w:val="00D32DF6"/>
    <w:rsid w:val="00D33464"/>
    <w:rsid w:val="00D3398A"/>
    <w:rsid w:val="00D34216"/>
    <w:rsid w:val="00D34480"/>
    <w:rsid w:val="00D34DD3"/>
    <w:rsid w:val="00D34F1A"/>
    <w:rsid w:val="00D35790"/>
    <w:rsid w:val="00D3581A"/>
    <w:rsid w:val="00D35CB7"/>
    <w:rsid w:val="00D35FE8"/>
    <w:rsid w:val="00D36825"/>
    <w:rsid w:val="00D368FF"/>
    <w:rsid w:val="00D369BC"/>
    <w:rsid w:val="00D36D0F"/>
    <w:rsid w:val="00D36D10"/>
    <w:rsid w:val="00D36EBB"/>
    <w:rsid w:val="00D3708F"/>
    <w:rsid w:val="00D373AB"/>
    <w:rsid w:val="00D37FAC"/>
    <w:rsid w:val="00D40ACE"/>
    <w:rsid w:val="00D41155"/>
    <w:rsid w:val="00D414AF"/>
    <w:rsid w:val="00D41522"/>
    <w:rsid w:val="00D4196F"/>
    <w:rsid w:val="00D41F76"/>
    <w:rsid w:val="00D42CC8"/>
    <w:rsid w:val="00D430B3"/>
    <w:rsid w:val="00D43428"/>
    <w:rsid w:val="00D4364F"/>
    <w:rsid w:val="00D43824"/>
    <w:rsid w:val="00D4458B"/>
    <w:rsid w:val="00D4465F"/>
    <w:rsid w:val="00D44D9C"/>
    <w:rsid w:val="00D45675"/>
    <w:rsid w:val="00D469C2"/>
    <w:rsid w:val="00D46A5E"/>
    <w:rsid w:val="00D46BB0"/>
    <w:rsid w:val="00D46D65"/>
    <w:rsid w:val="00D46DE7"/>
    <w:rsid w:val="00D473A8"/>
    <w:rsid w:val="00D500AF"/>
    <w:rsid w:val="00D50C6C"/>
    <w:rsid w:val="00D50DF8"/>
    <w:rsid w:val="00D510A1"/>
    <w:rsid w:val="00D51374"/>
    <w:rsid w:val="00D51564"/>
    <w:rsid w:val="00D5168B"/>
    <w:rsid w:val="00D516CC"/>
    <w:rsid w:val="00D51B66"/>
    <w:rsid w:val="00D51DF4"/>
    <w:rsid w:val="00D529E0"/>
    <w:rsid w:val="00D52CBB"/>
    <w:rsid w:val="00D5345C"/>
    <w:rsid w:val="00D5359B"/>
    <w:rsid w:val="00D539FC"/>
    <w:rsid w:val="00D5408C"/>
    <w:rsid w:val="00D54CAF"/>
    <w:rsid w:val="00D5595D"/>
    <w:rsid w:val="00D55BFE"/>
    <w:rsid w:val="00D55FA7"/>
    <w:rsid w:val="00D563DE"/>
    <w:rsid w:val="00D56BF2"/>
    <w:rsid w:val="00D57567"/>
    <w:rsid w:val="00D57D3D"/>
    <w:rsid w:val="00D6007B"/>
    <w:rsid w:val="00D602C4"/>
    <w:rsid w:val="00D6091E"/>
    <w:rsid w:val="00D60ADD"/>
    <w:rsid w:val="00D61617"/>
    <w:rsid w:val="00D61740"/>
    <w:rsid w:val="00D619C9"/>
    <w:rsid w:val="00D61C77"/>
    <w:rsid w:val="00D61D0C"/>
    <w:rsid w:val="00D620D5"/>
    <w:rsid w:val="00D62B96"/>
    <w:rsid w:val="00D62C63"/>
    <w:rsid w:val="00D634B4"/>
    <w:rsid w:val="00D63A76"/>
    <w:rsid w:val="00D63FE8"/>
    <w:rsid w:val="00D64E50"/>
    <w:rsid w:val="00D65668"/>
    <w:rsid w:val="00D659B5"/>
    <w:rsid w:val="00D6606F"/>
    <w:rsid w:val="00D6646E"/>
    <w:rsid w:val="00D66849"/>
    <w:rsid w:val="00D66B21"/>
    <w:rsid w:val="00D66EF8"/>
    <w:rsid w:val="00D67423"/>
    <w:rsid w:val="00D676DF"/>
    <w:rsid w:val="00D67A2F"/>
    <w:rsid w:val="00D70245"/>
    <w:rsid w:val="00D7058A"/>
    <w:rsid w:val="00D7077D"/>
    <w:rsid w:val="00D70885"/>
    <w:rsid w:val="00D70AC6"/>
    <w:rsid w:val="00D70EF4"/>
    <w:rsid w:val="00D72174"/>
    <w:rsid w:val="00D72443"/>
    <w:rsid w:val="00D72DB8"/>
    <w:rsid w:val="00D72F22"/>
    <w:rsid w:val="00D73CA5"/>
    <w:rsid w:val="00D73D87"/>
    <w:rsid w:val="00D7416F"/>
    <w:rsid w:val="00D74374"/>
    <w:rsid w:val="00D743C7"/>
    <w:rsid w:val="00D744DE"/>
    <w:rsid w:val="00D7459A"/>
    <w:rsid w:val="00D74BC3"/>
    <w:rsid w:val="00D74E28"/>
    <w:rsid w:val="00D75977"/>
    <w:rsid w:val="00D75A5D"/>
    <w:rsid w:val="00D75E7F"/>
    <w:rsid w:val="00D75F8D"/>
    <w:rsid w:val="00D76517"/>
    <w:rsid w:val="00D76AB8"/>
    <w:rsid w:val="00D772FA"/>
    <w:rsid w:val="00D77553"/>
    <w:rsid w:val="00D77A5A"/>
    <w:rsid w:val="00D77E98"/>
    <w:rsid w:val="00D800C2"/>
    <w:rsid w:val="00D8042D"/>
    <w:rsid w:val="00D8052F"/>
    <w:rsid w:val="00D8088E"/>
    <w:rsid w:val="00D80C4B"/>
    <w:rsid w:val="00D8122D"/>
    <w:rsid w:val="00D81465"/>
    <w:rsid w:val="00D816E6"/>
    <w:rsid w:val="00D8178F"/>
    <w:rsid w:val="00D81B06"/>
    <w:rsid w:val="00D82200"/>
    <w:rsid w:val="00D826D6"/>
    <w:rsid w:val="00D82786"/>
    <w:rsid w:val="00D82989"/>
    <w:rsid w:val="00D82FD8"/>
    <w:rsid w:val="00D83123"/>
    <w:rsid w:val="00D83181"/>
    <w:rsid w:val="00D832BE"/>
    <w:rsid w:val="00D83605"/>
    <w:rsid w:val="00D83BBF"/>
    <w:rsid w:val="00D842C9"/>
    <w:rsid w:val="00D845F1"/>
    <w:rsid w:val="00D84C2B"/>
    <w:rsid w:val="00D84D00"/>
    <w:rsid w:val="00D84EBF"/>
    <w:rsid w:val="00D853C3"/>
    <w:rsid w:val="00D85802"/>
    <w:rsid w:val="00D85A15"/>
    <w:rsid w:val="00D85E38"/>
    <w:rsid w:val="00D86497"/>
    <w:rsid w:val="00D864B4"/>
    <w:rsid w:val="00D8687F"/>
    <w:rsid w:val="00D86C91"/>
    <w:rsid w:val="00D86E34"/>
    <w:rsid w:val="00D871B4"/>
    <w:rsid w:val="00D87538"/>
    <w:rsid w:val="00D87739"/>
    <w:rsid w:val="00D87CC5"/>
    <w:rsid w:val="00D900F7"/>
    <w:rsid w:val="00D91BFC"/>
    <w:rsid w:val="00D91D63"/>
    <w:rsid w:val="00D920B1"/>
    <w:rsid w:val="00D9226F"/>
    <w:rsid w:val="00D92D20"/>
    <w:rsid w:val="00D92E00"/>
    <w:rsid w:val="00D92E91"/>
    <w:rsid w:val="00D93BAA"/>
    <w:rsid w:val="00D9439D"/>
    <w:rsid w:val="00D943A3"/>
    <w:rsid w:val="00D945B3"/>
    <w:rsid w:val="00D94C1B"/>
    <w:rsid w:val="00D94CA0"/>
    <w:rsid w:val="00D94DD9"/>
    <w:rsid w:val="00D94EEB"/>
    <w:rsid w:val="00D95475"/>
    <w:rsid w:val="00D95539"/>
    <w:rsid w:val="00D95569"/>
    <w:rsid w:val="00D959AF"/>
    <w:rsid w:val="00D95B36"/>
    <w:rsid w:val="00D95C39"/>
    <w:rsid w:val="00D95EC3"/>
    <w:rsid w:val="00D95FE5"/>
    <w:rsid w:val="00D96134"/>
    <w:rsid w:val="00D96808"/>
    <w:rsid w:val="00D9691C"/>
    <w:rsid w:val="00D9708E"/>
    <w:rsid w:val="00D9784E"/>
    <w:rsid w:val="00D9EDA4"/>
    <w:rsid w:val="00DA0899"/>
    <w:rsid w:val="00DA0A24"/>
    <w:rsid w:val="00DA0DFB"/>
    <w:rsid w:val="00DA0FCF"/>
    <w:rsid w:val="00DA1303"/>
    <w:rsid w:val="00DA150B"/>
    <w:rsid w:val="00DA1F2C"/>
    <w:rsid w:val="00DA2235"/>
    <w:rsid w:val="00DA25C9"/>
    <w:rsid w:val="00DA2864"/>
    <w:rsid w:val="00DA2D00"/>
    <w:rsid w:val="00DA2F5E"/>
    <w:rsid w:val="00DA2FBD"/>
    <w:rsid w:val="00DA4025"/>
    <w:rsid w:val="00DA431F"/>
    <w:rsid w:val="00DA4E94"/>
    <w:rsid w:val="00DA5265"/>
    <w:rsid w:val="00DA5DDD"/>
    <w:rsid w:val="00DA6045"/>
    <w:rsid w:val="00DA64B1"/>
    <w:rsid w:val="00DA6872"/>
    <w:rsid w:val="00DA7424"/>
    <w:rsid w:val="00DA7581"/>
    <w:rsid w:val="00DA77E1"/>
    <w:rsid w:val="00DA7A6C"/>
    <w:rsid w:val="00DA7E88"/>
    <w:rsid w:val="00DB0218"/>
    <w:rsid w:val="00DB0244"/>
    <w:rsid w:val="00DB09E7"/>
    <w:rsid w:val="00DB12C4"/>
    <w:rsid w:val="00DB24CE"/>
    <w:rsid w:val="00DB324F"/>
    <w:rsid w:val="00DB35CA"/>
    <w:rsid w:val="00DB3868"/>
    <w:rsid w:val="00DB45C0"/>
    <w:rsid w:val="00DB4811"/>
    <w:rsid w:val="00DB5A9B"/>
    <w:rsid w:val="00DB6142"/>
    <w:rsid w:val="00DB6226"/>
    <w:rsid w:val="00DC0287"/>
    <w:rsid w:val="00DC0D1C"/>
    <w:rsid w:val="00DC0DD5"/>
    <w:rsid w:val="00DC10A9"/>
    <w:rsid w:val="00DC2088"/>
    <w:rsid w:val="00DC31E2"/>
    <w:rsid w:val="00DC36FD"/>
    <w:rsid w:val="00DC38EE"/>
    <w:rsid w:val="00DC394B"/>
    <w:rsid w:val="00DC3EDF"/>
    <w:rsid w:val="00DC40F7"/>
    <w:rsid w:val="00DC4348"/>
    <w:rsid w:val="00DC4B17"/>
    <w:rsid w:val="00DC501B"/>
    <w:rsid w:val="00DC51B4"/>
    <w:rsid w:val="00DC52D8"/>
    <w:rsid w:val="00DC58D0"/>
    <w:rsid w:val="00DC603C"/>
    <w:rsid w:val="00DC61C8"/>
    <w:rsid w:val="00DC65A9"/>
    <w:rsid w:val="00DC67E5"/>
    <w:rsid w:val="00DC69DA"/>
    <w:rsid w:val="00DC6F30"/>
    <w:rsid w:val="00DC7726"/>
    <w:rsid w:val="00DC7727"/>
    <w:rsid w:val="00DC7ECB"/>
    <w:rsid w:val="00DD016F"/>
    <w:rsid w:val="00DD01DF"/>
    <w:rsid w:val="00DD0E6C"/>
    <w:rsid w:val="00DD103F"/>
    <w:rsid w:val="00DD1701"/>
    <w:rsid w:val="00DD1D65"/>
    <w:rsid w:val="00DD2038"/>
    <w:rsid w:val="00DD235E"/>
    <w:rsid w:val="00DD37F6"/>
    <w:rsid w:val="00DD38AE"/>
    <w:rsid w:val="00DD3E89"/>
    <w:rsid w:val="00DD4A84"/>
    <w:rsid w:val="00DD5585"/>
    <w:rsid w:val="00DD6188"/>
    <w:rsid w:val="00DD639A"/>
    <w:rsid w:val="00DD6B0C"/>
    <w:rsid w:val="00DD6E72"/>
    <w:rsid w:val="00DD6FFA"/>
    <w:rsid w:val="00DD7822"/>
    <w:rsid w:val="00DD7FC9"/>
    <w:rsid w:val="00DE0092"/>
    <w:rsid w:val="00DE05AE"/>
    <w:rsid w:val="00DE1329"/>
    <w:rsid w:val="00DE15FE"/>
    <w:rsid w:val="00DE29D4"/>
    <w:rsid w:val="00DE2B0F"/>
    <w:rsid w:val="00DE2C79"/>
    <w:rsid w:val="00DE31D5"/>
    <w:rsid w:val="00DE35A6"/>
    <w:rsid w:val="00DE3BFE"/>
    <w:rsid w:val="00DE3DB8"/>
    <w:rsid w:val="00DE3EBB"/>
    <w:rsid w:val="00DE461D"/>
    <w:rsid w:val="00DE47E0"/>
    <w:rsid w:val="00DE4A4C"/>
    <w:rsid w:val="00DE4D91"/>
    <w:rsid w:val="00DE53AF"/>
    <w:rsid w:val="00DE571A"/>
    <w:rsid w:val="00DE614E"/>
    <w:rsid w:val="00DE6E7F"/>
    <w:rsid w:val="00DE704D"/>
    <w:rsid w:val="00DE7C87"/>
    <w:rsid w:val="00DF062B"/>
    <w:rsid w:val="00DF0915"/>
    <w:rsid w:val="00DF0A81"/>
    <w:rsid w:val="00DF0F9C"/>
    <w:rsid w:val="00DF19F8"/>
    <w:rsid w:val="00DF1BDF"/>
    <w:rsid w:val="00DF1F3D"/>
    <w:rsid w:val="00DF1FA2"/>
    <w:rsid w:val="00DF2171"/>
    <w:rsid w:val="00DF2461"/>
    <w:rsid w:val="00DF2B47"/>
    <w:rsid w:val="00DF2CAB"/>
    <w:rsid w:val="00DF2E16"/>
    <w:rsid w:val="00DF2F45"/>
    <w:rsid w:val="00DF3410"/>
    <w:rsid w:val="00DF3509"/>
    <w:rsid w:val="00DF371A"/>
    <w:rsid w:val="00DF3AAF"/>
    <w:rsid w:val="00DF3BBF"/>
    <w:rsid w:val="00DF3D3B"/>
    <w:rsid w:val="00DF3F9B"/>
    <w:rsid w:val="00DF4119"/>
    <w:rsid w:val="00DF4134"/>
    <w:rsid w:val="00DF4692"/>
    <w:rsid w:val="00DF49CF"/>
    <w:rsid w:val="00DF4DA7"/>
    <w:rsid w:val="00DF5D83"/>
    <w:rsid w:val="00DF686D"/>
    <w:rsid w:val="00DF68E4"/>
    <w:rsid w:val="00DF6BD0"/>
    <w:rsid w:val="00DF702C"/>
    <w:rsid w:val="00DF7697"/>
    <w:rsid w:val="00DF77C6"/>
    <w:rsid w:val="00DF7815"/>
    <w:rsid w:val="00DF7889"/>
    <w:rsid w:val="00DF7CCD"/>
    <w:rsid w:val="00E00655"/>
    <w:rsid w:val="00E0069C"/>
    <w:rsid w:val="00E00FAA"/>
    <w:rsid w:val="00E00FE4"/>
    <w:rsid w:val="00E0208F"/>
    <w:rsid w:val="00E021FF"/>
    <w:rsid w:val="00E02D76"/>
    <w:rsid w:val="00E03098"/>
    <w:rsid w:val="00E0353B"/>
    <w:rsid w:val="00E03727"/>
    <w:rsid w:val="00E03C85"/>
    <w:rsid w:val="00E04288"/>
    <w:rsid w:val="00E0428D"/>
    <w:rsid w:val="00E06162"/>
    <w:rsid w:val="00E066E8"/>
    <w:rsid w:val="00E06733"/>
    <w:rsid w:val="00E06AF6"/>
    <w:rsid w:val="00E06F72"/>
    <w:rsid w:val="00E0788F"/>
    <w:rsid w:val="00E07C80"/>
    <w:rsid w:val="00E07FC6"/>
    <w:rsid w:val="00E10408"/>
    <w:rsid w:val="00E10600"/>
    <w:rsid w:val="00E10CB6"/>
    <w:rsid w:val="00E12885"/>
    <w:rsid w:val="00E13346"/>
    <w:rsid w:val="00E14A08"/>
    <w:rsid w:val="00E14BA8"/>
    <w:rsid w:val="00E14CB7"/>
    <w:rsid w:val="00E14D23"/>
    <w:rsid w:val="00E14F32"/>
    <w:rsid w:val="00E15347"/>
    <w:rsid w:val="00E159DE"/>
    <w:rsid w:val="00E159F6"/>
    <w:rsid w:val="00E1629A"/>
    <w:rsid w:val="00E163DD"/>
    <w:rsid w:val="00E164E6"/>
    <w:rsid w:val="00E169B3"/>
    <w:rsid w:val="00E169D1"/>
    <w:rsid w:val="00E17341"/>
    <w:rsid w:val="00E1759A"/>
    <w:rsid w:val="00E17ED3"/>
    <w:rsid w:val="00E17F33"/>
    <w:rsid w:val="00E202D9"/>
    <w:rsid w:val="00E2055E"/>
    <w:rsid w:val="00E205C7"/>
    <w:rsid w:val="00E20954"/>
    <w:rsid w:val="00E20971"/>
    <w:rsid w:val="00E2116B"/>
    <w:rsid w:val="00E21181"/>
    <w:rsid w:val="00E2261F"/>
    <w:rsid w:val="00E228EA"/>
    <w:rsid w:val="00E22E04"/>
    <w:rsid w:val="00E22F0D"/>
    <w:rsid w:val="00E23518"/>
    <w:rsid w:val="00E23F32"/>
    <w:rsid w:val="00E242AF"/>
    <w:rsid w:val="00E24A6B"/>
    <w:rsid w:val="00E255C9"/>
    <w:rsid w:val="00E256B3"/>
    <w:rsid w:val="00E25F7F"/>
    <w:rsid w:val="00E261BD"/>
    <w:rsid w:val="00E268D4"/>
    <w:rsid w:val="00E270A4"/>
    <w:rsid w:val="00E27748"/>
    <w:rsid w:val="00E27C56"/>
    <w:rsid w:val="00E303A7"/>
    <w:rsid w:val="00E315AB"/>
    <w:rsid w:val="00E318EC"/>
    <w:rsid w:val="00E31BED"/>
    <w:rsid w:val="00E31F18"/>
    <w:rsid w:val="00E326F0"/>
    <w:rsid w:val="00E328C6"/>
    <w:rsid w:val="00E329D9"/>
    <w:rsid w:val="00E339E9"/>
    <w:rsid w:val="00E33FD2"/>
    <w:rsid w:val="00E34258"/>
    <w:rsid w:val="00E3427A"/>
    <w:rsid w:val="00E34651"/>
    <w:rsid w:val="00E34DFB"/>
    <w:rsid w:val="00E355F6"/>
    <w:rsid w:val="00E358F6"/>
    <w:rsid w:val="00E362DC"/>
    <w:rsid w:val="00E366DD"/>
    <w:rsid w:val="00E36B27"/>
    <w:rsid w:val="00E37700"/>
    <w:rsid w:val="00E37906"/>
    <w:rsid w:val="00E37946"/>
    <w:rsid w:val="00E37F7F"/>
    <w:rsid w:val="00E403FF"/>
    <w:rsid w:val="00E41363"/>
    <w:rsid w:val="00E4164A"/>
    <w:rsid w:val="00E42FE6"/>
    <w:rsid w:val="00E43A85"/>
    <w:rsid w:val="00E43B4E"/>
    <w:rsid w:val="00E43DDE"/>
    <w:rsid w:val="00E43E26"/>
    <w:rsid w:val="00E43F9E"/>
    <w:rsid w:val="00E44755"/>
    <w:rsid w:val="00E4491B"/>
    <w:rsid w:val="00E45A0F"/>
    <w:rsid w:val="00E46169"/>
    <w:rsid w:val="00E4701F"/>
    <w:rsid w:val="00E470FA"/>
    <w:rsid w:val="00E478B8"/>
    <w:rsid w:val="00E502F8"/>
    <w:rsid w:val="00E50DD9"/>
    <w:rsid w:val="00E513DF"/>
    <w:rsid w:val="00E52054"/>
    <w:rsid w:val="00E5297A"/>
    <w:rsid w:val="00E52CA7"/>
    <w:rsid w:val="00E53029"/>
    <w:rsid w:val="00E5320D"/>
    <w:rsid w:val="00E533B1"/>
    <w:rsid w:val="00E54419"/>
    <w:rsid w:val="00E5486E"/>
    <w:rsid w:val="00E554B1"/>
    <w:rsid w:val="00E56172"/>
    <w:rsid w:val="00E56D10"/>
    <w:rsid w:val="00E570F9"/>
    <w:rsid w:val="00E57305"/>
    <w:rsid w:val="00E5773A"/>
    <w:rsid w:val="00E57C59"/>
    <w:rsid w:val="00E57D8A"/>
    <w:rsid w:val="00E57E0B"/>
    <w:rsid w:val="00E57E8B"/>
    <w:rsid w:val="00E6072D"/>
    <w:rsid w:val="00E60DE5"/>
    <w:rsid w:val="00E61100"/>
    <w:rsid w:val="00E61568"/>
    <w:rsid w:val="00E61A9C"/>
    <w:rsid w:val="00E61B01"/>
    <w:rsid w:val="00E627D5"/>
    <w:rsid w:val="00E62E0A"/>
    <w:rsid w:val="00E62FFE"/>
    <w:rsid w:val="00E63152"/>
    <w:rsid w:val="00E63176"/>
    <w:rsid w:val="00E637B9"/>
    <w:rsid w:val="00E63A90"/>
    <w:rsid w:val="00E64244"/>
    <w:rsid w:val="00E645F1"/>
    <w:rsid w:val="00E64634"/>
    <w:rsid w:val="00E6693E"/>
    <w:rsid w:val="00E677C9"/>
    <w:rsid w:val="00E70367"/>
    <w:rsid w:val="00E7071F"/>
    <w:rsid w:val="00E7079A"/>
    <w:rsid w:val="00E7091C"/>
    <w:rsid w:val="00E71421"/>
    <w:rsid w:val="00E71740"/>
    <w:rsid w:val="00E71F1C"/>
    <w:rsid w:val="00E724BF"/>
    <w:rsid w:val="00E72520"/>
    <w:rsid w:val="00E725AB"/>
    <w:rsid w:val="00E72FD1"/>
    <w:rsid w:val="00E72FDC"/>
    <w:rsid w:val="00E7322D"/>
    <w:rsid w:val="00E734AD"/>
    <w:rsid w:val="00E746BC"/>
    <w:rsid w:val="00E75577"/>
    <w:rsid w:val="00E75924"/>
    <w:rsid w:val="00E76410"/>
    <w:rsid w:val="00E765CD"/>
    <w:rsid w:val="00E766A4"/>
    <w:rsid w:val="00E76D8D"/>
    <w:rsid w:val="00E76E4A"/>
    <w:rsid w:val="00E77E87"/>
    <w:rsid w:val="00E8193E"/>
    <w:rsid w:val="00E819DA"/>
    <w:rsid w:val="00E82636"/>
    <w:rsid w:val="00E82DCB"/>
    <w:rsid w:val="00E83000"/>
    <w:rsid w:val="00E8397B"/>
    <w:rsid w:val="00E83A2E"/>
    <w:rsid w:val="00E849D9"/>
    <w:rsid w:val="00E84FEC"/>
    <w:rsid w:val="00E8519B"/>
    <w:rsid w:val="00E85E06"/>
    <w:rsid w:val="00E86151"/>
    <w:rsid w:val="00E865F6"/>
    <w:rsid w:val="00E86623"/>
    <w:rsid w:val="00E8680A"/>
    <w:rsid w:val="00E86AB6"/>
    <w:rsid w:val="00E87649"/>
    <w:rsid w:val="00E879F9"/>
    <w:rsid w:val="00E87FDC"/>
    <w:rsid w:val="00E90111"/>
    <w:rsid w:val="00E90353"/>
    <w:rsid w:val="00E9038E"/>
    <w:rsid w:val="00E90513"/>
    <w:rsid w:val="00E905CE"/>
    <w:rsid w:val="00E90B85"/>
    <w:rsid w:val="00E90CDF"/>
    <w:rsid w:val="00E90E7E"/>
    <w:rsid w:val="00E911BB"/>
    <w:rsid w:val="00E92644"/>
    <w:rsid w:val="00E92DE1"/>
    <w:rsid w:val="00E92EA1"/>
    <w:rsid w:val="00E92F77"/>
    <w:rsid w:val="00E93602"/>
    <w:rsid w:val="00E937A6"/>
    <w:rsid w:val="00E93C55"/>
    <w:rsid w:val="00E94553"/>
    <w:rsid w:val="00E957B8"/>
    <w:rsid w:val="00E965E9"/>
    <w:rsid w:val="00E96918"/>
    <w:rsid w:val="00E96CEB"/>
    <w:rsid w:val="00E973B1"/>
    <w:rsid w:val="00E97C0E"/>
    <w:rsid w:val="00E97EC7"/>
    <w:rsid w:val="00EA0A4F"/>
    <w:rsid w:val="00EA10DD"/>
    <w:rsid w:val="00EA1B12"/>
    <w:rsid w:val="00EA249E"/>
    <w:rsid w:val="00EA2943"/>
    <w:rsid w:val="00EA3274"/>
    <w:rsid w:val="00EA3ADF"/>
    <w:rsid w:val="00EA3AE8"/>
    <w:rsid w:val="00EA3BEE"/>
    <w:rsid w:val="00EA4027"/>
    <w:rsid w:val="00EA416F"/>
    <w:rsid w:val="00EA45BB"/>
    <w:rsid w:val="00EA49CB"/>
    <w:rsid w:val="00EA4E4F"/>
    <w:rsid w:val="00EA4F98"/>
    <w:rsid w:val="00EA5523"/>
    <w:rsid w:val="00EA5B57"/>
    <w:rsid w:val="00EA6924"/>
    <w:rsid w:val="00EA6B91"/>
    <w:rsid w:val="00EA6C67"/>
    <w:rsid w:val="00EA6D28"/>
    <w:rsid w:val="00EA6D4D"/>
    <w:rsid w:val="00EA74F3"/>
    <w:rsid w:val="00EA7586"/>
    <w:rsid w:val="00EA775A"/>
    <w:rsid w:val="00EA7E5C"/>
    <w:rsid w:val="00EB008E"/>
    <w:rsid w:val="00EB0174"/>
    <w:rsid w:val="00EB03A5"/>
    <w:rsid w:val="00EB08F5"/>
    <w:rsid w:val="00EB0F5F"/>
    <w:rsid w:val="00EB19E0"/>
    <w:rsid w:val="00EB1A1F"/>
    <w:rsid w:val="00EB1A66"/>
    <w:rsid w:val="00EB1F5E"/>
    <w:rsid w:val="00EB2645"/>
    <w:rsid w:val="00EB28AE"/>
    <w:rsid w:val="00EB2B3F"/>
    <w:rsid w:val="00EB34A1"/>
    <w:rsid w:val="00EB3898"/>
    <w:rsid w:val="00EB4950"/>
    <w:rsid w:val="00EB55D2"/>
    <w:rsid w:val="00EB5757"/>
    <w:rsid w:val="00EB5C21"/>
    <w:rsid w:val="00EB5D8F"/>
    <w:rsid w:val="00EB63B2"/>
    <w:rsid w:val="00EB6D87"/>
    <w:rsid w:val="00EB6F0E"/>
    <w:rsid w:val="00EB7452"/>
    <w:rsid w:val="00EB765D"/>
    <w:rsid w:val="00EB7B49"/>
    <w:rsid w:val="00EB7E2C"/>
    <w:rsid w:val="00EB7E91"/>
    <w:rsid w:val="00EBF7C1"/>
    <w:rsid w:val="00EC000E"/>
    <w:rsid w:val="00EC0092"/>
    <w:rsid w:val="00EC0A79"/>
    <w:rsid w:val="00EC0BA7"/>
    <w:rsid w:val="00EC1CD6"/>
    <w:rsid w:val="00EC1DA1"/>
    <w:rsid w:val="00EC21CF"/>
    <w:rsid w:val="00EC257A"/>
    <w:rsid w:val="00EC27C6"/>
    <w:rsid w:val="00EC27F8"/>
    <w:rsid w:val="00EC2B76"/>
    <w:rsid w:val="00EC2F19"/>
    <w:rsid w:val="00EC31E4"/>
    <w:rsid w:val="00EC3C77"/>
    <w:rsid w:val="00EC3E77"/>
    <w:rsid w:val="00EC40E3"/>
    <w:rsid w:val="00EC4FBF"/>
    <w:rsid w:val="00EC5774"/>
    <w:rsid w:val="00EC57A0"/>
    <w:rsid w:val="00EC5862"/>
    <w:rsid w:val="00EC5EEE"/>
    <w:rsid w:val="00EC6585"/>
    <w:rsid w:val="00EC687E"/>
    <w:rsid w:val="00EC76D1"/>
    <w:rsid w:val="00EC7B90"/>
    <w:rsid w:val="00ED015A"/>
    <w:rsid w:val="00ED0784"/>
    <w:rsid w:val="00ED14AA"/>
    <w:rsid w:val="00ED1CBD"/>
    <w:rsid w:val="00ED2090"/>
    <w:rsid w:val="00ED2257"/>
    <w:rsid w:val="00ED3069"/>
    <w:rsid w:val="00ED3E16"/>
    <w:rsid w:val="00ED4438"/>
    <w:rsid w:val="00ED4D2F"/>
    <w:rsid w:val="00ED5412"/>
    <w:rsid w:val="00ED567F"/>
    <w:rsid w:val="00ED690A"/>
    <w:rsid w:val="00EE0530"/>
    <w:rsid w:val="00EE0C2C"/>
    <w:rsid w:val="00EE15A7"/>
    <w:rsid w:val="00EE1764"/>
    <w:rsid w:val="00EE1921"/>
    <w:rsid w:val="00EE19CD"/>
    <w:rsid w:val="00EE2E24"/>
    <w:rsid w:val="00EE2EFE"/>
    <w:rsid w:val="00EE3027"/>
    <w:rsid w:val="00EE3BC2"/>
    <w:rsid w:val="00EE4D5B"/>
    <w:rsid w:val="00EE5006"/>
    <w:rsid w:val="00EE52C9"/>
    <w:rsid w:val="00EE6A57"/>
    <w:rsid w:val="00EE6CED"/>
    <w:rsid w:val="00EE7755"/>
    <w:rsid w:val="00EE7D3C"/>
    <w:rsid w:val="00EF03BA"/>
    <w:rsid w:val="00EF050A"/>
    <w:rsid w:val="00EF1946"/>
    <w:rsid w:val="00EF1C52"/>
    <w:rsid w:val="00EF22EA"/>
    <w:rsid w:val="00EF24A8"/>
    <w:rsid w:val="00EF288E"/>
    <w:rsid w:val="00EF361F"/>
    <w:rsid w:val="00EF40C8"/>
    <w:rsid w:val="00EF422F"/>
    <w:rsid w:val="00EF4F50"/>
    <w:rsid w:val="00EF51B4"/>
    <w:rsid w:val="00EF5316"/>
    <w:rsid w:val="00EF553C"/>
    <w:rsid w:val="00EF6691"/>
    <w:rsid w:val="00EF6D29"/>
    <w:rsid w:val="00EF6E6B"/>
    <w:rsid w:val="00EF701A"/>
    <w:rsid w:val="00EF7308"/>
    <w:rsid w:val="00EF7D18"/>
    <w:rsid w:val="00F003E8"/>
    <w:rsid w:val="00F00BBD"/>
    <w:rsid w:val="00F00E1D"/>
    <w:rsid w:val="00F013E7"/>
    <w:rsid w:val="00F017F1"/>
    <w:rsid w:val="00F01D27"/>
    <w:rsid w:val="00F04175"/>
    <w:rsid w:val="00F044EC"/>
    <w:rsid w:val="00F04951"/>
    <w:rsid w:val="00F04992"/>
    <w:rsid w:val="00F052A3"/>
    <w:rsid w:val="00F05BE0"/>
    <w:rsid w:val="00F05F70"/>
    <w:rsid w:val="00F069C3"/>
    <w:rsid w:val="00F06E99"/>
    <w:rsid w:val="00F07020"/>
    <w:rsid w:val="00F0712E"/>
    <w:rsid w:val="00F074C0"/>
    <w:rsid w:val="00F10250"/>
    <w:rsid w:val="00F1037F"/>
    <w:rsid w:val="00F1111C"/>
    <w:rsid w:val="00F11382"/>
    <w:rsid w:val="00F12373"/>
    <w:rsid w:val="00F12C2D"/>
    <w:rsid w:val="00F13313"/>
    <w:rsid w:val="00F1390B"/>
    <w:rsid w:val="00F13FA3"/>
    <w:rsid w:val="00F14397"/>
    <w:rsid w:val="00F159F8"/>
    <w:rsid w:val="00F15A60"/>
    <w:rsid w:val="00F160D0"/>
    <w:rsid w:val="00F162A0"/>
    <w:rsid w:val="00F16402"/>
    <w:rsid w:val="00F1644D"/>
    <w:rsid w:val="00F17C8D"/>
    <w:rsid w:val="00F17DEB"/>
    <w:rsid w:val="00F2091C"/>
    <w:rsid w:val="00F20A6D"/>
    <w:rsid w:val="00F210D2"/>
    <w:rsid w:val="00F21D27"/>
    <w:rsid w:val="00F23247"/>
    <w:rsid w:val="00F23BDA"/>
    <w:rsid w:val="00F23C29"/>
    <w:rsid w:val="00F23C70"/>
    <w:rsid w:val="00F23EDC"/>
    <w:rsid w:val="00F24A74"/>
    <w:rsid w:val="00F25585"/>
    <w:rsid w:val="00F25F48"/>
    <w:rsid w:val="00F265DA"/>
    <w:rsid w:val="00F268F1"/>
    <w:rsid w:val="00F2713E"/>
    <w:rsid w:val="00F2717A"/>
    <w:rsid w:val="00F2784C"/>
    <w:rsid w:val="00F30394"/>
    <w:rsid w:val="00F30884"/>
    <w:rsid w:val="00F31198"/>
    <w:rsid w:val="00F31432"/>
    <w:rsid w:val="00F31709"/>
    <w:rsid w:val="00F320EE"/>
    <w:rsid w:val="00F324C9"/>
    <w:rsid w:val="00F32893"/>
    <w:rsid w:val="00F32F12"/>
    <w:rsid w:val="00F33FE3"/>
    <w:rsid w:val="00F34FA9"/>
    <w:rsid w:val="00F34FF7"/>
    <w:rsid w:val="00F35360"/>
    <w:rsid w:val="00F35A9B"/>
    <w:rsid w:val="00F35E42"/>
    <w:rsid w:val="00F35ED8"/>
    <w:rsid w:val="00F35F3C"/>
    <w:rsid w:val="00F36062"/>
    <w:rsid w:val="00F36123"/>
    <w:rsid w:val="00F3614E"/>
    <w:rsid w:val="00F36AC4"/>
    <w:rsid w:val="00F36C8E"/>
    <w:rsid w:val="00F36CD6"/>
    <w:rsid w:val="00F3748E"/>
    <w:rsid w:val="00F3769E"/>
    <w:rsid w:val="00F37939"/>
    <w:rsid w:val="00F37D64"/>
    <w:rsid w:val="00F4033E"/>
    <w:rsid w:val="00F40BC5"/>
    <w:rsid w:val="00F40CA5"/>
    <w:rsid w:val="00F40F13"/>
    <w:rsid w:val="00F414A8"/>
    <w:rsid w:val="00F416EC"/>
    <w:rsid w:val="00F4241E"/>
    <w:rsid w:val="00F425C3"/>
    <w:rsid w:val="00F429F1"/>
    <w:rsid w:val="00F42ABB"/>
    <w:rsid w:val="00F42EF0"/>
    <w:rsid w:val="00F4338F"/>
    <w:rsid w:val="00F4352C"/>
    <w:rsid w:val="00F4405E"/>
    <w:rsid w:val="00F444BA"/>
    <w:rsid w:val="00F446DD"/>
    <w:rsid w:val="00F44935"/>
    <w:rsid w:val="00F4552B"/>
    <w:rsid w:val="00F455E4"/>
    <w:rsid w:val="00F45A25"/>
    <w:rsid w:val="00F45F25"/>
    <w:rsid w:val="00F46176"/>
    <w:rsid w:val="00F46449"/>
    <w:rsid w:val="00F46644"/>
    <w:rsid w:val="00F46BC1"/>
    <w:rsid w:val="00F47754"/>
    <w:rsid w:val="00F5058F"/>
    <w:rsid w:val="00F50654"/>
    <w:rsid w:val="00F508DB"/>
    <w:rsid w:val="00F50CC7"/>
    <w:rsid w:val="00F510D0"/>
    <w:rsid w:val="00F512C5"/>
    <w:rsid w:val="00F51581"/>
    <w:rsid w:val="00F51947"/>
    <w:rsid w:val="00F5242C"/>
    <w:rsid w:val="00F524D2"/>
    <w:rsid w:val="00F53E2E"/>
    <w:rsid w:val="00F540BE"/>
    <w:rsid w:val="00F546FF"/>
    <w:rsid w:val="00F54D34"/>
    <w:rsid w:val="00F54E51"/>
    <w:rsid w:val="00F55095"/>
    <w:rsid w:val="00F556E4"/>
    <w:rsid w:val="00F55AB8"/>
    <w:rsid w:val="00F565C9"/>
    <w:rsid w:val="00F565FB"/>
    <w:rsid w:val="00F566BA"/>
    <w:rsid w:val="00F566CC"/>
    <w:rsid w:val="00F5672B"/>
    <w:rsid w:val="00F57673"/>
    <w:rsid w:val="00F60561"/>
    <w:rsid w:val="00F613E6"/>
    <w:rsid w:val="00F61980"/>
    <w:rsid w:val="00F620B1"/>
    <w:rsid w:val="00F6214A"/>
    <w:rsid w:val="00F628DC"/>
    <w:rsid w:val="00F6296C"/>
    <w:rsid w:val="00F63085"/>
    <w:rsid w:val="00F631A1"/>
    <w:rsid w:val="00F63808"/>
    <w:rsid w:val="00F63C03"/>
    <w:rsid w:val="00F63E28"/>
    <w:rsid w:val="00F64145"/>
    <w:rsid w:val="00F642C9"/>
    <w:rsid w:val="00F65972"/>
    <w:rsid w:val="00F65E17"/>
    <w:rsid w:val="00F66706"/>
    <w:rsid w:val="00F66708"/>
    <w:rsid w:val="00F667B8"/>
    <w:rsid w:val="00F66AB1"/>
    <w:rsid w:val="00F66D50"/>
    <w:rsid w:val="00F66E5E"/>
    <w:rsid w:val="00F66EB5"/>
    <w:rsid w:val="00F67555"/>
    <w:rsid w:val="00F675DF"/>
    <w:rsid w:val="00F67E25"/>
    <w:rsid w:val="00F70C69"/>
    <w:rsid w:val="00F70E5C"/>
    <w:rsid w:val="00F71287"/>
    <w:rsid w:val="00F7165A"/>
    <w:rsid w:val="00F71C8D"/>
    <w:rsid w:val="00F71F92"/>
    <w:rsid w:val="00F72526"/>
    <w:rsid w:val="00F72A5F"/>
    <w:rsid w:val="00F72C52"/>
    <w:rsid w:val="00F730AA"/>
    <w:rsid w:val="00F7347C"/>
    <w:rsid w:val="00F73793"/>
    <w:rsid w:val="00F737EF"/>
    <w:rsid w:val="00F738DB"/>
    <w:rsid w:val="00F73988"/>
    <w:rsid w:val="00F73AE5"/>
    <w:rsid w:val="00F73EF1"/>
    <w:rsid w:val="00F73F7A"/>
    <w:rsid w:val="00F74571"/>
    <w:rsid w:val="00F74CA9"/>
    <w:rsid w:val="00F74F8F"/>
    <w:rsid w:val="00F7558A"/>
    <w:rsid w:val="00F758D2"/>
    <w:rsid w:val="00F75A5B"/>
    <w:rsid w:val="00F75F8D"/>
    <w:rsid w:val="00F7602B"/>
    <w:rsid w:val="00F7616B"/>
    <w:rsid w:val="00F761EF"/>
    <w:rsid w:val="00F76A01"/>
    <w:rsid w:val="00F76B59"/>
    <w:rsid w:val="00F76CEC"/>
    <w:rsid w:val="00F76CF3"/>
    <w:rsid w:val="00F7701E"/>
    <w:rsid w:val="00F770C5"/>
    <w:rsid w:val="00F777E3"/>
    <w:rsid w:val="00F80211"/>
    <w:rsid w:val="00F80589"/>
    <w:rsid w:val="00F806C5"/>
    <w:rsid w:val="00F81496"/>
    <w:rsid w:val="00F81FA8"/>
    <w:rsid w:val="00F82FEA"/>
    <w:rsid w:val="00F83096"/>
    <w:rsid w:val="00F8344A"/>
    <w:rsid w:val="00F8350C"/>
    <w:rsid w:val="00F83C22"/>
    <w:rsid w:val="00F84303"/>
    <w:rsid w:val="00F85181"/>
    <w:rsid w:val="00F85221"/>
    <w:rsid w:val="00F85789"/>
    <w:rsid w:val="00F85A88"/>
    <w:rsid w:val="00F85C21"/>
    <w:rsid w:val="00F860A5"/>
    <w:rsid w:val="00F86258"/>
    <w:rsid w:val="00F86CE5"/>
    <w:rsid w:val="00F8745B"/>
    <w:rsid w:val="00F87838"/>
    <w:rsid w:val="00F900D8"/>
    <w:rsid w:val="00F902AB"/>
    <w:rsid w:val="00F90F2A"/>
    <w:rsid w:val="00F9138C"/>
    <w:rsid w:val="00F91DEE"/>
    <w:rsid w:val="00F92BFF"/>
    <w:rsid w:val="00F932E5"/>
    <w:rsid w:val="00F93B3B"/>
    <w:rsid w:val="00F94005"/>
    <w:rsid w:val="00F940AD"/>
    <w:rsid w:val="00F94772"/>
    <w:rsid w:val="00F949AA"/>
    <w:rsid w:val="00F94C23"/>
    <w:rsid w:val="00F955C9"/>
    <w:rsid w:val="00F96ABD"/>
    <w:rsid w:val="00F96B38"/>
    <w:rsid w:val="00F96CD5"/>
    <w:rsid w:val="00F97227"/>
    <w:rsid w:val="00F97361"/>
    <w:rsid w:val="00F97EFB"/>
    <w:rsid w:val="00F97F00"/>
    <w:rsid w:val="00FA07EA"/>
    <w:rsid w:val="00FA125B"/>
    <w:rsid w:val="00FA1957"/>
    <w:rsid w:val="00FA1A6F"/>
    <w:rsid w:val="00FA1DE8"/>
    <w:rsid w:val="00FA1ED1"/>
    <w:rsid w:val="00FA2397"/>
    <w:rsid w:val="00FA239A"/>
    <w:rsid w:val="00FA2710"/>
    <w:rsid w:val="00FA2860"/>
    <w:rsid w:val="00FA2AEA"/>
    <w:rsid w:val="00FA3AB0"/>
    <w:rsid w:val="00FA3BE0"/>
    <w:rsid w:val="00FA3D4F"/>
    <w:rsid w:val="00FA3FBA"/>
    <w:rsid w:val="00FA414E"/>
    <w:rsid w:val="00FA4D50"/>
    <w:rsid w:val="00FA513A"/>
    <w:rsid w:val="00FA5255"/>
    <w:rsid w:val="00FA55AA"/>
    <w:rsid w:val="00FA5712"/>
    <w:rsid w:val="00FA5932"/>
    <w:rsid w:val="00FA5F4C"/>
    <w:rsid w:val="00FA6DE4"/>
    <w:rsid w:val="00FA6FD8"/>
    <w:rsid w:val="00FA7124"/>
    <w:rsid w:val="00FA727E"/>
    <w:rsid w:val="00FB09C6"/>
    <w:rsid w:val="00FB0A7B"/>
    <w:rsid w:val="00FB0DF3"/>
    <w:rsid w:val="00FB1828"/>
    <w:rsid w:val="00FB1B5F"/>
    <w:rsid w:val="00FB22D2"/>
    <w:rsid w:val="00FB23B0"/>
    <w:rsid w:val="00FB24AB"/>
    <w:rsid w:val="00FB2A5E"/>
    <w:rsid w:val="00FB32F9"/>
    <w:rsid w:val="00FB35B9"/>
    <w:rsid w:val="00FB3951"/>
    <w:rsid w:val="00FB3A8E"/>
    <w:rsid w:val="00FB3E86"/>
    <w:rsid w:val="00FB42B5"/>
    <w:rsid w:val="00FB461C"/>
    <w:rsid w:val="00FB4ED8"/>
    <w:rsid w:val="00FB576E"/>
    <w:rsid w:val="00FB5DD1"/>
    <w:rsid w:val="00FB634B"/>
    <w:rsid w:val="00FB6AA4"/>
    <w:rsid w:val="00FB77C3"/>
    <w:rsid w:val="00FB7C85"/>
    <w:rsid w:val="00FC0D4D"/>
    <w:rsid w:val="00FC0DED"/>
    <w:rsid w:val="00FC1596"/>
    <w:rsid w:val="00FC1BE1"/>
    <w:rsid w:val="00FC1C5D"/>
    <w:rsid w:val="00FC2907"/>
    <w:rsid w:val="00FC2BA0"/>
    <w:rsid w:val="00FC30BD"/>
    <w:rsid w:val="00FC311E"/>
    <w:rsid w:val="00FC3165"/>
    <w:rsid w:val="00FC3341"/>
    <w:rsid w:val="00FC438C"/>
    <w:rsid w:val="00FC4796"/>
    <w:rsid w:val="00FC4E3F"/>
    <w:rsid w:val="00FC63EF"/>
    <w:rsid w:val="00FC70D8"/>
    <w:rsid w:val="00FC74CC"/>
    <w:rsid w:val="00FC7FA7"/>
    <w:rsid w:val="00FD0579"/>
    <w:rsid w:val="00FD090A"/>
    <w:rsid w:val="00FD0CCF"/>
    <w:rsid w:val="00FD0D03"/>
    <w:rsid w:val="00FD136B"/>
    <w:rsid w:val="00FD2060"/>
    <w:rsid w:val="00FD24BA"/>
    <w:rsid w:val="00FD2865"/>
    <w:rsid w:val="00FD36D3"/>
    <w:rsid w:val="00FD396C"/>
    <w:rsid w:val="00FD3985"/>
    <w:rsid w:val="00FD3F57"/>
    <w:rsid w:val="00FD41C4"/>
    <w:rsid w:val="00FD44EB"/>
    <w:rsid w:val="00FD488B"/>
    <w:rsid w:val="00FD4BA9"/>
    <w:rsid w:val="00FD51CB"/>
    <w:rsid w:val="00FD5DEC"/>
    <w:rsid w:val="00FD63B1"/>
    <w:rsid w:val="00FD6771"/>
    <w:rsid w:val="00FD6A5E"/>
    <w:rsid w:val="00FD6A64"/>
    <w:rsid w:val="00FD7A0B"/>
    <w:rsid w:val="00FD7F16"/>
    <w:rsid w:val="00FE0D03"/>
    <w:rsid w:val="00FE1152"/>
    <w:rsid w:val="00FE1341"/>
    <w:rsid w:val="00FE1A4A"/>
    <w:rsid w:val="00FE2198"/>
    <w:rsid w:val="00FE2DD5"/>
    <w:rsid w:val="00FE31F5"/>
    <w:rsid w:val="00FE322B"/>
    <w:rsid w:val="00FE36D5"/>
    <w:rsid w:val="00FE38AD"/>
    <w:rsid w:val="00FE3A30"/>
    <w:rsid w:val="00FE3D3D"/>
    <w:rsid w:val="00FE3D51"/>
    <w:rsid w:val="00FE3FBD"/>
    <w:rsid w:val="00FE4175"/>
    <w:rsid w:val="00FE494C"/>
    <w:rsid w:val="00FE4C36"/>
    <w:rsid w:val="00FE4F70"/>
    <w:rsid w:val="00FE525E"/>
    <w:rsid w:val="00FE5F76"/>
    <w:rsid w:val="00FE6203"/>
    <w:rsid w:val="00FE6A05"/>
    <w:rsid w:val="00FE6B45"/>
    <w:rsid w:val="00FE6F9D"/>
    <w:rsid w:val="00FF0727"/>
    <w:rsid w:val="00FF0D09"/>
    <w:rsid w:val="00FF0D7A"/>
    <w:rsid w:val="00FF0DA6"/>
    <w:rsid w:val="00FF0DCC"/>
    <w:rsid w:val="00FF0E57"/>
    <w:rsid w:val="00FF1A98"/>
    <w:rsid w:val="00FF1C36"/>
    <w:rsid w:val="00FF20ED"/>
    <w:rsid w:val="00FF240B"/>
    <w:rsid w:val="00FF2F9F"/>
    <w:rsid w:val="00FF3AE4"/>
    <w:rsid w:val="00FF3D01"/>
    <w:rsid w:val="00FF4374"/>
    <w:rsid w:val="00FF470D"/>
    <w:rsid w:val="00FF5340"/>
    <w:rsid w:val="00FF554F"/>
    <w:rsid w:val="00FF58AA"/>
    <w:rsid w:val="00FF65E7"/>
    <w:rsid w:val="00FF6AE4"/>
    <w:rsid w:val="00FF70FC"/>
    <w:rsid w:val="00FF732C"/>
    <w:rsid w:val="00FF7A0C"/>
    <w:rsid w:val="0111AC22"/>
    <w:rsid w:val="0120949F"/>
    <w:rsid w:val="013B5C97"/>
    <w:rsid w:val="014237EF"/>
    <w:rsid w:val="014F9BF9"/>
    <w:rsid w:val="0150F80A"/>
    <w:rsid w:val="015385E9"/>
    <w:rsid w:val="01563CCD"/>
    <w:rsid w:val="015E6C7A"/>
    <w:rsid w:val="0166F2DD"/>
    <w:rsid w:val="019DBA71"/>
    <w:rsid w:val="01BAE0BD"/>
    <w:rsid w:val="01BF5EC5"/>
    <w:rsid w:val="01C7FD18"/>
    <w:rsid w:val="01C94DB4"/>
    <w:rsid w:val="01CE3F60"/>
    <w:rsid w:val="01D5C13A"/>
    <w:rsid w:val="01EEB2DF"/>
    <w:rsid w:val="01F1EA49"/>
    <w:rsid w:val="02096A5B"/>
    <w:rsid w:val="0217E759"/>
    <w:rsid w:val="02185EDF"/>
    <w:rsid w:val="021BC9C2"/>
    <w:rsid w:val="021E374D"/>
    <w:rsid w:val="022014E1"/>
    <w:rsid w:val="0232719C"/>
    <w:rsid w:val="02351E49"/>
    <w:rsid w:val="0235A0F4"/>
    <w:rsid w:val="024CDEED"/>
    <w:rsid w:val="0255E49F"/>
    <w:rsid w:val="02774793"/>
    <w:rsid w:val="0278C98D"/>
    <w:rsid w:val="027C5E15"/>
    <w:rsid w:val="02A95BBE"/>
    <w:rsid w:val="02AD3D9A"/>
    <w:rsid w:val="02C1CC63"/>
    <w:rsid w:val="02D7CCD9"/>
    <w:rsid w:val="02E23333"/>
    <w:rsid w:val="02EFB35E"/>
    <w:rsid w:val="02FCE6A1"/>
    <w:rsid w:val="03262814"/>
    <w:rsid w:val="03275DFD"/>
    <w:rsid w:val="032E4B91"/>
    <w:rsid w:val="032E50CB"/>
    <w:rsid w:val="034B1EEF"/>
    <w:rsid w:val="034F4F9B"/>
    <w:rsid w:val="03598CD7"/>
    <w:rsid w:val="038C83CD"/>
    <w:rsid w:val="038D4FDA"/>
    <w:rsid w:val="0393465D"/>
    <w:rsid w:val="03980E18"/>
    <w:rsid w:val="039AE9C3"/>
    <w:rsid w:val="03A3F1BF"/>
    <w:rsid w:val="03A7864B"/>
    <w:rsid w:val="03ADDFB1"/>
    <w:rsid w:val="03B06C0A"/>
    <w:rsid w:val="03BD183E"/>
    <w:rsid w:val="03D296E3"/>
    <w:rsid w:val="03F960FC"/>
    <w:rsid w:val="03FC237C"/>
    <w:rsid w:val="0415C3B0"/>
    <w:rsid w:val="04221353"/>
    <w:rsid w:val="04350395"/>
    <w:rsid w:val="043958AA"/>
    <w:rsid w:val="0447CF9D"/>
    <w:rsid w:val="0447F435"/>
    <w:rsid w:val="044CFF94"/>
    <w:rsid w:val="044D0DE2"/>
    <w:rsid w:val="0458DF5B"/>
    <w:rsid w:val="045CEC88"/>
    <w:rsid w:val="045F6DC3"/>
    <w:rsid w:val="046215C1"/>
    <w:rsid w:val="04710E38"/>
    <w:rsid w:val="049EAB95"/>
    <w:rsid w:val="04A7A88B"/>
    <w:rsid w:val="04AF3E48"/>
    <w:rsid w:val="04B79C1A"/>
    <w:rsid w:val="04B7BAC2"/>
    <w:rsid w:val="04C2EF35"/>
    <w:rsid w:val="04D3245A"/>
    <w:rsid w:val="04D8F06F"/>
    <w:rsid w:val="04E70313"/>
    <w:rsid w:val="04F53026"/>
    <w:rsid w:val="050F43C5"/>
    <w:rsid w:val="051FB318"/>
    <w:rsid w:val="05265F1E"/>
    <w:rsid w:val="0550143B"/>
    <w:rsid w:val="0551B6E7"/>
    <w:rsid w:val="055A1240"/>
    <w:rsid w:val="0579F434"/>
    <w:rsid w:val="058CE50B"/>
    <w:rsid w:val="05A412A8"/>
    <w:rsid w:val="05B52F30"/>
    <w:rsid w:val="05BE76C8"/>
    <w:rsid w:val="05E535FF"/>
    <w:rsid w:val="05EE736F"/>
    <w:rsid w:val="0609DD8E"/>
    <w:rsid w:val="061D8D41"/>
    <w:rsid w:val="063DF007"/>
    <w:rsid w:val="06400435"/>
    <w:rsid w:val="06514495"/>
    <w:rsid w:val="065CF98D"/>
    <w:rsid w:val="065F304B"/>
    <w:rsid w:val="066A16DE"/>
    <w:rsid w:val="066B7829"/>
    <w:rsid w:val="0670EE96"/>
    <w:rsid w:val="06A1514B"/>
    <w:rsid w:val="06AA4E08"/>
    <w:rsid w:val="06CB92D2"/>
    <w:rsid w:val="06F14499"/>
    <w:rsid w:val="07041C14"/>
    <w:rsid w:val="07089405"/>
    <w:rsid w:val="070AF473"/>
    <w:rsid w:val="07147179"/>
    <w:rsid w:val="071B3695"/>
    <w:rsid w:val="07260385"/>
    <w:rsid w:val="0728EE67"/>
    <w:rsid w:val="0736A295"/>
    <w:rsid w:val="073B6B61"/>
    <w:rsid w:val="074F1616"/>
    <w:rsid w:val="07649DD4"/>
    <w:rsid w:val="07794C60"/>
    <w:rsid w:val="078FCAA1"/>
    <w:rsid w:val="079448F9"/>
    <w:rsid w:val="07B1A36C"/>
    <w:rsid w:val="07B3AEE5"/>
    <w:rsid w:val="07BF0E09"/>
    <w:rsid w:val="07C0B50C"/>
    <w:rsid w:val="07C690AB"/>
    <w:rsid w:val="07DDAFAD"/>
    <w:rsid w:val="081BA078"/>
    <w:rsid w:val="08282D9A"/>
    <w:rsid w:val="08480829"/>
    <w:rsid w:val="08492816"/>
    <w:rsid w:val="08493F4E"/>
    <w:rsid w:val="085BE9B5"/>
    <w:rsid w:val="085F3492"/>
    <w:rsid w:val="086C0860"/>
    <w:rsid w:val="087BCA4B"/>
    <w:rsid w:val="0883C64A"/>
    <w:rsid w:val="08903411"/>
    <w:rsid w:val="0893DCC9"/>
    <w:rsid w:val="089CC652"/>
    <w:rsid w:val="089DBCCA"/>
    <w:rsid w:val="08A6DCC7"/>
    <w:rsid w:val="08B5FD98"/>
    <w:rsid w:val="08C29526"/>
    <w:rsid w:val="08C9799B"/>
    <w:rsid w:val="08E58287"/>
    <w:rsid w:val="08F291F4"/>
    <w:rsid w:val="08FF3CBE"/>
    <w:rsid w:val="0906FF5E"/>
    <w:rsid w:val="091E154A"/>
    <w:rsid w:val="091FABA1"/>
    <w:rsid w:val="092A63D8"/>
    <w:rsid w:val="092D86AB"/>
    <w:rsid w:val="093A68D2"/>
    <w:rsid w:val="09452CC4"/>
    <w:rsid w:val="0945D4F5"/>
    <w:rsid w:val="09473C42"/>
    <w:rsid w:val="0954391A"/>
    <w:rsid w:val="0958E18E"/>
    <w:rsid w:val="0965ECC1"/>
    <w:rsid w:val="0974094F"/>
    <w:rsid w:val="097E5049"/>
    <w:rsid w:val="09815381"/>
    <w:rsid w:val="098F117D"/>
    <w:rsid w:val="098F56B7"/>
    <w:rsid w:val="099B4F07"/>
    <w:rsid w:val="099E62B9"/>
    <w:rsid w:val="09A1A8F9"/>
    <w:rsid w:val="09A6CD5A"/>
    <w:rsid w:val="09C09A91"/>
    <w:rsid w:val="09CCFE86"/>
    <w:rsid w:val="09E08142"/>
    <w:rsid w:val="0A005A39"/>
    <w:rsid w:val="0A093AD4"/>
    <w:rsid w:val="0A0F95AC"/>
    <w:rsid w:val="0A218274"/>
    <w:rsid w:val="0A26D4B8"/>
    <w:rsid w:val="0A27E732"/>
    <w:rsid w:val="0A5AF32E"/>
    <w:rsid w:val="0A7E161E"/>
    <w:rsid w:val="0A882D55"/>
    <w:rsid w:val="0A8ADF52"/>
    <w:rsid w:val="0A904F14"/>
    <w:rsid w:val="0A9FB28C"/>
    <w:rsid w:val="0AA16466"/>
    <w:rsid w:val="0AABB2BF"/>
    <w:rsid w:val="0AADC72C"/>
    <w:rsid w:val="0AD56020"/>
    <w:rsid w:val="0AE21FD5"/>
    <w:rsid w:val="0AE296F4"/>
    <w:rsid w:val="0AEDD6B4"/>
    <w:rsid w:val="0AF0430E"/>
    <w:rsid w:val="0AF2A239"/>
    <w:rsid w:val="0AF2D963"/>
    <w:rsid w:val="0B09A00F"/>
    <w:rsid w:val="0B0B9BF4"/>
    <w:rsid w:val="0B29DE49"/>
    <w:rsid w:val="0B3A241A"/>
    <w:rsid w:val="0B47C053"/>
    <w:rsid w:val="0B630BF0"/>
    <w:rsid w:val="0B66DD0C"/>
    <w:rsid w:val="0B69434B"/>
    <w:rsid w:val="0B761C18"/>
    <w:rsid w:val="0B79A23E"/>
    <w:rsid w:val="0B87B361"/>
    <w:rsid w:val="0B93C761"/>
    <w:rsid w:val="0B9A9A1A"/>
    <w:rsid w:val="0B9ED9B0"/>
    <w:rsid w:val="0BA9C872"/>
    <w:rsid w:val="0BB30F0A"/>
    <w:rsid w:val="0BC58BEA"/>
    <w:rsid w:val="0BC9CAF3"/>
    <w:rsid w:val="0BCB9920"/>
    <w:rsid w:val="0BCE3543"/>
    <w:rsid w:val="0BE009E1"/>
    <w:rsid w:val="0BEC687D"/>
    <w:rsid w:val="0BF0756D"/>
    <w:rsid w:val="0C08A78F"/>
    <w:rsid w:val="0C1DB4EC"/>
    <w:rsid w:val="0C2E3210"/>
    <w:rsid w:val="0C410F4E"/>
    <w:rsid w:val="0C4586BC"/>
    <w:rsid w:val="0C5D3B00"/>
    <w:rsid w:val="0C62BB9E"/>
    <w:rsid w:val="0C63FE27"/>
    <w:rsid w:val="0C85AB16"/>
    <w:rsid w:val="0C9141FC"/>
    <w:rsid w:val="0CA59E6A"/>
    <w:rsid w:val="0CAB9469"/>
    <w:rsid w:val="0CB5A04D"/>
    <w:rsid w:val="0CCEF95C"/>
    <w:rsid w:val="0CD025DA"/>
    <w:rsid w:val="0CD8C099"/>
    <w:rsid w:val="0CE1B31F"/>
    <w:rsid w:val="0CEA14AE"/>
    <w:rsid w:val="0CEE66E0"/>
    <w:rsid w:val="0CFAC9AC"/>
    <w:rsid w:val="0CFD727C"/>
    <w:rsid w:val="0D048A6E"/>
    <w:rsid w:val="0D0DE66B"/>
    <w:rsid w:val="0D182C10"/>
    <w:rsid w:val="0D1911E1"/>
    <w:rsid w:val="0D1A9F49"/>
    <w:rsid w:val="0D1C1075"/>
    <w:rsid w:val="0D25E955"/>
    <w:rsid w:val="0D28DB76"/>
    <w:rsid w:val="0D33FF1B"/>
    <w:rsid w:val="0D36D371"/>
    <w:rsid w:val="0D3F0D24"/>
    <w:rsid w:val="0D4A0520"/>
    <w:rsid w:val="0D4A44F1"/>
    <w:rsid w:val="0D4FAA57"/>
    <w:rsid w:val="0D541A85"/>
    <w:rsid w:val="0D564AF4"/>
    <w:rsid w:val="0D6110ED"/>
    <w:rsid w:val="0D6943DC"/>
    <w:rsid w:val="0D6A8FF3"/>
    <w:rsid w:val="0D6C26EB"/>
    <w:rsid w:val="0D739EC8"/>
    <w:rsid w:val="0D8C0608"/>
    <w:rsid w:val="0D931577"/>
    <w:rsid w:val="0D9B4820"/>
    <w:rsid w:val="0D9D46E6"/>
    <w:rsid w:val="0DAF22E4"/>
    <w:rsid w:val="0DB10ACE"/>
    <w:rsid w:val="0DB82ABD"/>
    <w:rsid w:val="0DC4C02D"/>
    <w:rsid w:val="0DDB08E6"/>
    <w:rsid w:val="0DDBF1B6"/>
    <w:rsid w:val="0DDC6C03"/>
    <w:rsid w:val="0DF00C8D"/>
    <w:rsid w:val="0DF772B6"/>
    <w:rsid w:val="0DFBED86"/>
    <w:rsid w:val="0E0B0862"/>
    <w:rsid w:val="0E11E34C"/>
    <w:rsid w:val="0E3B907B"/>
    <w:rsid w:val="0E451041"/>
    <w:rsid w:val="0E473706"/>
    <w:rsid w:val="0E6C47D4"/>
    <w:rsid w:val="0E755250"/>
    <w:rsid w:val="0E76CC5C"/>
    <w:rsid w:val="0E7D80CF"/>
    <w:rsid w:val="0E7E8E46"/>
    <w:rsid w:val="0E84E7EF"/>
    <w:rsid w:val="0E9665ED"/>
    <w:rsid w:val="0EAA2878"/>
    <w:rsid w:val="0EB0C822"/>
    <w:rsid w:val="0EBB3C94"/>
    <w:rsid w:val="0EC62943"/>
    <w:rsid w:val="0EE05EE6"/>
    <w:rsid w:val="0EEC3B64"/>
    <w:rsid w:val="0EF45621"/>
    <w:rsid w:val="0EF96611"/>
    <w:rsid w:val="0F1509DF"/>
    <w:rsid w:val="0F1847D0"/>
    <w:rsid w:val="0F217D21"/>
    <w:rsid w:val="0F321702"/>
    <w:rsid w:val="0F3762D3"/>
    <w:rsid w:val="0F636BA3"/>
    <w:rsid w:val="0F86D3F0"/>
    <w:rsid w:val="0FE2187A"/>
    <w:rsid w:val="0FE4D077"/>
    <w:rsid w:val="0FFC4344"/>
    <w:rsid w:val="1019DBAD"/>
    <w:rsid w:val="101D809A"/>
    <w:rsid w:val="10200614"/>
    <w:rsid w:val="10349424"/>
    <w:rsid w:val="104EC1B4"/>
    <w:rsid w:val="1052AAA2"/>
    <w:rsid w:val="105A0F1E"/>
    <w:rsid w:val="105B7E70"/>
    <w:rsid w:val="1067FDBF"/>
    <w:rsid w:val="1087B1BC"/>
    <w:rsid w:val="10971C14"/>
    <w:rsid w:val="109A2E1C"/>
    <w:rsid w:val="10A5A75C"/>
    <w:rsid w:val="10A8E1F7"/>
    <w:rsid w:val="10AC6BBA"/>
    <w:rsid w:val="10B48B1F"/>
    <w:rsid w:val="10C7FAB3"/>
    <w:rsid w:val="10C82A2A"/>
    <w:rsid w:val="10D3ABDC"/>
    <w:rsid w:val="10F2B3AC"/>
    <w:rsid w:val="10F51C3B"/>
    <w:rsid w:val="10FD9F38"/>
    <w:rsid w:val="1101EB4A"/>
    <w:rsid w:val="110B7CA9"/>
    <w:rsid w:val="110D8FAD"/>
    <w:rsid w:val="111495C1"/>
    <w:rsid w:val="1117EF97"/>
    <w:rsid w:val="111DE2E4"/>
    <w:rsid w:val="112FE305"/>
    <w:rsid w:val="114E8DC8"/>
    <w:rsid w:val="116B6393"/>
    <w:rsid w:val="116CBA9D"/>
    <w:rsid w:val="116F942A"/>
    <w:rsid w:val="1178614D"/>
    <w:rsid w:val="119600D8"/>
    <w:rsid w:val="1198A7B9"/>
    <w:rsid w:val="11B1FC69"/>
    <w:rsid w:val="11B4FF7A"/>
    <w:rsid w:val="11B76774"/>
    <w:rsid w:val="11C34212"/>
    <w:rsid w:val="11E140BE"/>
    <w:rsid w:val="11E1B267"/>
    <w:rsid w:val="11E99D4A"/>
    <w:rsid w:val="11F6B67A"/>
    <w:rsid w:val="11FE766F"/>
    <w:rsid w:val="120AEDB8"/>
    <w:rsid w:val="1214E1D8"/>
    <w:rsid w:val="121620CC"/>
    <w:rsid w:val="12328E79"/>
    <w:rsid w:val="12383490"/>
    <w:rsid w:val="1238C16A"/>
    <w:rsid w:val="125402B3"/>
    <w:rsid w:val="125CA03D"/>
    <w:rsid w:val="12635FDF"/>
    <w:rsid w:val="128F10B3"/>
    <w:rsid w:val="12B038EC"/>
    <w:rsid w:val="12B0FB96"/>
    <w:rsid w:val="12B50301"/>
    <w:rsid w:val="12CA16A0"/>
    <w:rsid w:val="12D522F7"/>
    <w:rsid w:val="12D66969"/>
    <w:rsid w:val="12F6681F"/>
    <w:rsid w:val="12FD8631"/>
    <w:rsid w:val="13043C0A"/>
    <w:rsid w:val="130A47EB"/>
    <w:rsid w:val="130AC409"/>
    <w:rsid w:val="131DEABC"/>
    <w:rsid w:val="1328D48A"/>
    <w:rsid w:val="1332CE02"/>
    <w:rsid w:val="1333EFB3"/>
    <w:rsid w:val="13372EE0"/>
    <w:rsid w:val="133C4335"/>
    <w:rsid w:val="133EFF6D"/>
    <w:rsid w:val="133FF372"/>
    <w:rsid w:val="1361B18B"/>
    <w:rsid w:val="1371BC6B"/>
    <w:rsid w:val="138DB7E2"/>
    <w:rsid w:val="139609C9"/>
    <w:rsid w:val="13C20350"/>
    <w:rsid w:val="13CE614C"/>
    <w:rsid w:val="13ED3B5A"/>
    <w:rsid w:val="13F89165"/>
    <w:rsid w:val="13FD0613"/>
    <w:rsid w:val="140680D5"/>
    <w:rsid w:val="140B6CF3"/>
    <w:rsid w:val="140EC1E6"/>
    <w:rsid w:val="141808BD"/>
    <w:rsid w:val="143C0582"/>
    <w:rsid w:val="143DEFCD"/>
    <w:rsid w:val="144C9A01"/>
    <w:rsid w:val="144CD7AC"/>
    <w:rsid w:val="145A218F"/>
    <w:rsid w:val="146E36F4"/>
    <w:rsid w:val="1475E774"/>
    <w:rsid w:val="148AAAE6"/>
    <w:rsid w:val="14A742A5"/>
    <w:rsid w:val="14C155A2"/>
    <w:rsid w:val="14D440D7"/>
    <w:rsid w:val="14E110DE"/>
    <w:rsid w:val="14ECA149"/>
    <w:rsid w:val="14F0C048"/>
    <w:rsid w:val="14F8BC95"/>
    <w:rsid w:val="14FEDBEF"/>
    <w:rsid w:val="1509C3F9"/>
    <w:rsid w:val="15212C44"/>
    <w:rsid w:val="152AB9D7"/>
    <w:rsid w:val="152CB5C8"/>
    <w:rsid w:val="15461891"/>
    <w:rsid w:val="1548B3C8"/>
    <w:rsid w:val="154E36E6"/>
    <w:rsid w:val="1551E6AB"/>
    <w:rsid w:val="1554DE07"/>
    <w:rsid w:val="15586887"/>
    <w:rsid w:val="155D0813"/>
    <w:rsid w:val="155DBDA6"/>
    <w:rsid w:val="1565D1F7"/>
    <w:rsid w:val="15664E0A"/>
    <w:rsid w:val="15847EA9"/>
    <w:rsid w:val="158F0DB1"/>
    <w:rsid w:val="15963F17"/>
    <w:rsid w:val="15984182"/>
    <w:rsid w:val="159D3704"/>
    <w:rsid w:val="15AE87B1"/>
    <w:rsid w:val="15AFA689"/>
    <w:rsid w:val="15CFC2E0"/>
    <w:rsid w:val="15E2ABB7"/>
    <w:rsid w:val="15E93564"/>
    <w:rsid w:val="15EA263A"/>
    <w:rsid w:val="15FF415A"/>
    <w:rsid w:val="16075B39"/>
    <w:rsid w:val="16277B3E"/>
    <w:rsid w:val="164D4C78"/>
    <w:rsid w:val="1651E5A9"/>
    <w:rsid w:val="1685754B"/>
    <w:rsid w:val="1688332F"/>
    <w:rsid w:val="168F1A30"/>
    <w:rsid w:val="169F597E"/>
    <w:rsid w:val="16A6B78C"/>
    <w:rsid w:val="16ABCD5D"/>
    <w:rsid w:val="16CC875E"/>
    <w:rsid w:val="16CFFCCB"/>
    <w:rsid w:val="16E2A092"/>
    <w:rsid w:val="16E530EE"/>
    <w:rsid w:val="16EAFE03"/>
    <w:rsid w:val="16F7C5A0"/>
    <w:rsid w:val="16FECED9"/>
    <w:rsid w:val="16FED529"/>
    <w:rsid w:val="17024F6A"/>
    <w:rsid w:val="1710993A"/>
    <w:rsid w:val="1712F2C0"/>
    <w:rsid w:val="1725B337"/>
    <w:rsid w:val="172B9E00"/>
    <w:rsid w:val="173EF77C"/>
    <w:rsid w:val="1742F463"/>
    <w:rsid w:val="174461BA"/>
    <w:rsid w:val="175BF957"/>
    <w:rsid w:val="175F2592"/>
    <w:rsid w:val="178015B3"/>
    <w:rsid w:val="179B540E"/>
    <w:rsid w:val="17C6E8D2"/>
    <w:rsid w:val="17C80220"/>
    <w:rsid w:val="17D03265"/>
    <w:rsid w:val="17D2C4F4"/>
    <w:rsid w:val="17D44E17"/>
    <w:rsid w:val="17E2F3FC"/>
    <w:rsid w:val="17EEB321"/>
    <w:rsid w:val="17F2F63C"/>
    <w:rsid w:val="180D8C9D"/>
    <w:rsid w:val="1810F4F0"/>
    <w:rsid w:val="18212941"/>
    <w:rsid w:val="1824D58A"/>
    <w:rsid w:val="1826AE28"/>
    <w:rsid w:val="183FB453"/>
    <w:rsid w:val="18433AC5"/>
    <w:rsid w:val="18524D2B"/>
    <w:rsid w:val="18627500"/>
    <w:rsid w:val="1862D988"/>
    <w:rsid w:val="18646C63"/>
    <w:rsid w:val="1867A131"/>
    <w:rsid w:val="1869AAF5"/>
    <w:rsid w:val="186D2B79"/>
    <w:rsid w:val="188CEDCF"/>
    <w:rsid w:val="18997A18"/>
    <w:rsid w:val="18A00C52"/>
    <w:rsid w:val="18AF6BF6"/>
    <w:rsid w:val="18B2DEFE"/>
    <w:rsid w:val="18B4EFB8"/>
    <w:rsid w:val="18D262D5"/>
    <w:rsid w:val="18D4277A"/>
    <w:rsid w:val="18DFE5E4"/>
    <w:rsid w:val="18E0B9DE"/>
    <w:rsid w:val="18E35D5B"/>
    <w:rsid w:val="18EF5B61"/>
    <w:rsid w:val="18F32AFF"/>
    <w:rsid w:val="18FEDF5B"/>
    <w:rsid w:val="19098791"/>
    <w:rsid w:val="190C2CE8"/>
    <w:rsid w:val="191571AD"/>
    <w:rsid w:val="191F9ED9"/>
    <w:rsid w:val="191FDC34"/>
    <w:rsid w:val="19265356"/>
    <w:rsid w:val="19420F8B"/>
    <w:rsid w:val="19424A22"/>
    <w:rsid w:val="195EEF75"/>
    <w:rsid w:val="19647DCF"/>
    <w:rsid w:val="19761027"/>
    <w:rsid w:val="197E2510"/>
    <w:rsid w:val="197ED84A"/>
    <w:rsid w:val="19878464"/>
    <w:rsid w:val="198E84F0"/>
    <w:rsid w:val="19955BB1"/>
    <w:rsid w:val="1996EC0C"/>
    <w:rsid w:val="19987C11"/>
    <w:rsid w:val="199C1E71"/>
    <w:rsid w:val="199C3C7E"/>
    <w:rsid w:val="19A8FDEE"/>
    <w:rsid w:val="19B4A115"/>
    <w:rsid w:val="19BB4490"/>
    <w:rsid w:val="19C38517"/>
    <w:rsid w:val="19C51C68"/>
    <w:rsid w:val="19CC0787"/>
    <w:rsid w:val="19DC6BDE"/>
    <w:rsid w:val="19E8AB76"/>
    <w:rsid w:val="19E9D402"/>
    <w:rsid w:val="19F218F1"/>
    <w:rsid w:val="1A0B4592"/>
    <w:rsid w:val="1A1FA86F"/>
    <w:rsid w:val="1A222D6A"/>
    <w:rsid w:val="1A258034"/>
    <w:rsid w:val="1A2CD512"/>
    <w:rsid w:val="1A31E604"/>
    <w:rsid w:val="1A514CF0"/>
    <w:rsid w:val="1A5BE5C7"/>
    <w:rsid w:val="1A61102E"/>
    <w:rsid w:val="1A624F37"/>
    <w:rsid w:val="1A65CE1C"/>
    <w:rsid w:val="1A72A574"/>
    <w:rsid w:val="1A7A12C4"/>
    <w:rsid w:val="1A84A6D7"/>
    <w:rsid w:val="1A8A0C31"/>
    <w:rsid w:val="1A8ED1AE"/>
    <w:rsid w:val="1A8F835E"/>
    <w:rsid w:val="1A8FB6BE"/>
    <w:rsid w:val="1A959238"/>
    <w:rsid w:val="1AA11265"/>
    <w:rsid w:val="1AAC994D"/>
    <w:rsid w:val="1AADC281"/>
    <w:rsid w:val="1AC10BE1"/>
    <w:rsid w:val="1AC27AC8"/>
    <w:rsid w:val="1AD4180C"/>
    <w:rsid w:val="1AD44632"/>
    <w:rsid w:val="1ADBD110"/>
    <w:rsid w:val="1ADC1697"/>
    <w:rsid w:val="1AED4A1E"/>
    <w:rsid w:val="1AF808E0"/>
    <w:rsid w:val="1B1A1B94"/>
    <w:rsid w:val="1B3040A5"/>
    <w:rsid w:val="1B3300EF"/>
    <w:rsid w:val="1B3A62E4"/>
    <w:rsid w:val="1B447106"/>
    <w:rsid w:val="1B5BBCFE"/>
    <w:rsid w:val="1B66E60B"/>
    <w:rsid w:val="1B6DF68A"/>
    <w:rsid w:val="1B73B5EA"/>
    <w:rsid w:val="1B75ACE5"/>
    <w:rsid w:val="1B77C99C"/>
    <w:rsid w:val="1B86D253"/>
    <w:rsid w:val="1B879844"/>
    <w:rsid w:val="1BA573AE"/>
    <w:rsid w:val="1BB1D0B3"/>
    <w:rsid w:val="1BDF2809"/>
    <w:rsid w:val="1BDF7BC5"/>
    <w:rsid w:val="1BEFA2E0"/>
    <w:rsid w:val="1BF4A026"/>
    <w:rsid w:val="1BF53AC8"/>
    <w:rsid w:val="1BFC6E17"/>
    <w:rsid w:val="1C1A45EA"/>
    <w:rsid w:val="1C229B30"/>
    <w:rsid w:val="1C2595D5"/>
    <w:rsid w:val="1C2A6501"/>
    <w:rsid w:val="1C3AC1C0"/>
    <w:rsid w:val="1C3E0DB1"/>
    <w:rsid w:val="1C5048F8"/>
    <w:rsid w:val="1C6B7B87"/>
    <w:rsid w:val="1C7DEF57"/>
    <w:rsid w:val="1C88989B"/>
    <w:rsid w:val="1C8D8091"/>
    <w:rsid w:val="1C911DC0"/>
    <w:rsid w:val="1C9D22E5"/>
    <w:rsid w:val="1CA25E62"/>
    <w:rsid w:val="1CA30C77"/>
    <w:rsid w:val="1CABF0F3"/>
    <w:rsid w:val="1CBA8509"/>
    <w:rsid w:val="1CD7292A"/>
    <w:rsid w:val="1CD99828"/>
    <w:rsid w:val="1CF8A79F"/>
    <w:rsid w:val="1D193E0E"/>
    <w:rsid w:val="1D2998F4"/>
    <w:rsid w:val="1D336E59"/>
    <w:rsid w:val="1D33EEAB"/>
    <w:rsid w:val="1D3FA569"/>
    <w:rsid w:val="1D529D61"/>
    <w:rsid w:val="1D54A02E"/>
    <w:rsid w:val="1D5884CD"/>
    <w:rsid w:val="1D6988A6"/>
    <w:rsid w:val="1D85DDF0"/>
    <w:rsid w:val="1D993F8C"/>
    <w:rsid w:val="1DA1CED9"/>
    <w:rsid w:val="1DA88F15"/>
    <w:rsid w:val="1DA9A72A"/>
    <w:rsid w:val="1DD31193"/>
    <w:rsid w:val="1DDA7C09"/>
    <w:rsid w:val="1DDEB7F5"/>
    <w:rsid w:val="1DE73FA0"/>
    <w:rsid w:val="1DED518D"/>
    <w:rsid w:val="1E038322"/>
    <w:rsid w:val="1E20857D"/>
    <w:rsid w:val="1E23F5CA"/>
    <w:rsid w:val="1E24BD3F"/>
    <w:rsid w:val="1E254A83"/>
    <w:rsid w:val="1E2EF4DF"/>
    <w:rsid w:val="1E3621E2"/>
    <w:rsid w:val="1E52019F"/>
    <w:rsid w:val="1E544622"/>
    <w:rsid w:val="1E564D1F"/>
    <w:rsid w:val="1E56B5A2"/>
    <w:rsid w:val="1E57CC2F"/>
    <w:rsid w:val="1E71D59C"/>
    <w:rsid w:val="1E830045"/>
    <w:rsid w:val="1E8F1359"/>
    <w:rsid w:val="1E979363"/>
    <w:rsid w:val="1E97A37A"/>
    <w:rsid w:val="1E98C487"/>
    <w:rsid w:val="1EADF722"/>
    <w:rsid w:val="1EB228D3"/>
    <w:rsid w:val="1EC44CA0"/>
    <w:rsid w:val="1EC52840"/>
    <w:rsid w:val="1EC983AA"/>
    <w:rsid w:val="1ED00848"/>
    <w:rsid w:val="1EE0BC2C"/>
    <w:rsid w:val="1EEF862C"/>
    <w:rsid w:val="1F068DB3"/>
    <w:rsid w:val="1F330C8A"/>
    <w:rsid w:val="1F3AFBC3"/>
    <w:rsid w:val="1F55E282"/>
    <w:rsid w:val="1F791FBE"/>
    <w:rsid w:val="1FA9AE09"/>
    <w:rsid w:val="1FB19B59"/>
    <w:rsid w:val="1FBCC1AF"/>
    <w:rsid w:val="1FBE1080"/>
    <w:rsid w:val="1FC2B4CC"/>
    <w:rsid w:val="1FD41373"/>
    <w:rsid w:val="1FED0C9C"/>
    <w:rsid w:val="1FF537B6"/>
    <w:rsid w:val="1FFA8B48"/>
    <w:rsid w:val="20021AE4"/>
    <w:rsid w:val="2006F47B"/>
    <w:rsid w:val="2015EC01"/>
    <w:rsid w:val="2038D171"/>
    <w:rsid w:val="203C444B"/>
    <w:rsid w:val="20449042"/>
    <w:rsid w:val="205AD7F0"/>
    <w:rsid w:val="206676D5"/>
    <w:rsid w:val="206DC063"/>
    <w:rsid w:val="20809069"/>
    <w:rsid w:val="2084D234"/>
    <w:rsid w:val="208F9825"/>
    <w:rsid w:val="209C86C4"/>
    <w:rsid w:val="209CA10C"/>
    <w:rsid w:val="20A13BCB"/>
    <w:rsid w:val="20A211F9"/>
    <w:rsid w:val="20B42593"/>
    <w:rsid w:val="20BFB891"/>
    <w:rsid w:val="20CF582A"/>
    <w:rsid w:val="20DA4BDC"/>
    <w:rsid w:val="20E34864"/>
    <w:rsid w:val="20F4F5FA"/>
    <w:rsid w:val="20FA6F65"/>
    <w:rsid w:val="20FD8E12"/>
    <w:rsid w:val="2101E642"/>
    <w:rsid w:val="210F6536"/>
    <w:rsid w:val="21111D1B"/>
    <w:rsid w:val="21126C44"/>
    <w:rsid w:val="211653CC"/>
    <w:rsid w:val="21171ADC"/>
    <w:rsid w:val="211EDF21"/>
    <w:rsid w:val="2122A9CA"/>
    <w:rsid w:val="215F9238"/>
    <w:rsid w:val="21647C9F"/>
    <w:rsid w:val="21A735BC"/>
    <w:rsid w:val="21B09792"/>
    <w:rsid w:val="21B96673"/>
    <w:rsid w:val="21CF8DB2"/>
    <w:rsid w:val="21DF5AAF"/>
    <w:rsid w:val="21E5F33B"/>
    <w:rsid w:val="220AD039"/>
    <w:rsid w:val="220FFD5A"/>
    <w:rsid w:val="22138071"/>
    <w:rsid w:val="22175123"/>
    <w:rsid w:val="22211512"/>
    <w:rsid w:val="22232ACA"/>
    <w:rsid w:val="223D191B"/>
    <w:rsid w:val="2242FC31"/>
    <w:rsid w:val="2265AC3A"/>
    <w:rsid w:val="2279E05C"/>
    <w:rsid w:val="227D4E6A"/>
    <w:rsid w:val="2283D05A"/>
    <w:rsid w:val="228BA668"/>
    <w:rsid w:val="22932E9B"/>
    <w:rsid w:val="22A6E7A0"/>
    <w:rsid w:val="22A808FB"/>
    <w:rsid w:val="22AA27C8"/>
    <w:rsid w:val="22AFBADE"/>
    <w:rsid w:val="22B2F996"/>
    <w:rsid w:val="22C178A2"/>
    <w:rsid w:val="22C23E49"/>
    <w:rsid w:val="22C3E28B"/>
    <w:rsid w:val="22C4EC58"/>
    <w:rsid w:val="22DCEFC6"/>
    <w:rsid w:val="22DD3BF9"/>
    <w:rsid w:val="22DE7BBA"/>
    <w:rsid w:val="22E60EAA"/>
    <w:rsid w:val="22E7B40D"/>
    <w:rsid w:val="230507F3"/>
    <w:rsid w:val="230CD785"/>
    <w:rsid w:val="230D2A26"/>
    <w:rsid w:val="232BFF25"/>
    <w:rsid w:val="23311AD7"/>
    <w:rsid w:val="234AA53A"/>
    <w:rsid w:val="23613CAD"/>
    <w:rsid w:val="23657244"/>
    <w:rsid w:val="237E043F"/>
    <w:rsid w:val="2387AB29"/>
    <w:rsid w:val="23920DE1"/>
    <w:rsid w:val="23A3B062"/>
    <w:rsid w:val="23CB8AD0"/>
    <w:rsid w:val="23D1556F"/>
    <w:rsid w:val="23DA1B1C"/>
    <w:rsid w:val="23DC2554"/>
    <w:rsid w:val="23E36EFC"/>
    <w:rsid w:val="23F5836A"/>
    <w:rsid w:val="240B50C8"/>
    <w:rsid w:val="240FE36A"/>
    <w:rsid w:val="2433A900"/>
    <w:rsid w:val="2437AD78"/>
    <w:rsid w:val="244FDC50"/>
    <w:rsid w:val="246418E1"/>
    <w:rsid w:val="2464D60A"/>
    <w:rsid w:val="246D783A"/>
    <w:rsid w:val="248A1316"/>
    <w:rsid w:val="24B4E4D7"/>
    <w:rsid w:val="24D8A5C0"/>
    <w:rsid w:val="24DBACF2"/>
    <w:rsid w:val="24EB4716"/>
    <w:rsid w:val="24FBB348"/>
    <w:rsid w:val="251290AF"/>
    <w:rsid w:val="251D66ED"/>
    <w:rsid w:val="253A6632"/>
    <w:rsid w:val="25400BB7"/>
    <w:rsid w:val="2543D328"/>
    <w:rsid w:val="2545B4C7"/>
    <w:rsid w:val="254A5A53"/>
    <w:rsid w:val="254A5B82"/>
    <w:rsid w:val="2554A688"/>
    <w:rsid w:val="255D2C5E"/>
    <w:rsid w:val="25665634"/>
    <w:rsid w:val="2568B953"/>
    <w:rsid w:val="257CE8F8"/>
    <w:rsid w:val="2589574D"/>
    <w:rsid w:val="258F0D54"/>
    <w:rsid w:val="2597C52A"/>
    <w:rsid w:val="25999DE4"/>
    <w:rsid w:val="25A2CB33"/>
    <w:rsid w:val="25AA54AC"/>
    <w:rsid w:val="25AB1EE6"/>
    <w:rsid w:val="25AEDCCA"/>
    <w:rsid w:val="25B4CC44"/>
    <w:rsid w:val="25B61E33"/>
    <w:rsid w:val="25BAF188"/>
    <w:rsid w:val="25BB4392"/>
    <w:rsid w:val="25D6312F"/>
    <w:rsid w:val="25D75CA7"/>
    <w:rsid w:val="25D8C85E"/>
    <w:rsid w:val="25E10C01"/>
    <w:rsid w:val="25E16043"/>
    <w:rsid w:val="25E1EF65"/>
    <w:rsid w:val="25F7D0E7"/>
    <w:rsid w:val="260319CC"/>
    <w:rsid w:val="26269464"/>
    <w:rsid w:val="262D0E42"/>
    <w:rsid w:val="262D644D"/>
    <w:rsid w:val="263254A6"/>
    <w:rsid w:val="263A15A0"/>
    <w:rsid w:val="2640238C"/>
    <w:rsid w:val="26463854"/>
    <w:rsid w:val="26481F9B"/>
    <w:rsid w:val="26564C4F"/>
    <w:rsid w:val="265E718F"/>
    <w:rsid w:val="2675AA01"/>
    <w:rsid w:val="26784CB6"/>
    <w:rsid w:val="267BF93B"/>
    <w:rsid w:val="26831B9C"/>
    <w:rsid w:val="2687A594"/>
    <w:rsid w:val="2693772A"/>
    <w:rsid w:val="2695C763"/>
    <w:rsid w:val="26971825"/>
    <w:rsid w:val="269CB704"/>
    <w:rsid w:val="26AAB48C"/>
    <w:rsid w:val="26B4630D"/>
    <w:rsid w:val="26BD47AE"/>
    <w:rsid w:val="26C0D1F0"/>
    <w:rsid w:val="26C14E67"/>
    <w:rsid w:val="26C15C15"/>
    <w:rsid w:val="26C2716B"/>
    <w:rsid w:val="26CFBA0A"/>
    <w:rsid w:val="26D9431D"/>
    <w:rsid w:val="26DAB22B"/>
    <w:rsid w:val="26EE1B5E"/>
    <w:rsid w:val="26FA3064"/>
    <w:rsid w:val="26FBE6BE"/>
    <w:rsid w:val="2701A861"/>
    <w:rsid w:val="27125CE5"/>
    <w:rsid w:val="2717D2D7"/>
    <w:rsid w:val="27220622"/>
    <w:rsid w:val="27235BAE"/>
    <w:rsid w:val="2726F2CE"/>
    <w:rsid w:val="27314992"/>
    <w:rsid w:val="274ECCFB"/>
    <w:rsid w:val="2755AC9D"/>
    <w:rsid w:val="277CFC01"/>
    <w:rsid w:val="278F9AF8"/>
    <w:rsid w:val="2794197C"/>
    <w:rsid w:val="279B9F4B"/>
    <w:rsid w:val="27A4B9B3"/>
    <w:rsid w:val="27ABA6C7"/>
    <w:rsid w:val="27AF5F05"/>
    <w:rsid w:val="27CF0B29"/>
    <w:rsid w:val="27E2B265"/>
    <w:rsid w:val="27E52CF3"/>
    <w:rsid w:val="27E8C418"/>
    <w:rsid w:val="27F23F77"/>
    <w:rsid w:val="280F1ECA"/>
    <w:rsid w:val="281E2A26"/>
    <w:rsid w:val="281EF589"/>
    <w:rsid w:val="283024A4"/>
    <w:rsid w:val="284212B1"/>
    <w:rsid w:val="285115EE"/>
    <w:rsid w:val="2855F6FB"/>
    <w:rsid w:val="2865960D"/>
    <w:rsid w:val="2866FBD8"/>
    <w:rsid w:val="28691EF4"/>
    <w:rsid w:val="28757FC1"/>
    <w:rsid w:val="287978D7"/>
    <w:rsid w:val="28814246"/>
    <w:rsid w:val="2882485F"/>
    <w:rsid w:val="2883EA4F"/>
    <w:rsid w:val="28A41FF4"/>
    <w:rsid w:val="28B825E2"/>
    <w:rsid w:val="28C01D0A"/>
    <w:rsid w:val="28C0F3CB"/>
    <w:rsid w:val="28C2738D"/>
    <w:rsid w:val="28CA6D2F"/>
    <w:rsid w:val="28DCF951"/>
    <w:rsid w:val="28E230B8"/>
    <w:rsid w:val="29020995"/>
    <w:rsid w:val="29050494"/>
    <w:rsid w:val="2905DB49"/>
    <w:rsid w:val="2906256E"/>
    <w:rsid w:val="290651BC"/>
    <w:rsid w:val="290C70E8"/>
    <w:rsid w:val="292A33ED"/>
    <w:rsid w:val="293A4A4F"/>
    <w:rsid w:val="2941140F"/>
    <w:rsid w:val="295C8BCE"/>
    <w:rsid w:val="29700161"/>
    <w:rsid w:val="297C049C"/>
    <w:rsid w:val="2989A3E3"/>
    <w:rsid w:val="29AEA512"/>
    <w:rsid w:val="29BEE816"/>
    <w:rsid w:val="29C14E68"/>
    <w:rsid w:val="29CA5AB8"/>
    <w:rsid w:val="29CC4896"/>
    <w:rsid w:val="29DFE75A"/>
    <w:rsid w:val="29EA5823"/>
    <w:rsid w:val="29F37434"/>
    <w:rsid w:val="2A3357B8"/>
    <w:rsid w:val="2A34F0C5"/>
    <w:rsid w:val="2A36E5F0"/>
    <w:rsid w:val="2A4967A3"/>
    <w:rsid w:val="2A63A500"/>
    <w:rsid w:val="2A737475"/>
    <w:rsid w:val="2A765B1B"/>
    <w:rsid w:val="2A888658"/>
    <w:rsid w:val="2A8ABBB3"/>
    <w:rsid w:val="2AAA631E"/>
    <w:rsid w:val="2AB12B4D"/>
    <w:rsid w:val="2AB30215"/>
    <w:rsid w:val="2AB6CCC6"/>
    <w:rsid w:val="2AC5558E"/>
    <w:rsid w:val="2ACFF820"/>
    <w:rsid w:val="2AE5FC26"/>
    <w:rsid w:val="2AF00396"/>
    <w:rsid w:val="2AF69F2A"/>
    <w:rsid w:val="2AFA6805"/>
    <w:rsid w:val="2AFFFB2B"/>
    <w:rsid w:val="2B127910"/>
    <w:rsid w:val="2B17237E"/>
    <w:rsid w:val="2B28AE1A"/>
    <w:rsid w:val="2B29171C"/>
    <w:rsid w:val="2B2BB0A3"/>
    <w:rsid w:val="2B413A4A"/>
    <w:rsid w:val="2B42793A"/>
    <w:rsid w:val="2B5FDB74"/>
    <w:rsid w:val="2B693115"/>
    <w:rsid w:val="2B6AD023"/>
    <w:rsid w:val="2B76991D"/>
    <w:rsid w:val="2B8F4F49"/>
    <w:rsid w:val="2B9034B6"/>
    <w:rsid w:val="2B9EBC41"/>
    <w:rsid w:val="2BB145F9"/>
    <w:rsid w:val="2BB1B48B"/>
    <w:rsid w:val="2BC775FE"/>
    <w:rsid w:val="2BD95B81"/>
    <w:rsid w:val="2BE936CC"/>
    <w:rsid w:val="2BF18A1B"/>
    <w:rsid w:val="2C03F973"/>
    <w:rsid w:val="2C0639E8"/>
    <w:rsid w:val="2C0C0127"/>
    <w:rsid w:val="2C1310CC"/>
    <w:rsid w:val="2C302A70"/>
    <w:rsid w:val="2C343237"/>
    <w:rsid w:val="2C4C36A0"/>
    <w:rsid w:val="2C505F44"/>
    <w:rsid w:val="2C5293AF"/>
    <w:rsid w:val="2C64ACB4"/>
    <w:rsid w:val="2C6F7F29"/>
    <w:rsid w:val="2C77901B"/>
    <w:rsid w:val="2C7C43F6"/>
    <w:rsid w:val="2C8CBDA0"/>
    <w:rsid w:val="2CA6AEB2"/>
    <w:rsid w:val="2CB2B344"/>
    <w:rsid w:val="2CB90093"/>
    <w:rsid w:val="2CBD0717"/>
    <w:rsid w:val="2CCE8BBC"/>
    <w:rsid w:val="2CFA52E1"/>
    <w:rsid w:val="2CFF5527"/>
    <w:rsid w:val="2D00320B"/>
    <w:rsid w:val="2D1D881B"/>
    <w:rsid w:val="2D308D06"/>
    <w:rsid w:val="2D3390B1"/>
    <w:rsid w:val="2D471AE2"/>
    <w:rsid w:val="2D508E7D"/>
    <w:rsid w:val="2D5CF674"/>
    <w:rsid w:val="2D6554E9"/>
    <w:rsid w:val="2D6560E7"/>
    <w:rsid w:val="2D6DCEA8"/>
    <w:rsid w:val="2D74CB9F"/>
    <w:rsid w:val="2D752F48"/>
    <w:rsid w:val="2D7F96FC"/>
    <w:rsid w:val="2D81E1E5"/>
    <w:rsid w:val="2D88D167"/>
    <w:rsid w:val="2D91A391"/>
    <w:rsid w:val="2DA3AB9B"/>
    <w:rsid w:val="2DA8112C"/>
    <w:rsid w:val="2DA9B7CD"/>
    <w:rsid w:val="2DAD2F55"/>
    <w:rsid w:val="2DBF29ED"/>
    <w:rsid w:val="2DC16F60"/>
    <w:rsid w:val="2DD17C3A"/>
    <w:rsid w:val="2DE2195F"/>
    <w:rsid w:val="2DFEE339"/>
    <w:rsid w:val="2E1FB49A"/>
    <w:rsid w:val="2E21846F"/>
    <w:rsid w:val="2E344E5A"/>
    <w:rsid w:val="2E41BEBF"/>
    <w:rsid w:val="2E517BF4"/>
    <w:rsid w:val="2E73EAF5"/>
    <w:rsid w:val="2E7D12A9"/>
    <w:rsid w:val="2E7D9CA9"/>
    <w:rsid w:val="2E85DB21"/>
    <w:rsid w:val="2E89EA7A"/>
    <w:rsid w:val="2E8B5EE5"/>
    <w:rsid w:val="2E8D0766"/>
    <w:rsid w:val="2E982F18"/>
    <w:rsid w:val="2EC863FD"/>
    <w:rsid w:val="2ECA3D19"/>
    <w:rsid w:val="2ECAE32B"/>
    <w:rsid w:val="2EED617F"/>
    <w:rsid w:val="2EF2E5AB"/>
    <w:rsid w:val="2EFC6096"/>
    <w:rsid w:val="2F008DC5"/>
    <w:rsid w:val="2F20C666"/>
    <w:rsid w:val="2F26A691"/>
    <w:rsid w:val="2F3BF85E"/>
    <w:rsid w:val="2F721048"/>
    <w:rsid w:val="2F7BAC73"/>
    <w:rsid w:val="2F88C0D9"/>
    <w:rsid w:val="2F94DBD6"/>
    <w:rsid w:val="2FA14062"/>
    <w:rsid w:val="2FA46B15"/>
    <w:rsid w:val="2FC03249"/>
    <w:rsid w:val="2FC0EA70"/>
    <w:rsid w:val="2FC1861C"/>
    <w:rsid w:val="2FD7C673"/>
    <w:rsid w:val="2FFEECB2"/>
    <w:rsid w:val="301211C2"/>
    <w:rsid w:val="3033FC39"/>
    <w:rsid w:val="30380182"/>
    <w:rsid w:val="30394E23"/>
    <w:rsid w:val="30706BEA"/>
    <w:rsid w:val="30907BAA"/>
    <w:rsid w:val="309569FB"/>
    <w:rsid w:val="3095EDF1"/>
    <w:rsid w:val="30AA80C1"/>
    <w:rsid w:val="30AE1FB3"/>
    <w:rsid w:val="30BD1535"/>
    <w:rsid w:val="30C117A4"/>
    <w:rsid w:val="3101C863"/>
    <w:rsid w:val="310B08CC"/>
    <w:rsid w:val="3111B061"/>
    <w:rsid w:val="31162338"/>
    <w:rsid w:val="311C8B75"/>
    <w:rsid w:val="311D1EF9"/>
    <w:rsid w:val="313936E1"/>
    <w:rsid w:val="31675212"/>
    <w:rsid w:val="317E5CB6"/>
    <w:rsid w:val="3182F5CE"/>
    <w:rsid w:val="31856885"/>
    <w:rsid w:val="31BAAABA"/>
    <w:rsid w:val="31C768A8"/>
    <w:rsid w:val="31EA23EB"/>
    <w:rsid w:val="31FD317F"/>
    <w:rsid w:val="320808A3"/>
    <w:rsid w:val="320D983B"/>
    <w:rsid w:val="32276BAE"/>
    <w:rsid w:val="32345627"/>
    <w:rsid w:val="323528D3"/>
    <w:rsid w:val="324F36F5"/>
    <w:rsid w:val="325926FF"/>
    <w:rsid w:val="326116EC"/>
    <w:rsid w:val="32664FED"/>
    <w:rsid w:val="326F921D"/>
    <w:rsid w:val="329C218F"/>
    <w:rsid w:val="329D6D0A"/>
    <w:rsid w:val="32B5DCB0"/>
    <w:rsid w:val="32CFAA25"/>
    <w:rsid w:val="32D758C9"/>
    <w:rsid w:val="32F2D9D8"/>
    <w:rsid w:val="32F3A11B"/>
    <w:rsid w:val="3310A531"/>
    <w:rsid w:val="335517E0"/>
    <w:rsid w:val="33A962B0"/>
    <w:rsid w:val="33ADDC9C"/>
    <w:rsid w:val="33CC8FEB"/>
    <w:rsid w:val="33D7AA3A"/>
    <w:rsid w:val="33E0BE96"/>
    <w:rsid w:val="33E183A8"/>
    <w:rsid w:val="3402F473"/>
    <w:rsid w:val="340343D3"/>
    <w:rsid w:val="340A132A"/>
    <w:rsid w:val="340BAE4A"/>
    <w:rsid w:val="340D8D0F"/>
    <w:rsid w:val="341A0249"/>
    <w:rsid w:val="3423DD99"/>
    <w:rsid w:val="343C455A"/>
    <w:rsid w:val="343F65E4"/>
    <w:rsid w:val="34435A1B"/>
    <w:rsid w:val="34705459"/>
    <w:rsid w:val="347B379D"/>
    <w:rsid w:val="3482F606"/>
    <w:rsid w:val="34899B58"/>
    <w:rsid w:val="34BD291E"/>
    <w:rsid w:val="34D8DB74"/>
    <w:rsid w:val="34E3EB40"/>
    <w:rsid w:val="34E52A87"/>
    <w:rsid w:val="34F02784"/>
    <w:rsid w:val="350EE5A0"/>
    <w:rsid w:val="3510EA53"/>
    <w:rsid w:val="351F6A9C"/>
    <w:rsid w:val="3531D5C1"/>
    <w:rsid w:val="3532EF68"/>
    <w:rsid w:val="353BD433"/>
    <w:rsid w:val="354F5960"/>
    <w:rsid w:val="3554CAB0"/>
    <w:rsid w:val="3555AA48"/>
    <w:rsid w:val="356346BF"/>
    <w:rsid w:val="3567075B"/>
    <w:rsid w:val="35693E7A"/>
    <w:rsid w:val="3570C565"/>
    <w:rsid w:val="3584FB63"/>
    <w:rsid w:val="3588FBDB"/>
    <w:rsid w:val="35A9FD5F"/>
    <w:rsid w:val="35CD59A9"/>
    <w:rsid w:val="35D0453D"/>
    <w:rsid w:val="35E749DC"/>
    <w:rsid w:val="3602337F"/>
    <w:rsid w:val="3624F60F"/>
    <w:rsid w:val="362B909C"/>
    <w:rsid w:val="364791EB"/>
    <w:rsid w:val="3647B145"/>
    <w:rsid w:val="364B6DD0"/>
    <w:rsid w:val="364C70AC"/>
    <w:rsid w:val="36632DF3"/>
    <w:rsid w:val="36634B41"/>
    <w:rsid w:val="3663DC1A"/>
    <w:rsid w:val="367370C6"/>
    <w:rsid w:val="367CA050"/>
    <w:rsid w:val="369D34B3"/>
    <w:rsid w:val="36BAA6AD"/>
    <w:rsid w:val="36C33924"/>
    <w:rsid w:val="36E5ACA5"/>
    <w:rsid w:val="36ED77E3"/>
    <w:rsid w:val="36FCE0A8"/>
    <w:rsid w:val="36FD9663"/>
    <w:rsid w:val="3701D514"/>
    <w:rsid w:val="3702DFB4"/>
    <w:rsid w:val="37067667"/>
    <w:rsid w:val="37086847"/>
    <w:rsid w:val="370F38F8"/>
    <w:rsid w:val="372EACC8"/>
    <w:rsid w:val="376A3217"/>
    <w:rsid w:val="376D0495"/>
    <w:rsid w:val="3775B161"/>
    <w:rsid w:val="377BD9CB"/>
    <w:rsid w:val="378290FA"/>
    <w:rsid w:val="378B6231"/>
    <w:rsid w:val="379A2440"/>
    <w:rsid w:val="379ECBA0"/>
    <w:rsid w:val="37AEBFA1"/>
    <w:rsid w:val="37B01DD5"/>
    <w:rsid w:val="37B56313"/>
    <w:rsid w:val="37C949D7"/>
    <w:rsid w:val="37C982A6"/>
    <w:rsid w:val="37CBE027"/>
    <w:rsid w:val="37E15097"/>
    <w:rsid w:val="37E463F8"/>
    <w:rsid w:val="37EF85AB"/>
    <w:rsid w:val="380C4DFE"/>
    <w:rsid w:val="380DFB95"/>
    <w:rsid w:val="380F2A78"/>
    <w:rsid w:val="382B7B28"/>
    <w:rsid w:val="3831A5E9"/>
    <w:rsid w:val="38451D04"/>
    <w:rsid w:val="3853EC36"/>
    <w:rsid w:val="38597732"/>
    <w:rsid w:val="3866E313"/>
    <w:rsid w:val="38675ACC"/>
    <w:rsid w:val="386DC792"/>
    <w:rsid w:val="3874BF17"/>
    <w:rsid w:val="387CDE36"/>
    <w:rsid w:val="387F4EBD"/>
    <w:rsid w:val="3887DBA8"/>
    <w:rsid w:val="38989E3F"/>
    <w:rsid w:val="389BAEA7"/>
    <w:rsid w:val="38A5F054"/>
    <w:rsid w:val="38AF0FDB"/>
    <w:rsid w:val="38B33148"/>
    <w:rsid w:val="38C70925"/>
    <w:rsid w:val="38CCCB02"/>
    <w:rsid w:val="38E28D02"/>
    <w:rsid w:val="3906C43D"/>
    <w:rsid w:val="3907D34A"/>
    <w:rsid w:val="390CBDAF"/>
    <w:rsid w:val="391E5C3B"/>
    <w:rsid w:val="392B844C"/>
    <w:rsid w:val="3947CCDF"/>
    <w:rsid w:val="394BB684"/>
    <w:rsid w:val="3954B39A"/>
    <w:rsid w:val="395E0187"/>
    <w:rsid w:val="3968C2A4"/>
    <w:rsid w:val="396CD4B5"/>
    <w:rsid w:val="3975C8A8"/>
    <w:rsid w:val="397F807D"/>
    <w:rsid w:val="39818711"/>
    <w:rsid w:val="3992439C"/>
    <w:rsid w:val="3993DC55"/>
    <w:rsid w:val="399C31FD"/>
    <w:rsid w:val="39A430E2"/>
    <w:rsid w:val="39AB5978"/>
    <w:rsid w:val="39DEBA08"/>
    <w:rsid w:val="39E53994"/>
    <w:rsid w:val="39E576D3"/>
    <w:rsid w:val="39EB9087"/>
    <w:rsid w:val="39ED9777"/>
    <w:rsid w:val="39F3E56F"/>
    <w:rsid w:val="39FA146A"/>
    <w:rsid w:val="3A023F6E"/>
    <w:rsid w:val="3A0382E4"/>
    <w:rsid w:val="3A179AF3"/>
    <w:rsid w:val="3A1B51AA"/>
    <w:rsid w:val="3A2AE4CC"/>
    <w:rsid w:val="3A51C8BD"/>
    <w:rsid w:val="3A72D7C3"/>
    <w:rsid w:val="3A76FB18"/>
    <w:rsid w:val="3A877D6D"/>
    <w:rsid w:val="3AA5F985"/>
    <w:rsid w:val="3AB5FF8C"/>
    <w:rsid w:val="3AC0AA49"/>
    <w:rsid w:val="3AEF0DDE"/>
    <w:rsid w:val="3AF07C57"/>
    <w:rsid w:val="3B231E6C"/>
    <w:rsid w:val="3B62230B"/>
    <w:rsid w:val="3B6BE98F"/>
    <w:rsid w:val="3B756034"/>
    <w:rsid w:val="3B7BB769"/>
    <w:rsid w:val="3B7BDCA5"/>
    <w:rsid w:val="3B7E5BB8"/>
    <w:rsid w:val="3B8104CC"/>
    <w:rsid w:val="3B8C8C19"/>
    <w:rsid w:val="3B9784B8"/>
    <w:rsid w:val="3BA25026"/>
    <w:rsid w:val="3BA6E682"/>
    <w:rsid w:val="3BAE2A83"/>
    <w:rsid w:val="3BAFC9DA"/>
    <w:rsid w:val="3BB88AFB"/>
    <w:rsid w:val="3BBDC20F"/>
    <w:rsid w:val="3BBDF8FE"/>
    <w:rsid w:val="3BC89D41"/>
    <w:rsid w:val="3BCBF1CF"/>
    <w:rsid w:val="3BCD4D21"/>
    <w:rsid w:val="3BCF5ACC"/>
    <w:rsid w:val="3BF0090A"/>
    <w:rsid w:val="3BF1F2FE"/>
    <w:rsid w:val="3C30A4B3"/>
    <w:rsid w:val="3C3AD631"/>
    <w:rsid w:val="3C618324"/>
    <w:rsid w:val="3C6418B3"/>
    <w:rsid w:val="3C739763"/>
    <w:rsid w:val="3C81314E"/>
    <w:rsid w:val="3CA2D3A7"/>
    <w:rsid w:val="3CB3E4B4"/>
    <w:rsid w:val="3CBDB6DE"/>
    <w:rsid w:val="3CC83728"/>
    <w:rsid w:val="3CD03DB6"/>
    <w:rsid w:val="3CD141CA"/>
    <w:rsid w:val="3CDECE4A"/>
    <w:rsid w:val="3D130EF5"/>
    <w:rsid w:val="3D1FD4B9"/>
    <w:rsid w:val="3D23BCB6"/>
    <w:rsid w:val="3D2E7F81"/>
    <w:rsid w:val="3D3EC2BB"/>
    <w:rsid w:val="3D44BD75"/>
    <w:rsid w:val="3D50054A"/>
    <w:rsid w:val="3D56EAB5"/>
    <w:rsid w:val="3D6026F8"/>
    <w:rsid w:val="3D70C3A7"/>
    <w:rsid w:val="3D74E638"/>
    <w:rsid w:val="3D8E8D91"/>
    <w:rsid w:val="3D924AC3"/>
    <w:rsid w:val="3D960E88"/>
    <w:rsid w:val="3D96776A"/>
    <w:rsid w:val="3DB0A5FB"/>
    <w:rsid w:val="3DCB4B44"/>
    <w:rsid w:val="3DEE83F9"/>
    <w:rsid w:val="3DF7805C"/>
    <w:rsid w:val="3DFB20E0"/>
    <w:rsid w:val="3E127ABB"/>
    <w:rsid w:val="3E176D70"/>
    <w:rsid w:val="3E23D8D2"/>
    <w:rsid w:val="3E2661CD"/>
    <w:rsid w:val="3E5D834C"/>
    <w:rsid w:val="3E60F03E"/>
    <w:rsid w:val="3E6C0B2C"/>
    <w:rsid w:val="3E72F166"/>
    <w:rsid w:val="3E752737"/>
    <w:rsid w:val="3E7F79C4"/>
    <w:rsid w:val="3E8AFB6E"/>
    <w:rsid w:val="3E8CC1C1"/>
    <w:rsid w:val="3E931C40"/>
    <w:rsid w:val="3E98E1A8"/>
    <w:rsid w:val="3EA7826B"/>
    <w:rsid w:val="3EB8235D"/>
    <w:rsid w:val="3EBAE326"/>
    <w:rsid w:val="3ED9EF5A"/>
    <w:rsid w:val="3EE81C67"/>
    <w:rsid w:val="3F055CB5"/>
    <w:rsid w:val="3F0E95D3"/>
    <w:rsid w:val="3F193093"/>
    <w:rsid w:val="3F266590"/>
    <w:rsid w:val="3F292A07"/>
    <w:rsid w:val="3F293CED"/>
    <w:rsid w:val="3F30515C"/>
    <w:rsid w:val="3F305259"/>
    <w:rsid w:val="3F386961"/>
    <w:rsid w:val="3F3DF993"/>
    <w:rsid w:val="3F51EADB"/>
    <w:rsid w:val="3F5E61B6"/>
    <w:rsid w:val="3F641224"/>
    <w:rsid w:val="3F687B91"/>
    <w:rsid w:val="3F77C6AC"/>
    <w:rsid w:val="3F7E3EF1"/>
    <w:rsid w:val="3FA0DB50"/>
    <w:rsid w:val="3FB2433F"/>
    <w:rsid w:val="3FC79128"/>
    <w:rsid w:val="3FCB62D1"/>
    <w:rsid w:val="3FE5D4E1"/>
    <w:rsid w:val="40387516"/>
    <w:rsid w:val="40450910"/>
    <w:rsid w:val="40489478"/>
    <w:rsid w:val="4048C713"/>
    <w:rsid w:val="404D51BF"/>
    <w:rsid w:val="405AE9FA"/>
    <w:rsid w:val="40694105"/>
    <w:rsid w:val="408257A0"/>
    <w:rsid w:val="408517E0"/>
    <w:rsid w:val="408B86EF"/>
    <w:rsid w:val="409377A8"/>
    <w:rsid w:val="4095B7CB"/>
    <w:rsid w:val="40A06D3C"/>
    <w:rsid w:val="40B9B30F"/>
    <w:rsid w:val="40BD66C4"/>
    <w:rsid w:val="40CDFC1B"/>
    <w:rsid w:val="40D8B9A9"/>
    <w:rsid w:val="40E7AA94"/>
    <w:rsid w:val="40EFC95E"/>
    <w:rsid w:val="4114BE13"/>
    <w:rsid w:val="41174ABF"/>
    <w:rsid w:val="41244E10"/>
    <w:rsid w:val="4133151D"/>
    <w:rsid w:val="41483C28"/>
    <w:rsid w:val="416429D4"/>
    <w:rsid w:val="417C79A1"/>
    <w:rsid w:val="417D49FD"/>
    <w:rsid w:val="417F11FA"/>
    <w:rsid w:val="4189C5CC"/>
    <w:rsid w:val="41AD30F1"/>
    <w:rsid w:val="41B82041"/>
    <w:rsid w:val="41CE42FC"/>
    <w:rsid w:val="41D5DED3"/>
    <w:rsid w:val="41DFC336"/>
    <w:rsid w:val="41FE537F"/>
    <w:rsid w:val="420D873F"/>
    <w:rsid w:val="42125C78"/>
    <w:rsid w:val="42240512"/>
    <w:rsid w:val="4224BBAD"/>
    <w:rsid w:val="4228F2F3"/>
    <w:rsid w:val="422A41C0"/>
    <w:rsid w:val="424539CA"/>
    <w:rsid w:val="4245EA7F"/>
    <w:rsid w:val="424CC12F"/>
    <w:rsid w:val="4253E1E9"/>
    <w:rsid w:val="42542690"/>
    <w:rsid w:val="4266EC39"/>
    <w:rsid w:val="4276B9CC"/>
    <w:rsid w:val="428305FD"/>
    <w:rsid w:val="42898AF9"/>
    <w:rsid w:val="42932F6B"/>
    <w:rsid w:val="42A172BE"/>
    <w:rsid w:val="42A748B2"/>
    <w:rsid w:val="42B208AB"/>
    <w:rsid w:val="42B2356A"/>
    <w:rsid w:val="42BD7646"/>
    <w:rsid w:val="42E8FC4B"/>
    <w:rsid w:val="42F43F5B"/>
    <w:rsid w:val="42F800F1"/>
    <w:rsid w:val="4310F0D1"/>
    <w:rsid w:val="432155C6"/>
    <w:rsid w:val="433EE021"/>
    <w:rsid w:val="434BED84"/>
    <w:rsid w:val="4366A587"/>
    <w:rsid w:val="4368DF81"/>
    <w:rsid w:val="43729A1B"/>
    <w:rsid w:val="437A8D39"/>
    <w:rsid w:val="437CB5AC"/>
    <w:rsid w:val="43953F94"/>
    <w:rsid w:val="439A0AF3"/>
    <w:rsid w:val="43AC7872"/>
    <w:rsid w:val="43B7446F"/>
    <w:rsid w:val="43C3BAB6"/>
    <w:rsid w:val="43C8F997"/>
    <w:rsid w:val="43CD86EE"/>
    <w:rsid w:val="43F3CFED"/>
    <w:rsid w:val="43F4F810"/>
    <w:rsid w:val="43F58B85"/>
    <w:rsid w:val="43F5CB62"/>
    <w:rsid w:val="43FCBB32"/>
    <w:rsid w:val="44054925"/>
    <w:rsid w:val="4406B2FF"/>
    <w:rsid w:val="441CD6B3"/>
    <w:rsid w:val="44203BFB"/>
    <w:rsid w:val="44292892"/>
    <w:rsid w:val="4439C956"/>
    <w:rsid w:val="444458F1"/>
    <w:rsid w:val="445BD486"/>
    <w:rsid w:val="4461C547"/>
    <w:rsid w:val="446635D1"/>
    <w:rsid w:val="446E1B5D"/>
    <w:rsid w:val="449C2C68"/>
    <w:rsid w:val="44A0EFAF"/>
    <w:rsid w:val="44A25E2E"/>
    <w:rsid w:val="44A69C2E"/>
    <w:rsid w:val="44B2FE84"/>
    <w:rsid w:val="44BADE72"/>
    <w:rsid w:val="44BB4175"/>
    <w:rsid w:val="44BDF23C"/>
    <w:rsid w:val="44C4D912"/>
    <w:rsid w:val="44CD3243"/>
    <w:rsid w:val="44CEEA15"/>
    <w:rsid w:val="44CFD736"/>
    <w:rsid w:val="44D26FD3"/>
    <w:rsid w:val="44EE99AB"/>
    <w:rsid w:val="44F712D7"/>
    <w:rsid w:val="450430CE"/>
    <w:rsid w:val="45050097"/>
    <w:rsid w:val="4514F3C8"/>
    <w:rsid w:val="451C6BCD"/>
    <w:rsid w:val="4521060B"/>
    <w:rsid w:val="452664FF"/>
    <w:rsid w:val="4526F7A9"/>
    <w:rsid w:val="45285EE6"/>
    <w:rsid w:val="4531211B"/>
    <w:rsid w:val="453B591F"/>
    <w:rsid w:val="453F0589"/>
    <w:rsid w:val="454D2F6B"/>
    <w:rsid w:val="456AE023"/>
    <w:rsid w:val="456DF03E"/>
    <w:rsid w:val="457613C9"/>
    <w:rsid w:val="457A296D"/>
    <w:rsid w:val="457B4C2B"/>
    <w:rsid w:val="458149C5"/>
    <w:rsid w:val="45887798"/>
    <w:rsid w:val="459945FC"/>
    <w:rsid w:val="45A3D688"/>
    <w:rsid w:val="45A5689B"/>
    <w:rsid w:val="45AEC841"/>
    <w:rsid w:val="45B5D89E"/>
    <w:rsid w:val="45D53691"/>
    <w:rsid w:val="45E43064"/>
    <w:rsid w:val="45EA224B"/>
    <w:rsid w:val="45EF25EA"/>
    <w:rsid w:val="45FE96DA"/>
    <w:rsid w:val="460563ED"/>
    <w:rsid w:val="460F1FEE"/>
    <w:rsid w:val="461699E2"/>
    <w:rsid w:val="461A6754"/>
    <w:rsid w:val="461AB45D"/>
    <w:rsid w:val="4622A9B7"/>
    <w:rsid w:val="4631FFCD"/>
    <w:rsid w:val="463834E6"/>
    <w:rsid w:val="463C04D9"/>
    <w:rsid w:val="463CE862"/>
    <w:rsid w:val="46410638"/>
    <w:rsid w:val="46442374"/>
    <w:rsid w:val="464BD373"/>
    <w:rsid w:val="46500C4D"/>
    <w:rsid w:val="465607E2"/>
    <w:rsid w:val="46592366"/>
    <w:rsid w:val="4663F29D"/>
    <w:rsid w:val="46767904"/>
    <w:rsid w:val="467FB050"/>
    <w:rsid w:val="46825AB6"/>
    <w:rsid w:val="46869A22"/>
    <w:rsid w:val="46870A74"/>
    <w:rsid w:val="4694848A"/>
    <w:rsid w:val="469E1892"/>
    <w:rsid w:val="46AFF043"/>
    <w:rsid w:val="46C3ADD7"/>
    <w:rsid w:val="46D05C35"/>
    <w:rsid w:val="46D48687"/>
    <w:rsid w:val="46D69BC7"/>
    <w:rsid w:val="46DD2188"/>
    <w:rsid w:val="46E95732"/>
    <w:rsid w:val="47026CF5"/>
    <w:rsid w:val="4703A3CD"/>
    <w:rsid w:val="470B379A"/>
    <w:rsid w:val="47224CF4"/>
    <w:rsid w:val="47451EF8"/>
    <w:rsid w:val="474ACD96"/>
    <w:rsid w:val="4767F39B"/>
    <w:rsid w:val="476E54A9"/>
    <w:rsid w:val="478033E5"/>
    <w:rsid w:val="4782A1C4"/>
    <w:rsid w:val="4783FFC7"/>
    <w:rsid w:val="47857E4E"/>
    <w:rsid w:val="47866411"/>
    <w:rsid w:val="47A93677"/>
    <w:rsid w:val="47CF17CB"/>
    <w:rsid w:val="47D982C9"/>
    <w:rsid w:val="47E738C8"/>
    <w:rsid w:val="47F167E3"/>
    <w:rsid w:val="47F9E0F4"/>
    <w:rsid w:val="47FFA0DB"/>
    <w:rsid w:val="4800DEC8"/>
    <w:rsid w:val="481E125E"/>
    <w:rsid w:val="482E24FB"/>
    <w:rsid w:val="483C81C4"/>
    <w:rsid w:val="4852A06B"/>
    <w:rsid w:val="4854B648"/>
    <w:rsid w:val="4855E715"/>
    <w:rsid w:val="4862A65C"/>
    <w:rsid w:val="486C5EA8"/>
    <w:rsid w:val="48729CE5"/>
    <w:rsid w:val="48735B02"/>
    <w:rsid w:val="487CC0ED"/>
    <w:rsid w:val="487FEFA3"/>
    <w:rsid w:val="489D9967"/>
    <w:rsid w:val="48A98330"/>
    <w:rsid w:val="48D0EA3D"/>
    <w:rsid w:val="48F21AF9"/>
    <w:rsid w:val="48F61B00"/>
    <w:rsid w:val="48FED58C"/>
    <w:rsid w:val="490882E0"/>
    <w:rsid w:val="4909DB9E"/>
    <w:rsid w:val="491058B0"/>
    <w:rsid w:val="4912C22D"/>
    <w:rsid w:val="4917C0A0"/>
    <w:rsid w:val="4945D9BA"/>
    <w:rsid w:val="494FF95A"/>
    <w:rsid w:val="4954C081"/>
    <w:rsid w:val="4954E5B2"/>
    <w:rsid w:val="49680EB6"/>
    <w:rsid w:val="4968B76F"/>
    <w:rsid w:val="496D1C69"/>
    <w:rsid w:val="4972EA39"/>
    <w:rsid w:val="499DF2F9"/>
    <w:rsid w:val="49A4150E"/>
    <w:rsid w:val="49AEB560"/>
    <w:rsid w:val="49AEBA33"/>
    <w:rsid w:val="49BB1A4B"/>
    <w:rsid w:val="49C0B0A5"/>
    <w:rsid w:val="49D13CA8"/>
    <w:rsid w:val="49D35339"/>
    <w:rsid w:val="49E58B64"/>
    <w:rsid w:val="49EC09AC"/>
    <w:rsid w:val="4A034502"/>
    <w:rsid w:val="4A067A3B"/>
    <w:rsid w:val="4A2F6D73"/>
    <w:rsid w:val="4A36EEFB"/>
    <w:rsid w:val="4A4FC290"/>
    <w:rsid w:val="4A5BABD5"/>
    <w:rsid w:val="4A624E6F"/>
    <w:rsid w:val="4A63298F"/>
    <w:rsid w:val="4A6CB5B8"/>
    <w:rsid w:val="4A717E53"/>
    <w:rsid w:val="4A7A1710"/>
    <w:rsid w:val="4A816FCC"/>
    <w:rsid w:val="4A84CE54"/>
    <w:rsid w:val="4A996182"/>
    <w:rsid w:val="4A9A3C83"/>
    <w:rsid w:val="4A9CB3AD"/>
    <w:rsid w:val="4AAEDE15"/>
    <w:rsid w:val="4AC4E108"/>
    <w:rsid w:val="4ADA8BD6"/>
    <w:rsid w:val="4ADD095D"/>
    <w:rsid w:val="4AE63D5C"/>
    <w:rsid w:val="4B27A819"/>
    <w:rsid w:val="4B2894BE"/>
    <w:rsid w:val="4B2D8D7C"/>
    <w:rsid w:val="4B3C7A1E"/>
    <w:rsid w:val="4B3E4506"/>
    <w:rsid w:val="4B41D3B4"/>
    <w:rsid w:val="4B428B98"/>
    <w:rsid w:val="4B45A4CF"/>
    <w:rsid w:val="4B4CF1F5"/>
    <w:rsid w:val="4B56B232"/>
    <w:rsid w:val="4B58D70C"/>
    <w:rsid w:val="4B5C845A"/>
    <w:rsid w:val="4B646B04"/>
    <w:rsid w:val="4B69B914"/>
    <w:rsid w:val="4B6CE66D"/>
    <w:rsid w:val="4B6F24FF"/>
    <w:rsid w:val="4B6F360B"/>
    <w:rsid w:val="4B7D893A"/>
    <w:rsid w:val="4B91614B"/>
    <w:rsid w:val="4B95F05C"/>
    <w:rsid w:val="4B9C37B7"/>
    <w:rsid w:val="4BA04FB0"/>
    <w:rsid w:val="4BA813B3"/>
    <w:rsid w:val="4BC0C156"/>
    <w:rsid w:val="4BC6DDEA"/>
    <w:rsid w:val="4BCF23AB"/>
    <w:rsid w:val="4BD06D72"/>
    <w:rsid w:val="4BD512B3"/>
    <w:rsid w:val="4BD7E9AA"/>
    <w:rsid w:val="4BEDA309"/>
    <w:rsid w:val="4BF0AB99"/>
    <w:rsid w:val="4BFB720D"/>
    <w:rsid w:val="4C00B2D7"/>
    <w:rsid w:val="4C00BD57"/>
    <w:rsid w:val="4C18B906"/>
    <w:rsid w:val="4C19C799"/>
    <w:rsid w:val="4C579AAF"/>
    <w:rsid w:val="4C5CD54C"/>
    <w:rsid w:val="4C5D9811"/>
    <w:rsid w:val="4C66027A"/>
    <w:rsid w:val="4C69A9AB"/>
    <w:rsid w:val="4C70732D"/>
    <w:rsid w:val="4C7EB21A"/>
    <w:rsid w:val="4CA1A2A6"/>
    <w:rsid w:val="4CB55A5D"/>
    <w:rsid w:val="4CBDA735"/>
    <w:rsid w:val="4CD38001"/>
    <w:rsid w:val="4CD63CD3"/>
    <w:rsid w:val="4CD81F2C"/>
    <w:rsid w:val="4CE12A5E"/>
    <w:rsid w:val="4CEA9BDF"/>
    <w:rsid w:val="4CEB8E14"/>
    <w:rsid w:val="4D0BC559"/>
    <w:rsid w:val="4D0CF4CF"/>
    <w:rsid w:val="4D168DC7"/>
    <w:rsid w:val="4D1BA6BF"/>
    <w:rsid w:val="4D335FE9"/>
    <w:rsid w:val="4D3A6257"/>
    <w:rsid w:val="4D3A7898"/>
    <w:rsid w:val="4D4FE5A4"/>
    <w:rsid w:val="4D6C4811"/>
    <w:rsid w:val="4D768E31"/>
    <w:rsid w:val="4D82E5DA"/>
    <w:rsid w:val="4D8ED0DC"/>
    <w:rsid w:val="4DB07ADA"/>
    <w:rsid w:val="4DC13218"/>
    <w:rsid w:val="4DE1FEC3"/>
    <w:rsid w:val="4E13584C"/>
    <w:rsid w:val="4E1B1183"/>
    <w:rsid w:val="4E22AB49"/>
    <w:rsid w:val="4E23062B"/>
    <w:rsid w:val="4E2408C3"/>
    <w:rsid w:val="4E4C1422"/>
    <w:rsid w:val="4E51E473"/>
    <w:rsid w:val="4E5F287A"/>
    <w:rsid w:val="4E728473"/>
    <w:rsid w:val="4E760F2B"/>
    <w:rsid w:val="4E76ABFB"/>
    <w:rsid w:val="4E80591B"/>
    <w:rsid w:val="4E845129"/>
    <w:rsid w:val="4E9143A7"/>
    <w:rsid w:val="4E970C18"/>
    <w:rsid w:val="4E9F33D0"/>
    <w:rsid w:val="4EA373D4"/>
    <w:rsid w:val="4EB4C7AE"/>
    <w:rsid w:val="4EB9DBBC"/>
    <w:rsid w:val="4EBA273F"/>
    <w:rsid w:val="4EBC8BC3"/>
    <w:rsid w:val="4EC9BB22"/>
    <w:rsid w:val="4EEA5997"/>
    <w:rsid w:val="4EEC1FA5"/>
    <w:rsid w:val="4F05E1B4"/>
    <w:rsid w:val="4F0ECB62"/>
    <w:rsid w:val="4F1605F0"/>
    <w:rsid w:val="4F17122C"/>
    <w:rsid w:val="4F275BB9"/>
    <w:rsid w:val="4F36DC1D"/>
    <w:rsid w:val="4F3815D5"/>
    <w:rsid w:val="4F382641"/>
    <w:rsid w:val="4F3F2078"/>
    <w:rsid w:val="4F3F2D82"/>
    <w:rsid w:val="4F4380E7"/>
    <w:rsid w:val="4F4A4F31"/>
    <w:rsid w:val="4F53A3E2"/>
    <w:rsid w:val="4F58887B"/>
    <w:rsid w:val="4F644EB9"/>
    <w:rsid w:val="4F65CDDC"/>
    <w:rsid w:val="4F68C60B"/>
    <w:rsid w:val="4F76B07D"/>
    <w:rsid w:val="4F797CED"/>
    <w:rsid w:val="4F80D31D"/>
    <w:rsid w:val="4F8BAF45"/>
    <w:rsid w:val="4F8DC82C"/>
    <w:rsid w:val="4F8F2D84"/>
    <w:rsid w:val="4F9A0BE0"/>
    <w:rsid w:val="4FA06E94"/>
    <w:rsid w:val="4FA0AA57"/>
    <w:rsid w:val="4FA95AB4"/>
    <w:rsid w:val="4FB110F9"/>
    <w:rsid w:val="4FB1A7D2"/>
    <w:rsid w:val="4FB4327F"/>
    <w:rsid w:val="4FB536DC"/>
    <w:rsid w:val="4FB8815C"/>
    <w:rsid w:val="4FC19058"/>
    <w:rsid w:val="4FC8E555"/>
    <w:rsid w:val="4FF8F455"/>
    <w:rsid w:val="4FF9AA77"/>
    <w:rsid w:val="50000655"/>
    <w:rsid w:val="5005BCD1"/>
    <w:rsid w:val="500C843E"/>
    <w:rsid w:val="5019D3DC"/>
    <w:rsid w:val="502664F0"/>
    <w:rsid w:val="5041C3A3"/>
    <w:rsid w:val="504EFCF0"/>
    <w:rsid w:val="5051E4CD"/>
    <w:rsid w:val="505A8EB9"/>
    <w:rsid w:val="50623E29"/>
    <w:rsid w:val="506827B0"/>
    <w:rsid w:val="506CD831"/>
    <w:rsid w:val="507150F4"/>
    <w:rsid w:val="5093E2B7"/>
    <w:rsid w:val="509EB72C"/>
    <w:rsid w:val="50B67202"/>
    <w:rsid w:val="50CC8CBC"/>
    <w:rsid w:val="50E93507"/>
    <w:rsid w:val="50EADE4E"/>
    <w:rsid w:val="50EBA9A9"/>
    <w:rsid w:val="50ECDB93"/>
    <w:rsid w:val="50FAE418"/>
    <w:rsid w:val="5107D013"/>
    <w:rsid w:val="51083F32"/>
    <w:rsid w:val="510BD18A"/>
    <w:rsid w:val="510DB2E6"/>
    <w:rsid w:val="511E15C2"/>
    <w:rsid w:val="51392C7B"/>
    <w:rsid w:val="513C955F"/>
    <w:rsid w:val="5140CD20"/>
    <w:rsid w:val="5141B55D"/>
    <w:rsid w:val="51469CE6"/>
    <w:rsid w:val="514CB5DA"/>
    <w:rsid w:val="5152B740"/>
    <w:rsid w:val="515AD115"/>
    <w:rsid w:val="516AAEA6"/>
    <w:rsid w:val="516AE494"/>
    <w:rsid w:val="516CD3D9"/>
    <w:rsid w:val="51721638"/>
    <w:rsid w:val="51749655"/>
    <w:rsid w:val="5175FD27"/>
    <w:rsid w:val="518826F2"/>
    <w:rsid w:val="518D663D"/>
    <w:rsid w:val="518D80E5"/>
    <w:rsid w:val="51A4F686"/>
    <w:rsid w:val="51BCEA08"/>
    <w:rsid w:val="51DB0C8E"/>
    <w:rsid w:val="51DEDCD8"/>
    <w:rsid w:val="51F2E6A0"/>
    <w:rsid w:val="51FA995C"/>
    <w:rsid w:val="521B90AD"/>
    <w:rsid w:val="522B3EBC"/>
    <w:rsid w:val="522F9628"/>
    <w:rsid w:val="5244E897"/>
    <w:rsid w:val="525357C6"/>
    <w:rsid w:val="525ABC97"/>
    <w:rsid w:val="5269C20A"/>
    <w:rsid w:val="527151C3"/>
    <w:rsid w:val="5271ABE2"/>
    <w:rsid w:val="527F06B1"/>
    <w:rsid w:val="52936940"/>
    <w:rsid w:val="52A056EE"/>
    <w:rsid w:val="52A9B3AF"/>
    <w:rsid w:val="52B26874"/>
    <w:rsid w:val="52BCCAF5"/>
    <w:rsid w:val="52C439B4"/>
    <w:rsid w:val="52DFB087"/>
    <w:rsid w:val="52EB0D90"/>
    <w:rsid w:val="53065DD0"/>
    <w:rsid w:val="53110248"/>
    <w:rsid w:val="532160BC"/>
    <w:rsid w:val="5324C31B"/>
    <w:rsid w:val="532AC22F"/>
    <w:rsid w:val="5331EA93"/>
    <w:rsid w:val="533AB01A"/>
    <w:rsid w:val="5350523C"/>
    <w:rsid w:val="535AAD3A"/>
    <w:rsid w:val="537048B5"/>
    <w:rsid w:val="537B9F1C"/>
    <w:rsid w:val="537CF85F"/>
    <w:rsid w:val="538258B6"/>
    <w:rsid w:val="53834FB9"/>
    <w:rsid w:val="538E7496"/>
    <w:rsid w:val="539D4FBE"/>
    <w:rsid w:val="53A9852E"/>
    <w:rsid w:val="53B72A09"/>
    <w:rsid w:val="53CE018D"/>
    <w:rsid w:val="53D09483"/>
    <w:rsid w:val="53DF020D"/>
    <w:rsid w:val="53E04D6A"/>
    <w:rsid w:val="53E12B57"/>
    <w:rsid w:val="53E476F2"/>
    <w:rsid w:val="53ECEA7A"/>
    <w:rsid w:val="53F1A70A"/>
    <w:rsid w:val="5420C9A1"/>
    <w:rsid w:val="542DCE4C"/>
    <w:rsid w:val="543E25F8"/>
    <w:rsid w:val="5443C189"/>
    <w:rsid w:val="54447B1A"/>
    <w:rsid w:val="544F1C72"/>
    <w:rsid w:val="546031C1"/>
    <w:rsid w:val="54674E5E"/>
    <w:rsid w:val="547DB22F"/>
    <w:rsid w:val="547EE00B"/>
    <w:rsid w:val="54872EC7"/>
    <w:rsid w:val="54A19815"/>
    <w:rsid w:val="54A74761"/>
    <w:rsid w:val="54B2E939"/>
    <w:rsid w:val="54C9B958"/>
    <w:rsid w:val="54D668EF"/>
    <w:rsid w:val="54DD8AA7"/>
    <w:rsid w:val="54EF28B1"/>
    <w:rsid w:val="550D1583"/>
    <w:rsid w:val="554A73EB"/>
    <w:rsid w:val="55519FE3"/>
    <w:rsid w:val="5553AD69"/>
    <w:rsid w:val="55550C15"/>
    <w:rsid w:val="55567159"/>
    <w:rsid w:val="555F46B6"/>
    <w:rsid w:val="556193D6"/>
    <w:rsid w:val="557EECCF"/>
    <w:rsid w:val="558A16AA"/>
    <w:rsid w:val="558F921F"/>
    <w:rsid w:val="55A88760"/>
    <w:rsid w:val="55C67815"/>
    <w:rsid w:val="55CBAD95"/>
    <w:rsid w:val="55CD650E"/>
    <w:rsid w:val="55D8E311"/>
    <w:rsid w:val="55E0081F"/>
    <w:rsid w:val="55EDE945"/>
    <w:rsid w:val="561750FB"/>
    <w:rsid w:val="5628C78B"/>
    <w:rsid w:val="562A958F"/>
    <w:rsid w:val="562F8C67"/>
    <w:rsid w:val="563CB3A2"/>
    <w:rsid w:val="5640B4EF"/>
    <w:rsid w:val="56452994"/>
    <w:rsid w:val="56489958"/>
    <w:rsid w:val="56490757"/>
    <w:rsid w:val="565A83B5"/>
    <w:rsid w:val="5670CD28"/>
    <w:rsid w:val="567DA866"/>
    <w:rsid w:val="569B2401"/>
    <w:rsid w:val="56B62B3E"/>
    <w:rsid w:val="56BAAE69"/>
    <w:rsid w:val="56D2E341"/>
    <w:rsid w:val="56DBB349"/>
    <w:rsid w:val="56E29128"/>
    <w:rsid w:val="56F1B8C9"/>
    <w:rsid w:val="56F25920"/>
    <w:rsid w:val="56F6821D"/>
    <w:rsid w:val="56FAD821"/>
    <w:rsid w:val="56FE835B"/>
    <w:rsid w:val="570B4A07"/>
    <w:rsid w:val="570E2325"/>
    <w:rsid w:val="570EE4EC"/>
    <w:rsid w:val="57265F98"/>
    <w:rsid w:val="573E2A40"/>
    <w:rsid w:val="574BDFD5"/>
    <w:rsid w:val="5759A591"/>
    <w:rsid w:val="5759F17F"/>
    <w:rsid w:val="57735C89"/>
    <w:rsid w:val="57A2ABC2"/>
    <w:rsid w:val="57B8DA13"/>
    <w:rsid w:val="57BF7690"/>
    <w:rsid w:val="57C9F950"/>
    <w:rsid w:val="57D1D6CB"/>
    <w:rsid w:val="57DE37BD"/>
    <w:rsid w:val="57DF9292"/>
    <w:rsid w:val="57E59B31"/>
    <w:rsid w:val="57EA2B75"/>
    <w:rsid w:val="57F6E338"/>
    <w:rsid w:val="580A5D81"/>
    <w:rsid w:val="5811BF4E"/>
    <w:rsid w:val="58168523"/>
    <w:rsid w:val="581ACA00"/>
    <w:rsid w:val="583B1E5F"/>
    <w:rsid w:val="583EDEED"/>
    <w:rsid w:val="5840219D"/>
    <w:rsid w:val="584E1F87"/>
    <w:rsid w:val="586A6CB3"/>
    <w:rsid w:val="587216DA"/>
    <w:rsid w:val="5876A3FD"/>
    <w:rsid w:val="587917BE"/>
    <w:rsid w:val="587D5AA4"/>
    <w:rsid w:val="588AAE83"/>
    <w:rsid w:val="588FDEDE"/>
    <w:rsid w:val="5893C7B6"/>
    <w:rsid w:val="58994F53"/>
    <w:rsid w:val="5899DE59"/>
    <w:rsid w:val="58B4025D"/>
    <w:rsid w:val="58C85376"/>
    <w:rsid w:val="58CDF0B1"/>
    <w:rsid w:val="58D4B605"/>
    <w:rsid w:val="58D541A4"/>
    <w:rsid w:val="58D78B11"/>
    <w:rsid w:val="58FDE50E"/>
    <w:rsid w:val="5902A3CC"/>
    <w:rsid w:val="59067ED1"/>
    <w:rsid w:val="5917D032"/>
    <w:rsid w:val="591A893F"/>
    <w:rsid w:val="5928A70F"/>
    <w:rsid w:val="5938BDC7"/>
    <w:rsid w:val="593D32BD"/>
    <w:rsid w:val="593FE0B2"/>
    <w:rsid w:val="59494035"/>
    <w:rsid w:val="59534EF9"/>
    <w:rsid w:val="595BF29A"/>
    <w:rsid w:val="595CCCD6"/>
    <w:rsid w:val="596957BB"/>
    <w:rsid w:val="596B2659"/>
    <w:rsid w:val="597C0D1E"/>
    <w:rsid w:val="59822012"/>
    <w:rsid w:val="599A90C9"/>
    <w:rsid w:val="59D422DF"/>
    <w:rsid w:val="59D9C3EA"/>
    <w:rsid w:val="59E05DDA"/>
    <w:rsid w:val="59E09468"/>
    <w:rsid w:val="59EA25EE"/>
    <w:rsid w:val="59EA8DC0"/>
    <w:rsid w:val="5A2BE1E2"/>
    <w:rsid w:val="5A2F8D61"/>
    <w:rsid w:val="5A379B82"/>
    <w:rsid w:val="5A432E10"/>
    <w:rsid w:val="5A4F17B4"/>
    <w:rsid w:val="5A5C069E"/>
    <w:rsid w:val="5A6CA65C"/>
    <w:rsid w:val="5A7AFBC0"/>
    <w:rsid w:val="5A7CBACD"/>
    <w:rsid w:val="5AA279DB"/>
    <w:rsid w:val="5AA37DEA"/>
    <w:rsid w:val="5AA3809A"/>
    <w:rsid w:val="5AA41F60"/>
    <w:rsid w:val="5AB7284D"/>
    <w:rsid w:val="5ABE34AC"/>
    <w:rsid w:val="5ABF5B9C"/>
    <w:rsid w:val="5AC7A49D"/>
    <w:rsid w:val="5AD9C192"/>
    <w:rsid w:val="5AEFCAEA"/>
    <w:rsid w:val="5B173787"/>
    <w:rsid w:val="5B1F35D2"/>
    <w:rsid w:val="5B28E1D8"/>
    <w:rsid w:val="5B2E41BE"/>
    <w:rsid w:val="5B461907"/>
    <w:rsid w:val="5B590CFC"/>
    <w:rsid w:val="5B8AAD1B"/>
    <w:rsid w:val="5B90F0DD"/>
    <w:rsid w:val="5BA3901F"/>
    <w:rsid w:val="5BBA60EC"/>
    <w:rsid w:val="5BBDF221"/>
    <w:rsid w:val="5BCC9201"/>
    <w:rsid w:val="5BD278B0"/>
    <w:rsid w:val="5BFA71E3"/>
    <w:rsid w:val="5C07BBF1"/>
    <w:rsid w:val="5C0EAFC7"/>
    <w:rsid w:val="5C0F056E"/>
    <w:rsid w:val="5C34BD97"/>
    <w:rsid w:val="5C3B1F6B"/>
    <w:rsid w:val="5C47E93B"/>
    <w:rsid w:val="5C55472E"/>
    <w:rsid w:val="5C6322F3"/>
    <w:rsid w:val="5C6343D0"/>
    <w:rsid w:val="5C975E42"/>
    <w:rsid w:val="5C9EFAC0"/>
    <w:rsid w:val="5C9FAAB4"/>
    <w:rsid w:val="5CA442B8"/>
    <w:rsid w:val="5CB1C0E7"/>
    <w:rsid w:val="5CB73681"/>
    <w:rsid w:val="5CC302A2"/>
    <w:rsid w:val="5CD4E288"/>
    <w:rsid w:val="5CE7C6BE"/>
    <w:rsid w:val="5CE94D57"/>
    <w:rsid w:val="5CED6FD4"/>
    <w:rsid w:val="5CFBC3FE"/>
    <w:rsid w:val="5D0DD6EF"/>
    <w:rsid w:val="5D146CA7"/>
    <w:rsid w:val="5D28E665"/>
    <w:rsid w:val="5D29EB1E"/>
    <w:rsid w:val="5D2B2F50"/>
    <w:rsid w:val="5D2C6737"/>
    <w:rsid w:val="5D3D3B6B"/>
    <w:rsid w:val="5D40CB77"/>
    <w:rsid w:val="5D534473"/>
    <w:rsid w:val="5D6390D2"/>
    <w:rsid w:val="5D656E12"/>
    <w:rsid w:val="5D6F41E9"/>
    <w:rsid w:val="5D7C63E4"/>
    <w:rsid w:val="5D83E04E"/>
    <w:rsid w:val="5D87FF68"/>
    <w:rsid w:val="5D881FBB"/>
    <w:rsid w:val="5D9E55FF"/>
    <w:rsid w:val="5DAD3ACE"/>
    <w:rsid w:val="5DB7EE87"/>
    <w:rsid w:val="5DBEEEE4"/>
    <w:rsid w:val="5DD1E542"/>
    <w:rsid w:val="5DE573CB"/>
    <w:rsid w:val="5DED5763"/>
    <w:rsid w:val="5DF74FA4"/>
    <w:rsid w:val="5DFB04E7"/>
    <w:rsid w:val="5DFB5918"/>
    <w:rsid w:val="5E0EFE1E"/>
    <w:rsid w:val="5E250CCE"/>
    <w:rsid w:val="5E3880E3"/>
    <w:rsid w:val="5E3968D8"/>
    <w:rsid w:val="5E496897"/>
    <w:rsid w:val="5E5AFE46"/>
    <w:rsid w:val="5E6A9612"/>
    <w:rsid w:val="5E6AA5B6"/>
    <w:rsid w:val="5E727EDF"/>
    <w:rsid w:val="5E744042"/>
    <w:rsid w:val="5E761CE3"/>
    <w:rsid w:val="5EAB2A71"/>
    <w:rsid w:val="5EE43A6C"/>
    <w:rsid w:val="5EEAA646"/>
    <w:rsid w:val="5EEC9939"/>
    <w:rsid w:val="5F191941"/>
    <w:rsid w:val="5F25BBAE"/>
    <w:rsid w:val="5F38E6B4"/>
    <w:rsid w:val="5F398FA6"/>
    <w:rsid w:val="5F4B8A15"/>
    <w:rsid w:val="5F5CE5E4"/>
    <w:rsid w:val="5F5DC1E5"/>
    <w:rsid w:val="5F627FBF"/>
    <w:rsid w:val="5F6E5DCF"/>
    <w:rsid w:val="5F7ACFDA"/>
    <w:rsid w:val="5F7D1D8B"/>
    <w:rsid w:val="5F8204B5"/>
    <w:rsid w:val="5F91A420"/>
    <w:rsid w:val="5FB0119E"/>
    <w:rsid w:val="5FB697DC"/>
    <w:rsid w:val="5FBDF7E9"/>
    <w:rsid w:val="5FBFB783"/>
    <w:rsid w:val="5FC216C0"/>
    <w:rsid w:val="5FDB8AA2"/>
    <w:rsid w:val="5FE5E67F"/>
    <w:rsid w:val="60025DCE"/>
    <w:rsid w:val="6007FE39"/>
    <w:rsid w:val="6012BF83"/>
    <w:rsid w:val="6018E526"/>
    <w:rsid w:val="602CF6B9"/>
    <w:rsid w:val="603781FA"/>
    <w:rsid w:val="6059DD21"/>
    <w:rsid w:val="6074C31B"/>
    <w:rsid w:val="607FB447"/>
    <w:rsid w:val="60840384"/>
    <w:rsid w:val="609216EB"/>
    <w:rsid w:val="60AEAEFF"/>
    <w:rsid w:val="60C707A4"/>
    <w:rsid w:val="60CB96D6"/>
    <w:rsid w:val="60D194D5"/>
    <w:rsid w:val="60D6560D"/>
    <w:rsid w:val="60F932EF"/>
    <w:rsid w:val="610D37B0"/>
    <w:rsid w:val="611A4B70"/>
    <w:rsid w:val="611A4F41"/>
    <w:rsid w:val="6126C944"/>
    <w:rsid w:val="61290D12"/>
    <w:rsid w:val="61403113"/>
    <w:rsid w:val="614AC9F1"/>
    <w:rsid w:val="61587CB4"/>
    <w:rsid w:val="615947DD"/>
    <w:rsid w:val="616885FC"/>
    <w:rsid w:val="617FC5B2"/>
    <w:rsid w:val="618B2903"/>
    <w:rsid w:val="618F24B5"/>
    <w:rsid w:val="61A3CD43"/>
    <w:rsid w:val="61B2FE75"/>
    <w:rsid w:val="61B51450"/>
    <w:rsid w:val="61C16C4D"/>
    <w:rsid w:val="61D7C53A"/>
    <w:rsid w:val="61D951D1"/>
    <w:rsid w:val="61F1C934"/>
    <w:rsid w:val="6202A1D8"/>
    <w:rsid w:val="6204B350"/>
    <w:rsid w:val="6205CA28"/>
    <w:rsid w:val="62079C59"/>
    <w:rsid w:val="62103059"/>
    <w:rsid w:val="62116822"/>
    <w:rsid w:val="6257D015"/>
    <w:rsid w:val="6260414E"/>
    <w:rsid w:val="628C329E"/>
    <w:rsid w:val="6292F806"/>
    <w:rsid w:val="62A639F2"/>
    <w:rsid w:val="62A7E044"/>
    <w:rsid w:val="62B52D34"/>
    <w:rsid w:val="62CAABE0"/>
    <w:rsid w:val="62D84332"/>
    <w:rsid w:val="62FF94C9"/>
    <w:rsid w:val="630346BC"/>
    <w:rsid w:val="631815A0"/>
    <w:rsid w:val="631CDD1F"/>
    <w:rsid w:val="634954CE"/>
    <w:rsid w:val="63598AC2"/>
    <w:rsid w:val="635AE9A4"/>
    <w:rsid w:val="636119EE"/>
    <w:rsid w:val="636E4324"/>
    <w:rsid w:val="637F714D"/>
    <w:rsid w:val="638DF22A"/>
    <w:rsid w:val="638E5A43"/>
    <w:rsid w:val="63920942"/>
    <w:rsid w:val="639494BA"/>
    <w:rsid w:val="6395E425"/>
    <w:rsid w:val="6399F0A0"/>
    <w:rsid w:val="63A9B590"/>
    <w:rsid w:val="63C64A12"/>
    <w:rsid w:val="63EEFD52"/>
    <w:rsid w:val="63F265CC"/>
    <w:rsid w:val="6403D6E3"/>
    <w:rsid w:val="640CDE6F"/>
    <w:rsid w:val="640D84E9"/>
    <w:rsid w:val="6424B2AB"/>
    <w:rsid w:val="642AB6F2"/>
    <w:rsid w:val="6441B4B3"/>
    <w:rsid w:val="64430221"/>
    <w:rsid w:val="644EB013"/>
    <w:rsid w:val="64569C55"/>
    <w:rsid w:val="6470EFFB"/>
    <w:rsid w:val="6477B0FA"/>
    <w:rsid w:val="647A3A00"/>
    <w:rsid w:val="649225BA"/>
    <w:rsid w:val="6493310E"/>
    <w:rsid w:val="6495596D"/>
    <w:rsid w:val="649718FE"/>
    <w:rsid w:val="64A9F332"/>
    <w:rsid w:val="64AA1EBD"/>
    <w:rsid w:val="64AC5132"/>
    <w:rsid w:val="64B1E6CC"/>
    <w:rsid w:val="64B8A7B1"/>
    <w:rsid w:val="64CD375C"/>
    <w:rsid w:val="64E6F4C1"/>
    <w:rsid w:val="65095C15"/>
    <w:rsid w:val="651BBAF9"/>
    <w:rsid w:val="651E2C61"/>
    <w:rsid w:val="651FCC86"/>
    <w:rsid w:val="6521FA17"/>
    <w:rsid w:val="652AD8FF"/>
    <w:rsid w:val="652C1DD9"/>
    <w:rsid w:val="653F04D1"/>
    <w:rsid w:val="654324AB"/>
    <w:rsid w:val="6573CA41"/>
    <w:rsid w:val="658B1B34"/>
    <w:rsid w:val="659748CF"/>
    <w:rsid w:val="659E75E3"/>
    <w:rsid w:val="65A6E9EE"/>
    <w:rsid w:val="65B23414"/>
    <w:rsid w:val="65C3DC03"/>
    <w:rsid w:val="65C85B14"/>
    <w:rsid w:val="65CA2D73"/>
    <w:rsid w:val="65DBFA12"/>
    <w:rsid w:val="65E33DD3"/>
    <w:rsid w:val="65F06623"/>
    <w:rsid w:val="6610D8C0"/>
    <w:rsid w:val="6612CDB1"/>
    <w:rsid w:val="6617CF85"/>
    <w:rsid w:val="6629111F"/>
    <w:rsid w:val="662D20AF"/>
    <w:rsid w:val="662E1706"/>
    <w:rsid w:val="66300E10"/>
    <w:rsid w:val="663D407A"/>
    <w:rsid w:val="66621E2D"/>
    <w:rsid w:val="66692121"/>
    <w:rsid w:val="6672D1BC"/>
    <w:rsid w:val="6675C28F"/>
    <w:rsid w:val="668B6839"/>
    <w:rsid w:val="669150EF"/>
    <w:rsid w:val="66945BE0"/>
    <w:rsid w:val="6695790B"/>
    <w:rsid w:val="66AE35E0"/>
    <w:rsid w:val="66BB3CD5"/>
    <w:rsid w:val="66C6BA50"/>
    <w:rsid w:val="66DCE412"/>
    <w:rsid w:val="66DFD7DD"/>
    <w:rsid w:val="66E08F7E"/>
    <w:rsid w:val="66E9E24B"/>
    <w:rsid w:val="66F23AE2"/>
    <w:rsid w:val="66FED5A5"/>
    <w:rsid w:val="670143B4"/>
    <w:rsid w:val="6708A92F"/>
    <w:rsid w:val="6735BBC3"/>
    <w:rsid w:val="67392F02"/>
    <w:rsid w:val="673A68D0"/>
    <w:rsid w:val="674E7D17"/>
    <w:rsid w:val="67501F51"/>
    <w:rsid w:val="6752E556"/>
    <w:rsid w:val="67543487"/>
    <w:rsid w:val="6762F5ED"/>
    <w:rsid w:val="676C4684"/>
    <w:rsid w:val="676D4FC9"/>
    <w:rsid w:val="677171CF"/>
    <w:rsid w:val="67751C94"/>
    <w:rsid w:val="6780319D"/>
    <w:rsid w:val="678797C5"/>
    <w:rsid w:val="6798131F"/>
    <w:rsid w:val="67A5DD42"/>
    <w:rsid w:val="67AD5429"/>
    <w:rsid w:val="67AD8D11"/>
    <w:rsid w:val="67AE35B1"/>
    <w:rsid w:val="67C15AFD"/>
    <w:rsid w:val="67C3E8D5"/>
    <w:rsid w:val="67DF0201"/>
    <w:rsid w:val="67E88E37"/>
    <w:rsid w:val="67E9792C"/>
    <w:rsid w:val="67EFA7F4"/>
    <w:rsid w:val="67F817D4"/>
    <w:rsid w:val="680FB2DD"/>
    <w:rsid w:val="681E791E"/>
    <w:rsid w:val="68257B87"/>
    <w:rsid w:val="68268B3C"/>
    <w:rsid w:val="6826B9CB"/>
    <w:rsid w:val="6848DB93"/>
    <w:rsid w:val="684BB390"/>
    <w:rsid w:val="684F873C"/>
    <w:rsid w:val="68527C17"/>
    <w:rsid w:val="68602859"/>
    <w:rsid w:val="6872AD24"/>
    <w:rsid w:val="68835176"/>
    <w:rsid w:val="689BD5E9"/>
    <w:rsid w:val="689EE536"/>
    <w:rsid w:val="68A887EE"/>
    <w:rsid w:val="68AC8582"/>
    <w:rsid w:val="68B309CF"/>
    <w:rsid w:val="68B5AE22"/>
    <w:rsid w:val="68B87ED9"/>
    <w:rsid w:val="68CAAF9A"/>
    <w:rsid w:val="68CD152F"/>
    <w:rsid w:val="68D04DE6"/>
    <w:rsid w:val="68D1DC57"/>
    <w:rsid w:val="68D4CC61"/>
    <w:rsid w:val="68F0F869"/>
    <w:rsid w:val="68F4B509"/>
    <w:rsid w:val="68F4FE0C"/>
    <w:rsid w:val="69072AD1"/>
    <w:rsid w:val="691A2F4E"/>
    <w:rsid w:val="69248345"/>
    <w:rsid w:val="6924D6C3"/>
    <w:rsid w:val="6929A535"/>
    <w:rsid w:val="692D648A"/>
    <w:rsid w:val="6936BE5B"/>
    <w:rsid w:val="693EF063"/>
    <w:rsid w:val="6950D413"/>
    <w:rsid w:val="695BDBFD"/>
    <w:rsid w:val="69744345"/>
    <w:rsid w:val="6993CB30"/>
    <w:rsid w:val="6994E1D7"/>
    <w:rsid w:val="6997267C"/>
    <w:rsid w:val="69A232A8"/>
    <w:rsid w:val="69A338AF"/>
    <w:rsid w:val="69A6EACB"/>
    <w:rsid w:val="69B6E0B1"/>
    <w:rsid w:val="69D27C00"/>
    <w:rsid w:val="69D7AE2B"/>
    <w:rsid w:val="69EEF089"/>
    <w:rsid w:val="69FE0113"/>
    <w:rsid w:val="6A255664"/>
    <w:rsid w:val="6A3AB7E4"/>
    <w:rsid w:val="6A5B59B7"/>
    <w:rsid w:val="6A901E74"/>
    <w:rsid w:val="6AA0E383"/>
    <w:rsid w:val="6AAD54F3"/>
    <w:rsid w:val="6AB01106"/>
    <w:rsid w:val="6AC8DD22"/>
    <w:rsid w:val="6AD59B17"/>
    <w:rsid w:val="6ADAE127"/>
    <w:rsid w:val="6ADDD535"/>
    <w:rsid w:val="6AE4520F"/>
    <w:rsid w:val="6AE8E059"/>
    <w:rsid w:val="6AEBA3A3"/>
    <w:rsid w:val="6AF82B48"/>
    <w:rsid w:val="6AFC25EC"/>
    <w:rsid w:val="6B1074B9"/>
    <w:rsid w:val="6B117D0D"/>
    <w:rsid w:val="6B406BA2"/>
    <w:rsid w:val="6B83F936"/>
    <w:rsid w:val="6B8695B9"/>
    <w:rsid w:val="6BB00765"/>
    <w:rsid w:val="6BB06B0C"/>
    <w:rsid w:val="6BB351BE"/>
    <w:rsid w:val="6BB5064C"/>
    <w:rsid w:val="6BB9FD58"/>
    <w:rsid w:val="6BC0FDE4"/>
    <w:rsid w:val="6BD1BFE9"/>
    <w:rsid w:val="6BEC52DF"/>
    <w:rsid w:val="6BFA19D3"/>
    <w:rsid w:val="6BFBAA52"/>
    <w:rsid w:val="6C22AB83"/>
    <w:rsid w:val="6C267FD0"/>
    <w:rsid w:val="6C363F4B"/>
    <w:rsid w:val="6C4693A5"/>
    <w:rsid w:val="6C473222"/>
    <w:rsid w:val="6C523DAD"/>
    <w:rsid w:val="6C526112"/>
    <w:rsid w:val="6C55D6CA"/>
    <w:rsid w:val="6C55E9BD"/>
    <w:rsid w:val="6C631006"/>
    <w:rsid w:val="6C6C7EDD"/>
    <w:rsid w:val="6C6CDF8E"/>
    <w:rsid w:val="6C7584C2"/>
    <w:rsid w:val="6C780384"/>
    <w:rsid w:val="6C861E14"/>
    <w:rsid w:val="6C86E12F"/>
    <w:rsid w:val="6CAC9573"/>
    <w:rsid w:val="6CAD06E9"/>
    <w:rsid w:val="6CB42D34"/>
    <w:rsid w:val="6CBBCE9A"/>
    <w:rsid w:val="6CC3B4FB"/>
    <w:rsid w:val="6CC676D4"/>
    <w:rsid w:val="6CC6A3D0"/>
    <w:rsid w:val="6CD75F49"/>
    <w:rsid w:val="6CDDC367"/>
    <w:rsid w:val="6CE518C1"/>
    <w:rsid w:val="6CE7A116"/>
    <w:rsid w:val="6CEBC309"/>
    <w:rsid w:val="6CED0738"/>
    <w:rsid w:val="6CF6E8E8"/>
    <w:rsid w:val="6CFB206A"/>
    <w:rsid w:val="6CFDDF0F"/>
    <w:rsid w:val="6D116D44"/>
    <w:rsid w:val="6D120426"/>
    <w:rsid w:val="6D19F255"/>
    <w:rsid w:val="6D42DFAD"/>
    <w:rsid w:val="6D4BFCB6"/>
    <w:rsid w:val="6D4F0F63"/>
    <w:rsid w:val="6D5B8247"/>
    <w:rsid w:val="6DA107F3"/>
    <w:rsid w:val="6DADE51F"/>
    <w:rsid w:val="6DBE93C9"/>
    <w:rsid w:val="6DDA3115"/>
    <w:rsid w:val="6DDA8AE2"/>
    <w:rsid w:val="6DE418B6"/>
    <w:rsid w:val="6DE90FF5"/>
    <w:rsid w:val="6E1FDDCB"/>
    <w:rsid w:val="6E37F820"/>
    <w:rsid w:val="6E3DCC45"/>
    <w:rsid w:val="6E42A8CC"/>
    <w:rsid w:val="6E44C49C"/>
    <w:rsid w:val="6E482D00"/>
    <w:rsid w:val="6E626168"/>
    <w:rsid w:val="6E709159"/>
    <w:rsid w:val="6E772BE9"/>
    <w:rsid w:val="6E7982E9"/>
    <w:rsid w:val="6E820CD9"/>
    <w:rsid w:val="6E855E43"/>
    <w:rsid w:val="6EA132F4"/>
    <w:rsid w:val="6EA5AC2F"/>
    <w:rsid w:val="6EA6E005"/>
    <w:rsid w:val="6EDA180E"/>
    <w:rsid w:val="6EDF19FE"/>
    <w:rsid w:val="6EE691CE"/>
    <w:rsid w:val="6EEF4538"/>
    <w:rsid w:val="6EFE78BF"/>
    <w:rsid w:val="6F026F69"/>
    <w:rsid w:val="6F054DE2"/>
    <w:rsid w:val="6F08F6E4"/>
    <w:rsid w:val="6F1962CC"/>
    <w:rsid w:val="6F1A6512"/>
    <w:rsid w:val="6F2907FA"/>
    <w:rsid w:val="6F3EF600"/>
    <w:rsid w:val="6F4A09A6"/>
    <w:rsid w:val="6F4FD7B8"/>
    <w:rsid w:val="6F5200BC"/>
    <w:rsid w:val="6F58D0D7"/>
    <w:rsid w:val="6F5AC937"/>
    <w:rsid w:val="6F5E5461"/>
    <w:rsid w:val="6F5F4131"/>
    <w:rsid w:val="6F7B5F6F"/>
    <w:rsid w:val="6F81D9A5"/>
    <w:rsid w:val="6FBE8C38"/>
    <w:rsid w:val="6FC8F232"/>
    <w:rsid w:val="6FE6359F"/>
    <w:rsid w:val="6FFE84DA"/>
    <w:rsid w:val="7000ECCB"/>
    <w:rsid w:val="70056E4A"/>
    <w:rsid w:val="702A4846"/>
    <w:rsid w:val="704F9FE2"/>
    <w:rsid w:val="70675A91"/>
    <w:rsid w:val="709E4087"/>
    <w:rsid w:val="70DCCE5D"/>
    <w:rsid w:val="70E6F177"/>
    <w:rsid w:val="71000264"/>
    <w:rsid w:val="71022538"/>
    <w:rsid w:val="7105E574"/>
    <w:rsid w:val="7108E970"/>
    <w:rsid w:val="710BC9D3"/>
    <w:rsid w:val="711336AA"/>
    <w:rsid w:val="71190AE9"/>
    <w:rsid w:val="71216F02"/>
    <w:rsid w:val="712E33CB"/>
    <w:rsid w:val="715452B0"/>
    <w:rsid w:val="715770E9"/>
    <w:rsid w:val="716F49DF"/>
    <w:rsid w:val="71758EF6"/>
    <w:rsid w:val="717EF2E1"/>
    <w:rsid w:val="7182832F"/>
    <w:rsid w:val="719E25F3"/>
    <w:rsid w:val="71B1E51C"/>
    <w:rsid w:val="71B8151B"/>
    <w:rsid w:val="71E5CE07"/>
    <w:rsid w:val="71F1FF92"/>
    <w:rsid w:val="71FFC221"/>
    <w:rsid w:val="7207A80B"/>
    <w:rsid w:val="720CD6B8"/>
    <w:rsid w:val="721044DD"/>
    <w:rsid w:val="72169BCF"/>
    <w:rsid w:val="7217599D"/>
    <w:rsid w:val="7219599B"/>
    <w:rsid w:val="72342B57"/>
    <w:rsid w:val="7235116C"/>
    <w:rsid w:val="7237E24A"/>
    <w:rsid w:val="723B08C8"/>
    <w:rsid w:val="723F0910"/>
    <w:rsid w:val="72700C0A"/>
    <w:rsid w:val="72856042"/>
    <w:rsid w:val="72876ECA"/>
    <w:rsid w:val="72944878"/>
    <w:rsid w:val="729A362C"/>
    <w:rsid w:val="729D977A"/>
    <w:rsid w:val="72A7B44F"/>
    <w:rsid w:val="72B3CB3A"/>
    <w:rsid w:val="72C646DF"/>
    <w:rsid w:val="72DFCE68"/>
    <w:rsid w:val="72E81C08"/>
    <w:rsid w:val="72F6029B"/>
    <w:rsid w:val="72F718FB"/>
    <w:rsid w:val="73100C70"/>
    <w:rsid w:val="73141389"/>
    <w:rsid w:val="731CC1D1"/>
    <w:rsid w:val="731FC4B0"/>
    <w:rsid w:val="73333660"/>
    <w:rsid w:val="734CBB85"/>
    <w:rsid w:val="7354AE07"/>
    <w:rsid w:val="738A7AF0"/>
    <w:rsid w:val="73A33D30"/>
    <w:rsid w:val="73BCDDC6"/>
    <w:rsid w:val="73C39169"/>
    <w:rsid w:val="73E0489C"/>
    <w:rsid w:val="73E68B16"/>
    <w:rsid w:val="73EAA705"/>
    <w:rsid w:val="73F07FF4"/>
    <w:rsid w:val="73FF23CD"/>
    <w:rsid w:val="74066F5C"/>
    <w:rsid w:val="740DBDCF"/>
    <w:rsid w:val="74151ADD"/>
    <w:rsid w:val="74157723"/>
    <w:rsid w:val="741CE0EE"/>
    <w:rsid w:val="743FB815"/>
    <w:rsid w:val="7442C6FA"/>
    <w:rsid w:val="74467021"/>
    <w:rsid w:val="74645DBA"/>
    <w:rsid w:val="7466D2F3"/>
    <w:rsid w:val="7477881B"/>
    <w:rsid w:val="74968D32"/>
    <w:rsid w:val="74B5FE6F"/>
    <w:rsid w:val="74C9C63A"/>
    <w:rsid w:val="74D67C8E"/>
    <w:rsid w:val="750DEEF5"/>
    <w:rsid w:val="75155231"/>
    <w:rsid w:val="75164482"/>
    <w:rsid w:val="751920CA"/>
    <w:rsid w:val="754AC7EC"/>
    <w:rsid w:val="754CB710"/>
    <w:rsid w:val="754DDC95"/>
    <w:rsid w:val="755A8178"/>
    <w:rsid w:val="75707FD3"/>
    <w:rsid w:val="757A987C"/>
    <w:rsid w:val="757E3415"/>
    <w:rsid w:val="75814ED5"/>
    <w:rsid w:val="758852AC"/>
    <w:rsid w:val="759B45A2"/>
    <w:rsid w:val="75AE5A87"/>
    <w:rsid w:val="75B26C1F"/>
    <w:rsid w:val="75C8559C"/>
    <w:rsid w:val="75C9E584"/>
    <w:rsid w:val="75E0F1F1"/>
    <w:rsid w:val="75F1A8B8"/>
    <w:rsid w:val="75FA678F"/>
    <w:rsid w:val="75FED3A7"/>
    <w:rsid w:val="76179190"/>
    <w:rsid w:val="7633ACC3"/>
    <w:rsid w:val="7644241E"/>
    <w:rsid w:val="76537B60"/>
    <w:rsid w:val="765BB465"/>
    <w:rsid w:val="765D95A5"/>
    <w:rsid w:val="765F85D5"/>
    <w:rsid w:val="7676420A"/>
    <w:rsid w:val="7678D278"/>
    <w:rsid w:val="767F7A19"/>
    <w:rsid w:val="768505E8"/>
    <w:rsid w:val="769E3734"/>
    <w:rsid w:val="76D88363"/>
    <w:rsid w:val="76D9B627"/>
    <w:rsid w:val="76F35713"/>
    <w:rsid w:val="76F8EB72"/>
    <w:rsid w:val="76F9798A"/>
    <w:rsid w:val="770F5EC8"/>
    <w:rsid w:val="770FA415"/>
    <w:rsid w:val="7717D432"/>
    <w:rsid w:val="771B48D5"/>
    <w:rsid w:val="772A7C8D"/>
    <w:rsid w:val="77381500"/>
    <w:rsid w:val="7746E9A5"/>
    <w:rsid w:val="775D4649"/>
    <w:rsid w:val="7761C9E5"/>
    <w:rsid w:val="7762AF93"/>
    <w:rsid w:val="77633A9F"/>
    <w:rsid w:val="777254DD"/>
    <w:rsid w:val="77793935"/>
    <w:rsid w:val="778D0A24"/>
    <w:rsid w:val="7793F4C7"/>
    <w:rsid w:val="77956413"/>
    <w:rsid w:val="77A71B61"/>
    <w:rsid w:val="77B9B6CA"/>
    <w:rsid w:val="77BE500D"/>
    <w:rsid w:val="77C82607"/>
    <w:rsid w:val="77CB38CF"/>
    <w:rsid w:val="77CF68E2"/>
    <w:rsid w:val="77F132FA"/>
    <w:rsid w:val="7816F330"/>
    <w:rsid w:val="78174E26"/>
    <w:rsid w:val="782239DD"/>
    <w:rsid w:val="7823746F"/>
    <w:rsid w:val="78266C05"/>
    <w:rsid w:val="78274B64"/>
    <w:rsid w:val="782DAF94"/>
    <w:rsid w:val="7833F947"/>
    <w:rsid w:val="783E0097"/>
    <w:rsid w:val="784159DB"/>
    <w:rsid w:val="78558DD6"/>
    <w:rsid w:val="7858227C"/>
    <w:rsid w:val="7879B266"/>
    <w:rsid w:val="789A1CE5"/>
    <w:rsid w:val="789B8903"/>
    <w:rsid w:val="78A08ADF"/>
    <w:rsid w:val="78B2FEFF"/>
    <w:rsid w:val="78B8EF97"/>
    <w:rsid w:val="78B9532F"/>
    <w:rsid w:val="78C23593"/>
    <w:rsid w:val="78C29BDD"/>
    <w:rsid w:val="78DB9F41"/>
    <w:rsid w:val="78E1485D"/>
    <w:rsid w:val="78FB99BE"/>
    <w:rsid w:val="790765CB"/>
    <w:rsid w:val="79087F94"/>
    <w:rsid w:val="790B81B0"/>
    <w:rsid w:val="7914576F"/>
    <w:rsid w:val="792AF23E"/>
    <w:rsid w:val="792CCE12"/>
    <w:rsid w:val="7940321E"/>
    <w:rsid w:val="79535A68"/>
    <w:rsid w:val="79602C81"/>
    <w:rsid w:val="796050C4"/>
    <w:rsid w:val="7969CD65"/>
    <w:rsid w:val="7970A97B"/>
    <w:rsid w:val="7974458D"/>
    <w:rsid w:val="798E2AE2"/>
    <w:rsid w:val="799050B5"/>
    <w:rsid w:val="79B11215"/>
    <w:rsid w:val="79DF8F05"/>
    <w:rsid w:val="79E54C88"/>
    <w:rsid w:val="79EB1D25"/>
    <w:rsid w:val="79EE661D"/>
    <w:rsid w:val="79F75F8E"/>
    <w:rsid w:val="7A107D9A"/>
    <w:rsid w:val="7A1218F9"/>
    <w:rsid w:val="7A152833"/>
    <w:rsid w:val="7A2127AB"/>
    <w:rsid w:val="7A51DBEF"/>
    <w:rsid w:val="7A6405A0"/>
    <w:rsid w:val="7A6E3074"/>
    <w:rsid w:val="7A74A367"/>
    <w:rsid w:val="7A76861B"/>
    <w:rsid w:val="7A79FE45"/>
    <w:rsid w:val="7A82F268"/>
    <w:rsid w:val="7A83BBB5"/>
    <w:rsid w:val="7A8931F7"/>
    <w:rsid w:val="7A914996"/>
    <w:rsid w:val="7A91AAF9"/>
    <w:rsid w:val="7AA5AF98"/>
    <w:rsid w:val="7AA9F59F"/>
    <w:rsid w:val="7ABAB772"/>
    <w:rsid w:val="7ABD7E5D"/>
    <w:rsid w:val="7AC15C41"/>
    <w:rsid w:val="7ACF87B3"/>
    <w:rsid w:val="7AD11393"/>
    <w:rsid w:val="7ADB66DF"/>
    <w:rsid w:val="7ADE583C"/>
    <w:rsid w:val="7AE8B071"/>
    <w:rsid w:val="7AEB7802"/>
    <w:rsid w:val="7AED25B6"/>
    <w:rsid w:val="7AEF709E"/>
    <w:rsid w:val="7AF029DA"/>
    <w:rsid w:val="7B089577"/>
    <w:rsid w:val="7B17F38D"/>
    <w:rsid w:val="7B1E6C54"/>
    <w:rsid w:val="7B20E4AE"/>
    <w:rsid w:val="7B3128AE"/>
    <w:rsid w:val="7B32825B"/>
    <w:rsid w:val="7B382812"/>
    <w:rsid w:val="7B3A8207"/>
    <w:rsid w:val="7B3BC225"/>
    <w:rsid w:val="7B486475"/>
    <w:rsid w:val="7B491FAA"/>
    <w:rsid w:val="7B53B8F8"/>
    <w:rsid w:val="7B68354C"/>
    <w:rsid w:val="7B7C57DD"/>
    <w:rsid w:val="7B8E985F"/>
    <w:rsid w:val="7B946C3A"/>
    <w:rsid w:val="7B9DF1E4"/>
    <w:rsid w:val="7BA5CEC1"/>
    <w:rsid w:val="7BA68DD1"/>
    <w:rsid w:val="7BC20D28"/>
    <w:rsid w:val="7BF83FD4"/>
    <w:rsid w:val="7C1A781F"/>
    <w:rsid w:val="7C22E3AD"/>
    <w:rsid w:val="7C27F143"/>
    <w:rsid w:val="7C2F33E7"/>
    <w:rsid w:val="7C6B8FCB"/>
    <w:rsid w:val="7C7120E6"/>
    <w:rsid w:val="7C7FCFE6"/>
    <w:rsid w:val="7C806B6F"/>
    <w:rsid w:val="7C83FE59"/>
    <w:rsid w:val="7C8587BC"/>
    <w:rsid w:val="7C9CE477"/>
    <w:rsid w:val="7CA07727"/>
    <w:rsid w:val="7CA0E9B6"/>
    <w:rsid w:val="7CB21F05"/>
    <w:rsid w:val="7CB54C87"/>
    <w:rsid w:val="7CC21E98"/>
    <w:rsid w:val="7CC65B39"/>
    <w:rsid w:val="7CE5CD02"/>
    <w:rsid w:val="7CE61650"/>
    <w:rsid w:val="7CE685AA"/>
    <w:rsid w:val="7CFD54E3"/>
    <w:rsid w:val="7D0E1E89"/>
    <w:rsid w:val="7D127FF6"/>
    <w:rsid w:val="7D20B04F"/>
    <w:rsid w:val="7D29A5C9"/>
    <w:rsid w:val="7D2FF0E2"/>
    <w:rsid w:val="7D355970"/>
    <w:rsid w:val="7D446064"/>
    <w:rsid w:val="7D4AA802"/>
    <w:rsid w:val="7D4FB39F"/>
    <w:rsid w:val="7D637603"/>
    <w:rsid w:val="7D7C9022"/>
    <w:rsid w:val="7D92754A"/>
    <w:rsid w:val="7DA472C2"/>
    <w:rsid w:val="7DCA0C1F"/>
    <w:rsid w:val="7DE038C7"/>
    <w:rsid w:val="7E17278A"/>
    <w:rsid w:val="7E1D4C34"/>
    <w:rsid w:val="7E2649BE"/>
    <w:rsid w:val="7E3B7BCC"/>
    <w:rsid w:val="7E589875"/>
    <w:rsid w:val="7E5FD693"/>
    <w:rsid w:val="7E635851"/>
    <w:rsid w:val="7E866995"/>
    <w:rsid w:val="7EB4767A"/>
    <w:rsid w:val="7EBEB475"/>
    <w:rsid w:val="7EC40B4B"/>
    <w:rsid w:val="7EDF2EAB"/>
    <w:rsid w:val="7EE451E5"/>
    <w:rsid w:val="7EE76E86"/>
    <w:rsid w:val="7EF2CB81"/>
    <w:rsid w:val="7EF5DF8E"/>
    <w:rsid w:val="7EF8B47B"/>
    <w:rsid w:val="7EFB360A"/>
    <w:rsid w:val="7F16BD29"/>
    <w:rsid w:val="7F24C3BC"/>
    <w:rsid w:val="7F49BB8E"/>
    <w:rsid w:val="7F58DDDF"/>
    <w:rsid w:val="7F688607"/>
    <w:rsid w:val="7F757611"/>
    <w:rsid w:val="7F78B8B3"/>
    <w:rsid w:val="7F837E81"/>
    <w:rsid w:val="7F85BB26"/>
    <w:rsid w:val="7F9CD050"/>
    <w:rsid w:val="7FAB43FB"/>
    <w:rsid w:val="7FBA8092"/>
    <w:rsid w:val="7FBAFAAD"/>
    <w:rsid w:val="7FEC7F1A"/>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011E5F45-BC45-441D-9450-48FB0D6A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2C5"/>
    <w:pPr>
      <w:spacing w:after="200" w:line="276" w:lineRule="auto"/>
    </w:pPr>
  </w:style>
  <w:style w:type="paragraph" w:styleId="Ttulo1">
    <w:name w:val="heading 1"/>
    <w:basedOn w:val="Normal"/>
    <w:next w:val="Normal"/>
    <w:link w:val="Ttulo1Car"/>
    <w:uiPriority w:val="9"/>
    <w:qFormat/>
    <w:rsid w:val="00F12C2D"/>
    <w:pPr>
      <w:keepNext/>
      <w:keepLines/>
      <w:spacing w:before="240" w:after="0"/>
      <w:jc w:val="center"/>
      <w:outlineLvl w:val="0"/>
    </w:pPr>
    <w:rPr>
      <w:rFonts w:ascii="Arial" w:eastAsiaTheme="majorEastAsia" w:hAnsi="Arial" w:cstheme="majorBidi"/>
      <w:b/>
      <w:color w:val="000000" w:themeColor="text1"/>
      <w:sz w:val="24"/>
      <w:szCs w:val="32"/>
    </w:rPr>
  </w:style>
  <w:style w:type="paragraph" w:styleId="Ttulo2">
    <w:name w:val="heading 2"/>
    <w:basedOn w:val="Normal"/>
    <w:next w:val="Normal"/>
    <w:link w:val="Ttulo2Car"/>
    <w:uiPriority w:val="9"/>
    <w:unhideWhenUsed/>
    <w:qFormat/>
    <w:rsid w:val="00C426AD"/>
    <w:pPr>
      <w:keepNext/>
      <w:keepLines/>
      <w:spacing w:before="40" w:after="0"/>
      <w:outlineLvl w:val="1"/>
    </w:pPr>
    <w:rPr>
      <w:rFonts w:ascii="Arial" w:eastAsiaTheme="majorEastAsia" w:hAnsi="Arial" w:cstheme="majorBidi"/>
      <w:b/>
      <w:color w:val="000000" w:themeColor="text1"/>
      <w:sz w:val="24"/>
      <w:szCs w:val="26"/>
    </w:rPr>
  </w:style>
  <w:style w:type="paragraph" w:styleId="Ttulo3">
    <w:name w:val="heading 3"/>
    <w:basedOn w:val="Normal"/>
    <w:next w:val="Normal"/>
    <w:link w:val="Ttulo3Car"/>
    <w:uiPriority w:val="9"/>
    <w:unhideWhenUsed/>
    <w:qFormat/>
    <w:rsid w:val="003A7A71"/>
    <w:pPr>
      <w:keepNext/>
      <w:keepLines/>
      <w:spacing w:before="40" w:after="0"/>
      <w:outlineLvl w:val="2"/>
    </w:pPr>
    <w:rPr>
      <w:rFonts w:ascii="Arial" w:eastAsiaTheme="majorEastAsia" w:hAnsi="Arial" w:cstheme="majorBidi"/>
      <w:b/>
      <w:color w:val="000000" w:themeColor="text1"/>
      <w:sz w:val="24"/>
      <w:szCs w:val="24"/>
    </w:rPr>
  </w:style>
  <w:style w:type="paragraph" w:styleId="Ttulo4">
    <w:name w:val="heading 4"/>
    <w:basedOn w:val="Normal"/>
    <w:next w:val="Normal"/>
    <w:link w:val="Ttulo4Car"/>
    <w:uiPriority w:val="9"/>
    <w:unhideWhenUsed/>
    <w:qFormat/>
    <w:rsid w:val="006B4DCE"/>
    <w:pPr>
      <w:keepNext/>
      <w:keepLines/>
      <w:spacing w:before="40" w:after="0"/>
      <w:outlineLvl w:val="3"/>
    </w:pPr>
    <w:rPr>
      <w:rFonts w:ascii="Arial" w:eastAsiaTheme="majorEastAsia" w:hAnsi="Arial" w:cstheme="majorBidi"/>
      <w:b/>
      <w:iCs/>
      <w:color w:val="000000" w:themeColor="text1"/>
      <w:sz w:val="24"/>
    </w:rPr>
  </w:style>
  <w:style w:type="paragraph" w:styleId="Ttulo5">
    <w:name w:val="heading 5"/>
    <w:basedOn w:val="Normal"/>
    <w:next w:val="Normal"/>
    <w:link w:val="Ttulo5Car"/>
    <w:uiPriority w:val="9"/>
    <w:unhideWhenUsed/>
    <w:qFormat/>
    <w:rsid w:val="00A85D8C"/>
    <w:pPr>
      <w:keepNext/>
      <w:keepLines/>
      <w:spacing w:before="40" w:after="0"/>
      <w:outlineLvl w:val="4"/>
    </w:pPr>
    <w:rPr>
      <w:rFonts w:ascii="Arial" w:eastAsiaTheme="majorEastAsia" w:hAnsi="Arial" w:cstheme="majorBidi"/>
      <w:b/>
      <w:sz w:val="24"/>
    </w:rPr>
  </w:style>
  <w:style w:type="paragraph" w:styleId="Ttulo6">
    <w:name w:val="heading 6"/>
    <w:basedOn w:val="Normal"/>
    <w:next w:val="Normal"/>
    <w:link w:val="Ttulo6Car"/>
    <w:uiPriority w:val="9"/>
    <w:unhideWhenUsed/>
    <w:qFormat/>
    <w:rsid w:val="00A85D8C"/>
    <w:pPr>
      <w:keepNext/>
      <w:keepLines/>
      <w:spacing w:before="40" w:after="0"/>
      <w:outlineLvl w:val="5"/>
    </w:pPr>
    <w:rPr>
      <w:rFonts w:ascii="Arial" w:eastAsiaTheme="majorEastAsia" w:hAnsi="Arial" w:cstheme="majorBidi"/>
      <w:b/>
      <w:color w:val="000000" w:themeColor="text1"/>
      <w:sz w:val="24"/>
    </w:rPr>
  </w:style>
  <w:style w:type="paragraph" w:styleId="Ttulo7">
    <w:name w:val="heading 7"/>
    <w:basedOn w:val="Normal"/>
    <w:next w:val="Normal"/>
    <w:link w:val="Ttulo7Car"/>
    <w:uiPriority w:val="9"/>
    <w:unhideWhenUsed/>
    <w:rsid w:val="003A7A71"/>
    <w:pPr>
      <w:keepNext/>
      <w:keepLines/>
      <w:spacing w:before="40" w:after="0"/>
      <w:outlineLvl w:val="6"/>
    </w:pPr>
    <w:rPr>
      <w:rFonts w:ascii="Arial" w:eastAsiaTheme="majorEastAsia" w:hAnsi="Arial" w:cstheme="majorBidi"/>
      <w:b/>
      <w:iCs/>
      <w:sz w:val="24"/>
    </w:rPr>
  </w:style>
  <w:style w:type="paragraph" w:styleId="Ttulo8">
    <w:name w:val="heading 8"/>
    <w:basedOn w:val="Normal"/>
    <w:next w:val="Normal"/>
    <w:link w:val="Ttulo8Car"/>
    <w:uiPriority w:val="9"/>
    <w:unhideWhenUsed/>
    <w:qFormat/>
    <w:rsid w:val="003A7A71"/>
    <w:pPr>
      <w:keepNext/>
      <w:keepLines/>
      <w:spacing w:before="40" w:after="0"/>
      <w:outlineLvl w:val="7"/>
    </w:pPr>
    <w:rPr>
      <w:rFonts w:ascii="Arial" w:eastAsiaTheme="majorEastAsia" w:hAnsi="Arial" w:cstheme="majorBidi"/>
      <w:b/>
      <w:color w:val="000000" w:themeColor="text1"/>
      <w:sz w:val="24"/>
      <w:szCs w:val="21"/>
    </w:rPr>
  </w:style>
  <w:style w:type="paragraph" w:styleId="Ttulo9">
    <w:name w:val="heading 9"/>
    <w:basedOn w:val="Normal"/>
    <w:next w:val="Normal"/>
    <w:link w:val="Ttulo9Car"/>
    <w:uiPriority w:val="9"/>
    <w:semiHidden/>
    <w:unhideWhenUsed/>
    <w:qFormat/>
    <w:rsid w:val="00D659B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aliases w:val="Bolita,BOLADEF,BOLA,Guión,Titulo 8,Párrafo de lista4,Párrafo de lista5,Párrafo de lista21,Párrafo de lista1,MIBEX B,Párrafo de lista3,Ha,items,Fuente,HOJA,Flor,Viñeta 2,Bolita1,Párrafo de lista31,BOLA1,Párrafo de lista211,Guión1,Fuente1"/>
    <w:basedOn w:val="Normal"/>
    <w:link w:val="PrrafodelistaCar"/>
    <w:uiPriority w:val="34"/>
    <w:qFormat/>
    <w:rsid w:val="009E0311"/>
    <w:pPr>
      <w:ind w:left="720"/>
      <w:contextualSpacing/>
    </w:pPr>
  </w:style>
  <w:style w:type="paragraph" w:styleId="Revisin">
    <w:name w:val="Revision"/>
    <w:hidden/>
    <w:uiPriority w:val="99"/>
    <w:semiHidden/>
    <w:rsid w:val="0082124D"/>
    <w:pPr>
      <w:suppressAutoHyphens w:val="0"/>
    </w:pPr>
  </w:style>
  <w:style w:type="paragraph" w:styleId="Textonotapie">
    <w:name w:val="footnote text"/>
    <w:basedOn w:val="Normal"/>
    <w:link w:val="TextonotapieCar"/>
    <w:uiPriority w:val="99"/>
    <w:semiHidden/>
    <w:unhideWhenUsed/>
    <w:rsid w:val="00AF6DA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F6DA8"/>
    <w:rPr>
      <w:sz w:val="20"/>
      <w:szCs w:val="20"/>
    </w:rPr>
  </w:style>
  <w:style w:type="character" w:styleId="Refdenotaalpie">
    <w:name w:val="footnote reference"/>
    <w:basedOn w:val="Fuentedeprrafopredeter"/>
    <w:uiPriority w:val="99"/>
    <w:semiHidden/>
    <w:unhideWhenUsed/>
    <w:rsid w:val="00AF6DA8"/>
    <w:rPr>
      <w:vertAlign w:val="superscript"/>
    </w:rPr>
  </w:style>
  <w:style w:type="character" w:customStyle="1" w:styleId="normaltextrun">
    <w:name w:val="normaltextrun"/>
    <w:basedOn w:val="Fuentedeprrafopredeter"/>
    <w:rsid w:val="00EC6585"/>
  </w:style>
  <w:style w:type="character" w:customStyle="1" w:styleId="eop">
    <w:name w:val="eop"/>
    <w:basedOn w:val="Fuentedeprrafopredeter"/>
    <w:rsid w:val="00EC6585"/>
  </w:style>
  <w:style w:type="paragraph" w:customStyle="1" w:styleId="paragraph">
    <w:name w:val="paragraph"/>
    <w:basedOn w:val="Normal"/>
    <w:rsid w:val="00A83490"/>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unhideWhenUsed/>
    <w:rsid w:val="00FE322B"/>
    <w:rPr>
      <w:sz w:val="16"/>
      <w:szCs w:val="16"/>
    </w:rPr>
  </w:style>
  <w:style w:type="paragraph" w:styleId="Textocomentario">
    <w:name w:val="annotation text"/>
    <w:basedOn w:val="Normal"/>
    <w:link w:val="TextocomentarioCar"/>
    <w:uiPriority w:val="99"/>
    <w:unhideWhenUsed/>
    <w:rsid w:val="00FE322B"/>
    <w:pPr>
      <w:suppressAutoHyphens w:val="0"/>
      <w:spacing w:after="160" w:line="240" w:lineRule="auto"/>
    </w:pPr>
    <w:rPr>
      <w:kern w:val="2"/>
      <w:sz w:val="20"/>
      <w:szCs w:val="20"/>
      <w14:ligatures w14:val="standardContextual"/>
    </w:rPr>
  </w:style>
  <w:style w:type="character" w:customStyle="1" w:styleId="TextocomentarioCar">
    <w:name w:val="Texto comentario Car"/>
    <w:basedOn w:val="Fuentedeprrafopredeter"/>
    <w:link w:val="Textocomentario"/>
    <w:uiPriority w:val="99"/>
    <w:rsid w:val="00FE322B"/>
    <w:rPr>
      <w:kern w:val="2"/>
      <w:sz w:val="20"/>
      <w:szCs w:val="20"/>
      <w14:ligatures w14:val="standardContextual"/>
    </w:rPr>
  </w:style>
  <w:style w:type="character" w:styleId="Mencinsinresolver">
    <w:name w:val="Unresolved Mention"/>
    <w:basedOn w:val="Fuentedeprrafopredeter"/>
    <w:uiPriority w:val="99"/>
    <w:semiHidden/>
    <w:unhideWhenUsed/>
    <w:rsid w:val="00FE322B"/>
    <w:rPr>
      <w:color w:val="605E5C"/>
      <w:shd w:val="clear" w:color="auto" w:fill="E1DFDD"/>
    </w:rPr>
  </w:style>
  <w:style w:type="character" w:styleId="Hipervnculo">
    <w:name w:val="Hyperlink"/>
    <w:basedOn w:val="Fuentedeprrafopredeter"/>
    <w:uiPriority w:val="99"/>
    <w:unhideWhenUsed/>
    <w:rsid w:val="00493BF7"/>
    <w:rPr>
      <w:color w:val="0563C1" w:themeColor="hyperlink"/>
      <w:u w:val="single"/>
    </w:rPr>
  </w:style>
  <w:style w:type="paragraph" w:styleId="NormalWeb">
    <w:name w:val="Normal (Web)"/>
    <w:basedOn w:val="Normal"/>
    <w:link w:val="NormalWebCar"/>
    <w:uiPriority w:val="99"/>
    <w:rsid w:val="00216E90"/>
    <w:pPr>
      <w:suppressAutoHyphens w:val="0"/>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CM68">
    <w:name w:val="CM68"/>
    <w:basedOn w:val="Normal"/>
    <w:next w:val="Normal"/>
    <w:uiPriority w:val="99"/>
    <w:rsid w:val="00961100"/>
    <w:pPr>
      <w:suppressAutoHyphens w:val="0"/>
      <w:autoSpaceDE w:val="0"/>
      <w:autoSpaceDN w:val="0"/>
      <w:adjustRightInd w:val="0"/>
      <w:spacing w:after="0" w:line="240" w:lineRule="auto"/>
    </w:pPr>
    <w:rPr>
      <w:rFonts w:ascii="Arial" w:hAnsi="Arial" w:cs="Arial"/>
      <w:sz w:val="24"/>
      <w:szCs w:val="24"/>
    </w:rPr>
  </w:style>
  <w:style w:type="paragraph" w:customStyle="1" w:styleId="Default">
    <w:name w:val="Default"/>
    <w:rsid w:val="00961100"/>
    <w:pPr>
      <w:suppressAutoHyphens w:val="0"/>
      <w:autoSpaceDE w:val="0"/>
      <w:autoSpaceDN w:val="0"/>
      <w:adjustRightInd w:val="0"/>
    </w:pPr>
    <w:rPr>
      <w:rFonts w:ascii="Arial" w:hAnsi="Arial" w:cs="Arial"/>
      <w:color w:val="000000"/>
      <w:sz w:val="24"/>
      <w:szCs w:val="24"/>
    </w:rPr>
  </w:style>
  <w:style w:type="character" w:styleId="Fuerte">
    <w:name w:val="Strong"/>
    <w:basedOn w:val="Fuentedeprrafopredeter"/>
    <w:uiPriority w:val="22"/>
    <w:qFormat/>
    <w:rsid w:val="008069D8"/>
    <w:rPr>
      <w:b/>
      <w:bCs/>
    </w:rPr>
  </w:style>
  <w:style w:type="character" w:styleId="nfasis">
    <w:name w:val="Emphasis"/>
    <w:basedOn w:val="Fuentedeprrafopredeter"/>
    <w:uiPriority w:val="20"/>
    <w:qFormat/>
    <w:rsid w:val="008069D8"/>
    <w:rPr>
      <w:i/>
      <w:iCs/>
    </w:rPr>
  </w:style>
  <w:style w:type="character" w:customStyle="1" w:styleId="baj">
    <w:name w:val="b_aj"/>
    <w:basedOn w:val="Fuentedeprrafopredeter"/>
    <w:rsid w:val="00F46644"/>
  </w:style>
  <w:style w:type="paragraph" w:customStyle="1" w:styleId="CM39">
    <w:name w:val="CM39"/>
    <w:basedOn w:val="Default"/>
    <w:next w:val="Default"/>
    <w:uiPriority w:val="99"/>
    <w:rsid w:val="00577339"/>
    <w:rPr>
      <w:color w:val="auto"/>
    </w:rPr>
  </w:style>
  <w:style w:type="paragraph" w:styleId="Asuntodelcomentario">
    <w:name w:val="annotation subject"/>
    <w:basedOn w:val="Textocomentario"/>
    <w:next w:val="Textocomentario"/>
    <w:link w:val="AsuntodelcomentarioCar"/>
    <w:uiPriority w:val="99"/>
    <w:semiHidden/>
    <w:unhideWhenUsed/>
    <w:rsid w:val="00081F5C"/>
    <w:pPr>
      <w:suppressAutoHyphens/>
      <w:spacing w:after="200"/>
    </w:pPr>
    <w:rPr>
      <w:b/>
      <w:bCs/>
      <w:kern w:val="0"/>
      <w14:ligatures w14:val="none"/>
    </w:rPr>
  </w:style>
  <w:style w:type="character" w:customStyle="1" w:styleId="AsuntodelcomentarioCar">
    <w:name w:val="Asunto del comentario Car"/>
    <w:basedOn w:val="TextocomentarioCar"/>
    <w:link w:val="Asuntodelcomentario"/>
    <w:uiPriority w:val="99"/>
    <w:semiHidden/>
    <w:rsid w:val="00081F5C"/>
    <w:rPr>
      <w:b/>
      <w:bCs/>
      <w:kern w:val="2"/>
      <w:sz w:val="20"/>
      <w:szCs w:val="20"/>
      <w14:ligatures w14:val="standardContextual"/>
    </w:rPr>
  </w:style>
  <w:style w:type="character" w:customStyle="1" w:styleId="PrrafodelistaCar">
    <w:name w:val="Párrafo de lista Car"/>
    <w:aliases w:val="Bolita Car,BOLADEF Car,BOLA Car,Guión Car,Titulo 8 Car,Párrafo de lista4 Car,Párrafo de lista5 Car,Párrafo de lista21 Car,Párrafo de lista1 Car,MIBEX B Car,Párrafo de lista3 Car,Ha Car,items Car,Fuente Car,HOJA Car,Flor Car"/>
    <w:link w:val="Prrafodelista"/>
    <w:uiPriority w:val="34"/>
    <w:qFormat/>
    <w:rsid w:val="00D92E00"/>
  </w:style>
  <w:style w:type="table" w:styleId="Tablaconcuadrcula">
    <w:name w:val="Table Grid"/>
    <w:basedOn w:val="Tablanormal"/>
    <w:uiPriority w:val="39"/>
    <w:rsid w:val="00B97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EB08F5"/>
    <w:pPr>
      <w:suppressAutoHyphens w:val="0"/>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C22433"/>
    <w:pPr>
      <w:suppressAutoHyphens w:val="0"/>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
    <w:name w:val="Normal (Web) Car"/>
    <w:link w:val="NormalWeb"/>
    <w:uiPriority w:val="99"/>
    <w:locked/>
    <w:rsid w:val="00F67555"/>
    <w:rPr>
      <w:rFonts w:ascii="Times New Roman" w:eastAsia="Times New Roman" w:hAnsi="Times New Roman" w:cs="Times New Roman"/>
      <w:sz w:val="24"/>
      <w:szCs w:val="24"/>
      <w:lang w:val="es-ES" w:eastAsia="es-ES"/>
    </w:rPr>
  </w:style>
  <w:style w:type="paragraph" w:styleId="Sinespaciado">
    <w:name w:val="No Spacing"/>
    <w:uiPriority w:val="1"/>
    <w:qFormat/>
  </w:style>
  <w:style w:type="character" w:styleId="Textodelmarcadordeposicin">
    <w:name w:val="Placeholder Text"/>
    <w:basedOn w:val="Fuentedeprrafopredeter"/>
    <w:uiPriority w:val="99"/>
    <w:semiHidden/>
    <w:rsid w:val="009825FD"/>
    <w:rPr>
      <w:color w:val="666666"/>
    </w:rPr>
  </w:style>
  <w:style w:type="character" w:customStyle="1" w:styleId="Ttulo1Car">
    <w:name w:val="Título 1 Car"/>
    <w:basedOn w:val="Fuentedeprrafopredeter"/>
    <w:link w:val="Ttulo1"/>
    <w:uiPriority w:val="9"/>
    <w:rsid w:val="00B030C3"/>
    <w:rPr>
      <w:rFonts w:ascii="Arial" w:eastAsiaTheme="majorEastAsia" w:hAnsi="Arial" w:cstheme="majorBidi"/>
      <w:b/>
      <w:color w:val="000000" w:themeColor="text1"/>
      <w:sz w:val="24"/>
      <w:szCs w:val="32"/>
    </w:rPr>
  </w:style>
  <w:style w:type="character" w:customStyle="1" w:styleId="Ttulo2Car">
    <w:name w:val="Título 2 Car"/>
    <w:basedOn w:val="Fuentedeprrafopredeter"/>
    <w:link w:val="Ttulo2"/>
    <w:uiPriority w:val="9"/>
    <w:rsid w:val="00C426AD"/>
    <w:rPr>
      <w:rFonts w:ascii="Arial" w:eastAsiaTheme="majorEastAsia" w:hAnsi="Arial" w:cstheme="majorBidi"/>
      <w:b/>
      <w:color w:val="000000" w:themeColor="text1"/>
      <w:sz w:val="24"/>
      <w:szCs w:val="26"/>
    </w:rPr>
  </w:style>
  <w:style w:type="character" w:customStyle="1" w:styleId="Ttulo3Car">
    <w:name w:val="Título 3 Car"/>
    <w:basedOn w:val="Fuentedeprrafopredeter"/>
    <w:link w:val="Ttulo3"/>
    <w:uiPriority w:val="9"/>
    <w:rsid w:val="003A7A71"/>
    <w:rPr>
      <w:rFonts w:ascii="Arial" w:eastAsiaTheme="majorEastAsia" w:hAnsi="Arial" w:cstheme="majorBidi"/>
      <w:b/>
      <w:color w:val="000000" w:themeColor="text1"/>
      <w:sz w:val="24"/>
      <w:szCs w:val="24"/>
    </w:rPr>
  </w:style>
  <w:style w:type="character" w:customStyle="1" w:styleId="Ttulo4Car">
    <w:name w:val="Título 4 Car"/>
    <w:basedOn w:val="Fuentedeprrafopredeter"/>
    <w:link w:val="Ttulo4"/>
    <w:uiPriority w:val="9"/>
    <w:rsid w:val="006B4DCE"/>
    <w:rPr>
      <w:rFonts w:ascii="Arial" w:eastAsiaTheme="majorEastAsia" w:hAnsi="Arial" w:cstheme="majorBidi"/>
      <w:b/>
      <w:iCs/>
      <w:color w:val="000000" w:themeColor="text1"/>
      <w:sz w:val="24"/>
    </w:rPr>
  </w:style>
  <w:style w:type="character" w:customStyle="1" w:styleId="Ttulo5Car">
    <w:name w:val="Título 5 Car"/>
    <w:basedOn w:val="Fuentedeprrafopredeter"/>
    <w:link w:val="Ttulo5"/>
    <w:uiPriority w:val="9"/>
    <w:rsid w:val="00A85D8C"/>
    <w:rPr>
      <w:rFonts w:ascii="Arial" w:eastAsiaTheme="majorEastAsia" w:hAnsi="Arial" w:cstheme="majorBidi"/>
      <w:b/>
      <w:sz w:val="24"/>
    </w:rPr>
  </w:style>
  <w:style w:type="character" w:customStyle="1" w:styleId="Ttulo6Car">
    <w:name w:val="Título 6 Car"/>
    <w:basedOn w:val="Fuentedeprrafopredeter"/>
    <w:link w:val="Ttulo6"/>
    <w:uiPriority w:val="9"/>
    <w:rsid w:val="00A85D8C"/>
    <w:rPr>
      <w:rFonts w:ascii="Arial" w:eastAsiaTheme="majorEastAsia" w:hAnsi="Arial" w:cstheme="majorBidi"/>
      <w:b/>
      <w:color w:val="000000" w:themeColor="text1"/>
      <w:sz w:val="24"/>
    </w:rPr>
  </w:style>
  <w:style w:type="character" w:customStyle="1" w:styleId="Ttulo7Car">
    <w:name w:val="Título 7 Car"/>
    <w:basedOn w:val="Fuentedeprrafopredeter"/>
    <w:link w:val="Ttulo7"/>
    <w:uiPriority w:val="9"/>
    <w:rsid w:val="003A7A71"/>
    <w:rPr>
      <w:rFonts w:ascii="Arial" w:eastAsiaTheme="majorEastAsia" w:hAnsi="Arial" w:cstheme="majorBidi"/>
      <w:b/>
      <w:iCs/>
      <w:sz w:val="24"/>
    </w:rPr>
  </w:style>
  <w:style w:type="character" w:customStyle="1" w:styleId="Ttulo8Car">
    <w:name w:val="Título 8 Car"/>
    <w:basedOn w:val="Fuentedeprrafopredeter"/>
    <w:link w:val="Ttulo8"/>
    <w:uiPriority w:val="9"/>
    <w:rsid w:val="003A7A71"/>
    <w:rPr>
      <w:rFonts w:ascii="Arial" w:eastAsiaTheme="majorEastAsia" w:hAnsi="Arial" w:cstheme="majorBidi"/>
      <w:b/>
      <w:color w:val="000000" w:themeColor="text1"/>
      <w:sz w:val="24"/>
      <w:szCs w:val="21"/>
    </w:rPr>
  </w:style>
  <w:style w:type="character" w:customStyle="1" w:styleId="Ttulo9Car">
    <w:name w:val="Título 9 Car"/>
    <w:basedOn w:val="Fuentedeprrafopredeter"/>
    <w:link w:val="Ttulo9"/>
    <w:uiPriority w:val="9"/>
    <w:semiHidden/>
    <w:rsid w:val="00D659B5"/>
    <w:rPr>
      <w:rFonts w:asciiTheme="majorHAnsi" w:eastAsiaTheme="majorEastAsia" w:hAnsiTheme="majorHAnsi" w:cstheme="majorBidi"/>
      <w:i/>
      <w:iCs/>
      <w:color w:val="272727" w:themeColor="text1" w:themeTint="D8"/>
      <w:sz w:val="21"/>
      <w:szCs w:val="21"/>
    </w:rPr>
  </w:style>
  <w:style w:type="paragraph" w:customStyle="1" w:styleId="ttulo50">
    <w:name w:val="título5"/>
    <w:basedOn w:val="Normal"/>
    <w:link w:val="ttulo5Car0"/>
    <w:qFormat/>
    <w:rsid w:val="00C426AD"/>
    <w:pPr>
      <w:tabs>
        <w:tab w:val="left" w:pos="4474"/>
      </w:tabs>
      <w:spacing w:after="0"/>
      <w:ind w:left="94"/>
    </w:pPr>
    <w:rPr>
      <w:rFonts w:ascii="Arial" w:hAnsi="Arial" w:cs="Arial"/>
    </w:rPr>
  </w:style>
  <w:style w:type="character" w:customStyle="1" w:styleId="ttulo5Car0">
    <w:name w:val="título5 Car"/>
    <w:basedOn w:val="Fuentedeprrafopredeter"/>
    <w:link w:val="ttulo50"/>
    <w:rsid w:val="00C426AD"/>
    <w:rPr>
      <w:rFonts w:ascii="Arial" w:hAnsi="Arial" w:cs="Arial"/>
    </w:rPr>
  </w:style>
  <w:style w:type="paragraph" w:styleId="TtuloTDC">
    <w:name w:val="TOC Heading"/>
    <w:basedOn w:val="Ttulo1"/>
    <w:next w:val="Normal"/>
    <w:uiPriority w:val="39"/>
    <w:unhideWhenUsed/>
    <w:qFormat/>
    <w:rsid w:val="00173491"/>
    <w:pPr>
      <w:suppressAutoHyphens w:val="0"/>
      <w:spacing w:line="259" w:lineRule="auto"/>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173491"/>
    <w:pPr>
      <w:spacing w:after="100"/>
    </w:pPr>
  </w:style>
  <w:style w:type="paragraph" w:styleId="TDC2">
    <w:name w:val="toc 2"/>
    <w:basedOn w:val="Normal"/>
    <w:next w:val="Normal"/>
    <w:autoRedefine/>
    <w:uiPriority w:val="39"/>
    <w:unhideWhenUsed/>
    <w:rsid w:val="00173491"/>
    <w:pPr>
      <w:spacing w:after="100"/>
      <w:ind w:left="220"/>
    </w:pPr>
  </w:style>
  <w:style w:type="paragraph" w:styleId="TDC3">
    <w:name w:val="toc 3"/>
    <w:basedOn w:val="Normal"/>
    <w:next w:val="Normal"/>
    <w:autoRedefine/>
    <w:uiPriority w:val="39"/>
    <w:unhideWhenUsed/>
    <w:rsid w:val="00173491"/>
    <w:pPr>
      <w:spacing w:after="100"/>
      <w:ind w:left="440"/>
    </w:pPr>
  </w:style>
  <w:style w:type="paragraph" w:styleId="TDC4">
    <w:name w:val="toc 4"/>
    <w:basedOn w:val="Normal"/>
    <w:next w:val="Normal"/>
    <w:autoRedefine/>
    <w:uiPriority w:val="39"/>
    <w:unhideWhenUsed/>
    <w:rsid w:val="00173491"/>
    <w:pPr>
      <w:suppressAutoHyphens w:val="0"/>
      <w:spacing w:after="100" w:line="278" w:lineRule="auto"/>
      <w:ind w:left="720"/>
    </w:pPr>
    <w:rPr>
      <w:rFonts w:eastAsiaTheme="minorEastAsia"/>
      <w:kern w:val="2"/>
      <w:sz w:val="24"/>
      <w:szCs w:val="24"/>
      <w:lang w:eastAsia="es-CO"/>
      <w14:ligatures w14:val="standardContextual"/>
    </w:rPr>
  </w:style>
  <w:style w:type="paragraph" w:styleId="TDC5">
    <w:name w:val="toc 5"/>
    <w:basedOn w:val="Normal"/>
    <w:next w:val="Normal"/>
    <w:autoRedefine/>
    <w:uiPriority w:val="39"/>
    <w:unhideWhenUsed/>
    <w:rsid w:val="00173491"/>
    <w:pPr>
      <w:suppressAutoHyphens w:val="0"/>
      <w:spacing w:after="100" w:line="278" w:lineRule="auto"/>
      <w:ind w:left="960"/>
    </w:pPr>
    <w:rPr>
      <w:rFonts w:eastAsiaTheme="minorEastAsia"/>
      <w:kern w:val="2"/>
      <w:sz w:val="24"/>
      <w:szCs w:val="24"/>
      <w:lang w:eastAsia="es-CO"/>
      <w14:ligatures w14:val="standardContextual"/>
    </w:rPr>
  </w:style>
  <w:style w:type="paragraph" w:styleId="TDC6">
    <w:name w:val="toc 6"/>
    <w:basedOn w:val="Normal"/>
    <w:next w:val="Normal"/>
    <w:autoRedefine/>
    <w:uiPriority w:val="39"/>
    <w:unhideWhenUsed/>
    <w:rsid w:val="00173491"/>
    <w:pPr>
      <w:suppressAutoHyphens w:val="0"/>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173491"/>
    <w:pPr>
      <w:suppressAutoHyphens w:val="0"/>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173491"/>
    <w:pPr>
      <w:suppressAutoHyphens w:val="0"/>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173491"/>
    <w:pPr>
      <w:suppressAutoHyphens w:val="0"/>
      <w:spacing w:after="100" w:line="278" w:lineRule="auto"/>
      <w:ind w:left="1920"/>
    </w:pPr>
    <w:rPr>
      <w:rFonts w:eastAsiaTheme="minorEastAsia"/>
      <w:kern w:val="2"/>
      <w:sz w:val="24"/>
      <w:szCs w:val="24"/>
      <w:lang w:eastAsia="es-CO"/>
      <w14:ligatures w14:val="standardContextual"/>
    </w:rPr>
  </w:style>
  <w:style w:type="paragraph" w:styleId="Textonotaalfinal">
    <w:name w:val="endnote text"/>
    <w:basedOn w:val="Normal"/>
    <w:link w:val="TextonotaalfinalCar"/>
    <w:uiPriority w:val="99"/>
    <w:semiHidden/>
    <w:unhideWhenUsed/>
    <w:rsid w:val="4622A9B7"/>
    <w:pPr>
      <w:spacing w:after="0"/>
    </w:pPr>
    <w:rPr>
      <w:sz w:val="20"/>
      <w:szCs w:val="20"/>
    </w:rPr>
  </w:style>
  <w:style w:type="character" w:styleId="Refdenotaalfinal">
    <w:name w:val="endnote reference"/>
    <w:basedOn w:val="Fuentedeprrafopredeter"/>
    <w:uiPriority w:val="99"/>
    <w:semiHidden/>
    <w:unhideWhenUsed/>
    <w:rPr>
      <w:vertAlign w:val="superscript"/>
    </w:rPr>
  </w:style>
  <w:style w:type="paragraph" w:customStyle="1" w:styleId="p1">
    <w:name w:val="p1"/>
    <w:basedOn w:val="Normal"/>
    <w:rsid w:val="00DD4A84"/>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s1">
    <w:name w:val="s1"/>
    <w:basedOn w:val="Fuentedeprrafopredeter"/>
    <w:rsid w:val="00433A2B"/>
  </w:style>
  <w:style w:type="paragraph" w:customStyle="1" w:styleId="TableParagraph">
    <w:name w:val="Table Paragraph"/>
    <w:basedOn w:val="Normal"/>
    <w:uiPriority w:val="1"/>
    <w:qFormat/>
    <w:rsid w:val="00E37906"/>
    <w:pPr>
      <w:widowControl w:val="0"/>
      <w:suppressAutoHyphens w:val="0"/>
      <w:autoSpaceDE w:val="0"/>
      <w:autoSpaceDN w:val="0"/>
      <w:spacing w:after="0" w:line="240" w:lineRule="auto"/>
      <w:ind w:left="69"/>
    </w:pPr>
    <w:rPr>
      <w:rFonts w:ascii="Arial MT" w:eastAsia="Arial MT" w:hAnsi="Arial MT" w:cs="Arial MT"/>
      <w:lang w:val="es-ES"/>
    </w:rPr>
  </w:style>
  <w:style w:type="character" w:customStyle="1" w:styleId="TextoindependienteCar2">
    <w:name w:val="Texto independiente Car2"/>
    <w:basedOn w:val="Fuentedeprrafopredeter"/>
    <w:uiPriority w:val="99"/>
    <w:semiHidden/>
    <w:rsid w:val="002849EC"/>
  </w:style>
  <w:style w:type="character" w:customStyle="1" w:styleId="EncabezadoCar2">
    <w:name w:val="Encabezado Car2"/>
    <w:basedOn w:val="Fuentedeprrafopredeter"/>
    <w:uiPriority w:val="99"/>
    <w:semiHidden/>
    <w:rsid w:val="002849EC"/>
  </w:style>
  <w:style w:type="character" w:customStyle="1" w:styleId="PiedepginaCar2">
    <w:name w:val="Pie de página Car2"/>
    <w:basedOn w:val="Fuentedeprrafopredeter"/>
    <w:uiPriority w:val="99"/>
    <w:semiHidden/>
    <w:rsid w:val="002849EC"/>
  </w:style>
  <w:style w:type="character" w:customStyle="1" w:styleId="TextonotaalfinalCar">
    <w:name w:val="Texto nota al final Car"/>
    <w:basedOn w:val="Fuentedeprrafopredeter"/>
    <w:link w:val="Textonotaalfinal"/>
    <w:uiPriority w:val="99"/>
    <w:semiHidden/>
    <w:rsid w:val="002849E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30544">
      <w:bodyDiv w:val="1"/>
      <w:marLeft w:val="0"/>
      <w:marRight w:val="0"/>
      <w:marTop w:val="0"/>
      <w:marBottom w:val="0"/>
      <w:divBdr>
        <w:top w:val="none" w:sz="0" w:space="0" w:color="auto"/>
        <w:left w:val="none" w:sz="0" w:space="0" w:color="auto"/>
        <w:bottom w:val="none" w:sz="0" w:space="0" w:color="auto"/>
        <w:right w:val="none" w:sz="0" w:space="0" w:color="auto"/>
      </w:divBdr>
    </w:div>
    <w:div w:id="335116236">
      <w:bodyDiv w:val="1"/>
      <w:marLeft w:val="0"/>
      <w:marRight w:val="0"/>
      <w:marTop w:val="0"/>
      <w:marBottom w:val="0"/>
      <w:divBdr>
        <w:top w:val="none" w:sz="0" w:space="0" w:color="auto"/>
        <w:left w:val="none" w:sz="0" w:space="0" w:color="auto"/>
        <w:bottom w:val="none" w:sz="0" w:space="0" w:color="auto"/>
        <w:right w:val="none" w:sz="0" w:space="0" w:color="auto"/>
      </w:divBdr>
    </w:div>
    <w:div w:id="393548550">
      <w:bodyDiv w:val="1"/>
      <w:marLeft w:val="0"/>
      <w:marRight w:val="0"/>
      <w:marTop w:val="0"/>
      <w:marBottom w:val="0"/>
      <w:divBdr>
        <w:top w:val="none" w:sz="0" w:space="0" w:color="auto"/>
        <w:left w:val="none" w:sz="0" w:space="0" w:color="auto"/>
        <w:bottom w:val="none" w:sz="0" w:space="0" w:color="auto"/>
        <w:right w:val="none" w:sz="0" w:space="0" w:color="auto"/>
      </w:divBdr>
    </w:div>
    <w:div w:id="466900473">
      <w:bodyDiv w:val="1"/>
      <w:marLeft w:val="0"/>
      <w:marRight w:val="0"/>
      <w:marTop w:val="0"/>
      <w:marBottom w:val="0"/>
      <w:divBdr>
        <w:top w:val="none" w:sz="0" w:space="0" w:color="auto"/>
        <w:left w:val="none" w:sz="0" w:space="0" w:color="auto"/>
        <w:bottom w:val="none" w:sz="0" w:space="0" w:color="auto"/>
        <w:right w:val="none" w:sz="0" w:space="0" w:color="auto"/>
      </w:divBdr>
    </w:div>
    <w:div w:id="520975870">
      <w:bodyDiv w:val="1"/>
      <w:marLeft w:val="0"/>
      <w:marRight w:val="0"/>
      <w:marTop w:val="0"/>
      <w:marBottom w:val="0"/>
      <w:divBdr>
        <w:top w:val="none" w:sz="0" w:space="0" w:color="auto"/>
        <w:left w:val="none" w:sz="0" w:space="0" w:color="auto"/>
        <w:bottom w:val="none" w:sz="0" w:space="0" w:color="auto"/>
        <w:right w:val="none" w:sz="0" w:space="0" w:color="auto"/>
      </w:divBdr>
    </w:div>
    <w:div w:id="574625837">
      <w:bodyDiv w:val="1"/>
      <w:marLeft w:val="0"/>
      <w:marRight w:val="0"/>
      <w:marTop w:val="0"/>
      <w:marBottom w:val="0"/>
      <w:divBdr>
        <w:top w:val="none" w:sz="0" w:space="0" w:color="auto"/>
        <w:left w:val="none" w:sz="0" w:space="0" w:color="auto"/>
        <w:bottom w:val="none" w:sz="0" w:space="0" w:color="auto"/>
        <w:right w:val="none" w:sz="0" w:space="0" w:color="auto"/>
      </w:divBdr>
    </w:div>
    <w:div w:id="710766899">
      <w:bodyDiv w:val="1"/>
      <w:marLeft w:val="0"/>
      <w:marRight w:val="0"/>
      <w:marTop w:val="0"/>
      <w:marBottom w:val="0"/>
      <w:divBdr>
        <w:top w:val="none" w:sz="0" w:space="0" w:color="auto"/>
        <w:left w:val="none" w:sz="0" w:space="0" w:color="auto"/>
        <w:bottom w:val="none" w:sz="0" w:space="0" w:color="auto"/>
        <w:right w:val="none" w:sz="0" w:space="0" w:color="auto"/>
      </w:divBdr>
    </w:div>
    <w:div w:id="737674600">
      <w:bodyDiv w:val="1"/>
      <w:marLeft w:val="0"/>
      <w:marRight w:val="0"/>
      <w:marTop w:val="0"/>
      <w:marBottom w:val="0"/>
      <w:divBdr>
        <w:top w:val="none" w:sz="0" w:space="0" w:color="auto"/>
        <w:left w:val="none" w:sz="0" w:space="0" w:color="auto"/>
        <w:bottom w:val="none" w:sz="0" w:space="0" w:color="auto"/>
        <w:right w:val="none" w:sz="0" w:space="0" w:color="auto"/>
      </w:divBdr>
    </w:div>
    <w:div w:id="772093710">
      <w:bodyDiv w:val="1"/>
      <w:marLeft w:val="0"/>
      <w:marRight w:val="0"/>
      <w:marTop w:val="0"/>
      <w:marBottom w:val="0"/>
      <w:divBdr>
        <w:top w:val="none" w:sz="0" w:space="0" w:color="auto"/>
        <w:left w:val="none" w:sz="0" w:space="0" w:color="auto"/>
        <w:bottom w:val="none" w:sz="0" w:space="0" w:color="auto"/>
        <w:right w:val="none" w:sz="0" w:space="0" w:color="auto"/>
      </w:divBdr>
      <w:divsChild>
        <w:div w:id="13074332">
          <w:marLeft w:val="0"/>
          <w:marRight w:val="0"/>
          <w:marTop w:val="0"/>
          <w:marBottom w:val="0"/>
          <w:divBdr>
            <w:top w:val="none" w:sz="0" w:space="0" w:color="auto"/>
            <w:left w:val="none" w:sz="0" w:space="0" w:color="auto"/>
            <w:bottom w:val="none" w:sz="0" w:space="0" w:color="auto"/>
            <w:right w:val="none" w:sz="0" w:space="0" w:color="auto"/>
          </w:divBdr>
          <w:divsChild>
            <w:div w:id="45689711">
              <w:marLeft w:val="0"/>
              <w:marRight w:val="0"/>
              <w:marTop w:val="0"/>
              <w:marBottom w:val="0"/>
              <w:divBdr>
                <w:top w:val="none" w:sz="0" w:space="0" w:color="auto"/>
                <w:left w:val="none" w:sz="0" w:space="0" w:color="auto"/>
                <w:bottom w:val="none" w:sz="0" w:space="0" w:color="auto"/>
                <w:right w:val="none" w:sz="0" w:space="0" w:color="auto"/>
              </w:divBdr>
            </w:div>
            <w:div w:id="199629559">
              <w:marLeft w:val="0"/>
              <w:marRight w:val="0"/>
              <w:marTop w:val="0"/>
              <w:marBottom w:val="0"/>
              <w:divBdr>
                <w:top w:val="none" w:sz="0" w:space="0" w:color="auto"/>
                <w:left w:val="none" w:sz="0" w:space="0" w:color="auto"/>
                <w:bottom w:val="none" w:sz="0" w:space="0" w:color="auto"/>
                <w:right w:val="none" w:sz="0" w:space="0" w:color="auto"/>
              </w:divBdr>
            </w:div>
            <w:div w:id="207381005">
              <w:marLeft w:val="0"/>
              <w:marRight w:val="0"/>
              <w:marTop w:val="0"/>
              <w:marBottom w:val="0"/>
              <w:divBdr>
                <w:top w:val="none" w:sz="0" w:space="0" w:color="auto"/>
                <w:left w:val="none" w:sz="0" w:space="0" w:color="auto"/>
                <w:bottom w:val="none" w:sz="0" w:space="0" w:color="auto"/>
                <w:right w:val="none" w:sz="0" w:space="0" w:color="auto"/>
              </w:divBdr>
            </w:div>
            <w:div w:id="227228990">
              <w:marLeft w:val="0"/>
              <w:marRight w:val="0"/>
              <w:marTop w:val="0"/>
              <w:marBottom w:val="0"/>
              <w:divBdr>
                <w:top w:val="none" w:sz="0" w:space="0" w:color="auto"/>
                <w:left w:val="none" w:sz="0" w:space="0" w:color="auto"/>
                <w:bottom w:val="none" w:sz="0" w:space="0" w:color="auto"/>
                <w:right w:val="none" w:sz="0" w:space="0" w:color="auto"/>
              </w:divBdr>
            </w:div>
            <w:div w:id="438069958">
              <w:marLeft w:val="0"/>
              <w:marRight w:val="0"/>
              <w:marTop w:val="0"/>
              <w:marBottom w:val="0"/>
              <w:divBdr>
                <w:top w:val="none" w:sz="0" w:space="0" w:color="auto"/>
                <w:left w:val="none" w:sz="0" w:space="0" w:color="auto"/>
                <w:bottom w:val="none" w:sz="0" w:space="0" w:color="auto"/>
                <w:right w:val="none" w:sz="0" w:space="0" w:color="auto"/>
              </w:divBdr>
            </w:div>
            <w:div w:id="565605878">
              <w:marLeft w:val="0"/>
              <w:marRight w:val="0"/>
              <w:marTop w:val="0"/>
              <w:marBottom w:val="0"/>
              <w:divBdr>
                <w:top w:val="none" w:sz="0" w:space="0" w:color="auto"/>
                <w:left w:val="none" w:sz="0" w:space="0" w:color="auto"/>
                <w:bottom w:val="none" w:sz="0" w:space="0" w:color="auto"/>
                <w:right w:val="none" w:sz="0" w:space="0" w:color="auto"/>
              </w:divBdr>
            </w:div>
            <w:div w:id="608439128">
              <w:marLeft w:val="0"/>
              <w:marRight w:val="0"/>
              <w:marTop w:val="0"/>
              <w:marBottom w:val="0"/>
              <w:divBdr>
                <w:top w:val="none" w:sz="0" w:space="0" w:color="auto"/>
                <w:left w:val="none" w:sz="0" w:space="0" w:color="auto"/>
                <w:bottom w:val="none" w:sz="0" w:space="0" w:color="auto"/>
                <w:right w:val="none" w:sz="0" w:space="0" w:color="auto"/>
              </w:divBdr>
            </w:div>
            <w:div w:id="786239872">
              <w:marLeft w:val="0"/>
              <w:marRight w:val="0"/>
              <w:marTop w:val="0"/>
              <w:marBottom w:val="0"/>
              <w:divBdr>
                <w:top w:val="none" w:sz="0" w:space="0" w:color="auto"/>
                <w:left w:val="none" w:sz="0" w:space="0" w:color="auto"/>
                <w:bottom w:val="none" w:sz="0" w:space="0" w:color="auto"/>
                <w:right w:val="none" w:sz="0" w:space="0" w:color="auto"/>
              </w:divBdr>
            </w:div>
            <w:div w:id="813135193">
              <w:marLeft w:val="0"/>
              <w:marRight w:val="0"/>
              <w:marTop w:val="0"/>
              <w:marBottom w:val="0"/>
              <w:divBdr>
                <w:top w:val="none" w:sz="0" w:space="0" w:color="auto"/>
                <w:left w:val="none" w:sz="0" w:space="0" w:color="auto"/>
                <w:bottom w:val="none" w:sz="0" w:space="0" w:color="auto"/>
                <w:right w:val="none" w:sz="0" w:space="0" w:color="auto"/>
              </w:divBdr>
            </w:div>
            <w:div w:id="872378456">
              <w:marLeft w:val="0"/>
              <w:marRight w:val="0"/>
              <w:marTop w:val="0"/>
              <w:marBottom w:val="0"/>
              <w:divBdr>
                <w:top w:val="none" w:sz="0" w:space="0" w:color="auto"/>
                <w:left w:val="none" w:sz="0" w:space="0" w:color="auto"/>
                <w:bottom w:val="none" w:sz="0" w:space="0" w:color="auto"/>
                <w:right w:val="none" w:sz="0" w:space="0" w:color="auto"/>
              </w:divBdr>
            </w:div>
            <w:div w:id="1058363701">
              <w:marLeft w:val="0"/>
              <w:marRight w:val="0"/>
              <w:marTop w:val="0"/>
              <w:marBottom w:val="0"/>
              <w:divBdr>
                <w:top w:val="none" w:sz="0" w:space="0" w:color="auto"/>
                <w:left w:val="none" w:sz="0" w:space="0" w:color="auto"/>
                <w:bottom w:val="none" w:sz="0" w:space="0" w:color="auto"/>
                <w:right w:val="none" w:sz="0" w:space="0" w:color="auto"/>
              </w:divBdr>
            </w:div>
            <w:div w:id="1337852137">
              <w:marLeft w:val="0"/>
              <w:marRight w:val="0"/>
              <w:marTop w:val="0"/>
              <w:marBottom w:val="0"/>
              <w:divBdr>
                <w:top w:val="none" w:sz="0" w:space="0" w:color="auto"/>
                <w:left w:val="none" w:sz="0" w:space="0" w:color="auto"/>
                <w:bottom w:val="none" w:sz="0" w:space="0" w:color="auto"/>
                <w:right w:val="none" w:sz="0" w:space="0" w:color="auto"/>
              </w:divBdr>
            </w:div>
            <w:div w:id="1409693264">
              <w:marLeft w:val="0"/>
              <w:marRight w:val="0"/>
              <w:marTop w:val="0"/>
              <w:marBottom w:val="0"/>
              <w:divBdr>
                <w:top w:val="none" w:sz="0" w:space="0" w:color="auto"/>
                <w:left w:val="none" w:sz="0" w:space="0" w:color="auto"/>
                <w:bottom w:val="none" w:sz="0" w:space="0" w:color="auto"/>
                <w:right w:val="none" w:sz="0" w:space="0" w:color="auto"/>
              </w:divBdr>
            </w:div>
            <w:div w:id="1519202177">
              <w:marLeft w:val="0"/>
              <w:marRight w:val="0"/>
              <w:marTop w:val="0"/>
              <w:marBottom w:val="0"/>
              <w:divBdr>
                <w:top w:val="none" w:sz="0" w:space="0" w:color="auto"/>
                <w:left w:val="none" w:sz="0" w:space="0" w:color="auto"/>
                <w:bottom w:val="none" w:sz="0" w:space="0" w:color="auto"/>
                <w:right w:val="none" w:sz="0" w:space="0" w:color="auto"/>
              </w:divBdr>
            </w:div>
            <w:div w:id="1678799833">
              <w:marLeft w:val="0"/>
              <w:marRight w:val="0"/>
              <w:marTop w:val="0"/>
              <w:marBottom w:val="0"/>
              <w:divBdr>
                <w:top w:val="none" w:sz="0" w:space="0" w:color="auto"/>
                <w:left w:val="none" w:sz="0" w:space="0" w:color="auto"/>
                <w:bottom w:val="none" w:sz="0" w:space="0" w:color="auto"/>
                <w:right w:val="none" w:sz="0" w:space="0" w:color="auto"/>
              </w:divBdr>
            </w:div>
            <w:div w:id="1995790544">
              <w:marLeft w:val="0"/>
              <w:marRight w:val="0"/>
              <w:marTop w:val="0"/>
              <w:marBottom w:val="0"/>
              <w:divBdr>
                <w:top w:val="none" w:sz="0" w:space="0" w:color="auto"/>
                <w:left w:val="none" w:sz="0" w:space="0" w:color="auto"/>
                <w:bottom w:val="none" w:sz="0" w:space="0" w:color="auto"/>
                <w:right w:val="none" w:sz="0" w:space="0" w:color="auto"/>
              </w:divBdr>
            </w:div>
            <w:div w:id="2019038793">
              <w:marLeft w:val="0"/>
              <w:marRight w:val="0"/>
              <w:marTop w:val="0"/>
              <w:marBottom w:val="0"/>
              <w:divBdr>
                <w:top w:val="none" w:sz="0" w:space="0" w:color="auto"/>
                <w:left w:val="none" w:sz="0" w:space="0" w:color="auto"/>
                <w:bottom w:val="none" w:sz="0" w:space="0" w:color="auto"/>
                <w:right w:val="none" w:sz="0" w:space="0" w:color="auto"/>
              </w:divBdr>
            </w:div>
            <w:div w:id="2036035333">
              <w:marLeft w:val="0"/>
              <w:marRight w:val="0"/>
              <w:marTop w:val="0"/>
              <w:marBottom w:val="0"/>
              <w:divBdr>
                <w:top w:val="none" w:sz="0" w:space="0" w:color="auto"/>
                <w:left w:val="none" w:sz="0" w:space="0" w:color="auto"/>
                <w:bottom w:val="none" w:sz="0" w:space="0" w:color="auto"/>
                <w:right w:val="none" w:sz="0" w:space="0" w:color="auto"/>
              </w:divBdr>
            </w:div>
            <w:div w:id="2052681132">
              <w:marLeft w:val="0"/>
              <w:marRight w:val="0"/>
              <w:marTop w:val="0"/>
              <w:marBottom w:val="0"/>
              <w:divBdr>
                <w:top w:val="none" w:sz="0" w:space="0" w:color="auto"/>
                <w:left w:val="none" w:sz="0" w:space="0" w:color="auto"/>
                <w:bottom w:val="none" w:sz="0" w:space="0" w:color="auto"/>
                <w:right w:val="none" w:sz="0" w:space="0" w:color="auto"/>
              </w:divBdr>
            </w:div>
            <w:div w:id="2087725311">
              <w:marLeft w:val="0"/>
              <w:marRight w:val="0"/>
              <w:marTop w:val="0"/>
              <w:marBottom w:val="0"/>
              <w:divBdr>
                <w:top w:val="none" w:sz="0" w:space="0" w:color="auto"/>
                <w:left w:val="none" w:sz="0" w:space="0" w:color="auto"/>
                <w:bottom w:val="none" w:sz="0" w:space="0" w:color="auto"/>
                <w:right w:val="none" w:sz="0" w:space="0" w:color="auto"/>
              </w:divBdr>
            </w:div>
          </w:divsChild>
        </w:div>
        <w:div w:id="29652878">
          <w:marLeft w:val="0"/>
          <w:marRight w:val="0"/>
          <w:marTop w:val="0"/>
          <w:marBottom w:val="0"/>
          <w:divBdr>
            <w:top w:val="none" w:sz="0" w:space="0" w:color="auto"/>
            <w:left w:val="none" w:sz="0" w:space="0" w:color="auto"/>
            <w:bottom w:val="none" w:sz="0" w:space="0" w:color="auto"/>
            <w:right w:val="none" w:sz="0" w:space="0" w:color="auto"/>
          </w:divBdr>
          <w:divsChild>
            <w:div w:id="76364388">
              <w:marLeft w:val="0"/>
              <w:marRight w:val="0"/>
              <w:marTop w:val="0"/>
              <w:marBottom w:val="0"/>
              <w:divBdr>
                <w:top w:val="none" w:sz="0" w:space="0" w:color="auto"/>
                <w:left w:val="none" w:sz="0" w:space="0" w:color="auto"/>
                <w:bottom w:val="none" w:sz="0" w:space="0" w:color="auto"/>
                <w:right w:val="none" w:sz="0" w:space="0" w:color="auto"/>
              </w:divBdr>
            </w:div>
            <w:div w:id="155465187">
              <w:marLeft w:val="0"/>
              <w:marRight w:val="0"/>
              <w:marTop w:val="0"/>
              <w:marBottom w:val="0"/>
              <w:divBdr>
                <w:top w:val="none" w:sz="0" w:space="0" w:color="auto"/>
                <w:left w:val="none" w:sz="0" w:space="0" w:color="auto"/>
                <w:bottom w:val="none" w:sz="0" w:space="0" w:color="auto"/>
                <w:right w:val="none" w:sz="0" w:space="0" w:color="auto"/>
              </w:divBdr>
            </w:div>
            <w:div w:id="157695106">
              <w:marLeft w:val="0"/>
              <w:marRight w:val="0"/>
              <w:marTop w:val="0"/>
              <w:marBottom w:val="0"/>
              <w:divBdr>
                <w:top w:val="none" w:sz="0" w:space="0" w:color="auto"/>
                <w:left w:val="none" w:sz="0" w:space="0" w:color="auto"/>
                <w:bottom w:val="none" w:sz="0" w:space="0" w:color="auto"/>
                <w:right w:val="none" w:sz="0" w:space="0" w:color="auto"/>
              </w:divBdr>
            </w:div>
            <w:div w:id="459804595">
              <w:marLeft w:val="0"/>
              <w:marRight w:val="0"/>
              <w:marTop w:val="0"/>
              <w:marBottom w:val="0"/>
              <w:divBdr>
                <w:top w:val="none" w:sz="0" w:space="0" w:color="auto"/>
                <w:left w:val="none" w:sz="0" w:space="0" w:color="auto"/>
                <w:bottom w:val="none" w:sz="0" w:space="0" w:color="auto"/>
                <w:right w:val="none" w:sz="0" w:space="0" w:color="auto"/>
              </w:divBdr>
            </w:div>
            <w:div w:id="659358106">
              <w:marLeft w:val="0"/>
              <w:marRight w:val="0"/>
              <w:marTop w:val="0"/>
              <w:marBottom w:val="0"/>
              <w:divBdr>
                <w:top w:val="none" w:sz="0" w:space="0" w:color="auto"/>
                <w:left w:val="none" w:sz="0" w:space="0" w:color="auto"/>
                <w:bottom w:val="none" w:sz="0" w:space="0" w:color="auto"/>
                <w:right w:val="none" w:sz="0" w:space="0" w:color="auto"/>
              </w:divBdr>
            </w:div>
            <w:div w:id="677579016">
              <w:marLeft w:val="0"/>
              <w:marRight w:val="0"/>
              <w:marTop w:val="0"/>
              <w:marBottom w:val="0"/>
              <w:divBdr>
                <w:top w:val="none" w:sz="0" w:space="0" w:color="auto"/>
                <w:left w:val="none" w:sz="0" w:space="0" w:color="auto"/>
                <w:bottom w:val="none" w:sz="0" w:space="0" w:color="auto"/>
                <w:right w:val="none" w:sz="0" w:space="0" w:color="auto"/>
              </w:divBdr>
            </w:div>
            <w:div w:id="847672687">
              <w:marLeft w:val="0"/>
              <w:marRight w:val="0"/>
              <w:marTop w:val="0"/>
              <w:marBottom w:val="0"/>
              <w:divBdr>
                <w:top w:val="none" w:sz="0" w:space="0" w:color="auto"/>
                <w:left w:val="none" w:sz="0" w:space="0" w:color="auto"/>
                <w:bottom w:val="none" w:sz="0" w:space="0" w:color="auto"/>
                <w:right w:val="none" w:sz="0" w:space="0" w:color="auto"/>
              </w:divBdr>
            </w:div>
            <w:div w:id="989216786">
              <w:marLeft w:val="0"/>
              <w:marRight w:val="0"/>
              <w:marTop w:val="0"/>
              <w:marBottom w:val="0"/>
              <w:divBdr>
                <w:top w:val="none" w:sz="0" w:space="0" w:color="auto"/>
                <w:left w:val="none" w:sz="0" w:space="0" w:color="auto"/>
                <w:bottom w:val="none" w:sz="0" w:space="0" w:color="auto"/>
                <w:right w:val="none" w:sz="0" w:space="0" w:color="auto"/>
              </w:divBdr>
            </w:div>
            <w:div w:id="1097362820">
              <w:marLeft w:val="0"/>
              <w:marRight w:val="0"/>
              <w:marTop w:val="0"/>
              <w:marBottom w:val="0"/>
              <w:divBdr>
                <w:top w:val="none" w:sz="0" w:space="0" w:color="auto"/>
                <w:left w:val="none" w:sz="0" w:space="0" w:color="auto"/>
                <w:bottom w:val="none" w:sz="0" w:space="0" w:color="auto"/>
                <w:right w:val="none" w:sz="0" w:space="0" w:color="auto"/>
              </w:divBdr>
            </w:div>
            <w:div w:id="1135294959">
              <w:marLeft w:val="0"/>
              <w:marRight w:val="0"/>
              <w:marTop w:val="0"/>
              <w:marBottom w:val="0"/>
              <w:divBdr>
                <w:top w:val="none" w:sz="0" w:space="0" w:color="auto"/>
                <w:left w:val="none" w:sz="0" w:space="0" w:color="auto"/>
                <w:bottom w:val="none" w:sz="0" w:space="0" w:color="auto"/>
                <w:right w:val="none" w:sz="0" w:space="0" w:color="auto"/>
              </w:divBdr>
            </w:div>
            <w:div w:id="1533347876">
              <w:marLeft w:val="0"/>
              <w:marRight w:val="0"/>
              <w:marTop w:val="0"/>
              <w:marBottom w:val="0"/>
              <w:divBdr>
                <w:top w:val="none" w:sz="0" w:space="0" w:color="auto"/>
                <w:left w:val="none" w:sz="0" w:space="0" w:color="auto"/>
                <w:bottom w:val="none" w:sz="0" w:space="0" w:color="auto"/>
                <w:right w:val="none" w:sz="0" w:space="0" w:color="auto"/>
              </w:divBdr>
            </w:div>
            <w:div w:id="1713463209">
              <w:marLeft w:val="0"/>
              <w:marRight w:val="0"/>
              <w:marTop w:val="0"/>
              <w:marBottom w:val="0"/>
              <w:divBdr>
                <w:top w:val="none" w:sz="0" w:space="0" w:color="auto"/>
                <w:left w:val="none" w:sz="0" w:space="0" w:color="auto"/>
                <w:bottom w:val="none" w:sz="0" w:space="0" w:color="auto"/>
                <w:right w:val="none" w:sz="0" w:space="0" w:color="auto"/>
              </w:divBdr>
            </w:div>
            <w:div w:id="1782413270">
              <w:marLeft w:val="0"/>
              <w:marRight w:val="0"/>
              <w:marTop w:val="0"/>
              <w:marBottom w:val="0"/>
              <w:divBdr>
                <w:top w:val="none" w:sz="0" w:space="0" w:color="auto"/>
                <w:left w:val="none" w:sz="0" w:space="0" w:color="auto"/>
                <w:bottom w:val="none" w:sz="0" w:space="0" w:color="auto"/>
                <w:right w:val="none" w:sz="0" w:space="0" w:color="auto"/>
              </w:divBdr>
            </w:div>
            <w:div w:id="1811745271">
              <w:marLeft w:val="0"/>
              <w:marRight w:val="0"/>
              <w:marTop w:val="0"/>
              <w:marBottom w:val="0"/>
              <w:divBdr>
                <w:top w:val="none" w:sz="0" w:space="0" w:color="auto"/>
                <w:left w:val="none" w:sz="0" w:space="0" w:color="auto"/>
                <w:bottom w:val="none" w:sz="0" w:space="0" w:color="auto"/>
                <w:right w:val="none" w:sz="0" w:space="0" w:color="auto"/>
              </w:divBdr>
            </w:div>
            <w:div w:id="2015568331">
              <w:marLeft w:val="0"/>
              <w:marRight w:val="0"/>
              <w:marTop w:val="0"/>
              <w:marBottom w:val="0"/>
              <w:divBdr>
                <w:top w:val="none" w:sz="0" w:space="0" w:color="auto"/>
                <w:left w:val="none" w:sz="0" w:space="0" w:color="auto"/>
                <w:bottom w:val="none" w:sz="0" w:space="0" w:color="auto"/>
                <w:right w:val="none" w:sz="0" w:space="0" w:color="auto"/>
              </w:divBdr>
            </w:div>
          </w:divsChild>
        </w:div>
        <w:div w:id="215819241">
          <w:marLeft w:val="0"/>
          <w:marRight w:val="0"/>
          <w:marTop w:val="0"/>
          <w:marBottom w:val="0"/>
          <w:divBdr>
            <w:top w:val="none" w:sz="0" w:space="0" w:color="auto"/>
            <w:left w:val="none" w:sz="0" w:space="0" w:color="auto"/>
            <w:bottom w:val="none" w:sz="0" w:space="0" w:color="auto"/>
            <w:right w:val="none" w:sz="0" w:space="0" w:color="auto"/>
          </w:divBdr>
          <w:divsChild>
            <w:div w:id="45573980">
              <w:marLeft w:val="0"/>
              <w:marRight w:val="0"/>
              <w:marTop w:val="0"/>
              <w:marBottom w:val="0"/>
              <w:divBdr>
                <w:top w:val="none" w:sz="0" w:space="0" w:color="auto"/>
                <w:left w:val="none" w:sz="0" w:space="0" w:color="auto"/>
                <w:bottom w:val="none" w:sz="0" w:space="0" w:color="auto"/>
                <w:right w:val="none" w:sz="0" w:space="0" w:color="auto"/>
              </w:divBdr>
            </w:div>
            <w:div w:id="267157493">
              <w:marLeft w:val="0"/>
              <w:marRight w:val="0"/>
              <w:marTop w:val="0"/>
              <w:marBottom w:val="0"/>
              <w:divBdr>
                <w:top w:val="none" w:sz="0" w:space="0" w:color="auto"/>
                <w:left w:val="none" w:sz="0" w:space="0" w:color="auto"/>
                <w:bottom w:val="none" w:sz="0" w:space="0" w:color="auto"/>
                <w:right w:val="none" w:sz="0" w:space="0" w:color="auto"/>
              </w:divBdr>
            </w:div>
            <w:div w:id="679704352">
              <w:marLeft w:val="0"/>
              <w:marRight w:val="0"/>
              <w:marTop w:val="0"/>
              <w:marBottom w:val="0"/>
              <w:divBdr>
                <w:top w:val="none" w:sz="0" w:space="0" w:color="auto"/>
                <w:left w:val="none" w:sz="0" w:space="0" w:color="auto"/>
                <w:bottom w:val="none" w:sz="0" w:space="0" w:color="auto"/>
                <w:right w:val="none" w:sz="0" w:space="0" w:color="auto"/>
              </w:divBdr>
            </w:div>
            <w:div w:id="700008232">
              <w:marLeft w:val="0"/>
              <w:marRight w:val="0"/>
              <w:marTop w:val="0"/>
              <w:marBottom w:val="0"/>
              <w:divBdr>
                <w:top w:val="none" w:sz="0" w:space="0" w:color="auto"/>
                <w:left w:val="none" w:sz="0" w:space="0" w:color="auto"/>
                <w:bottom w:val="none" w:sz="0" w:space="0" w:color="auto"/>
                <w:right w:val="none" w:sz="0" w:space="0" w:color="auto"/>
              </w:divBdr>
            </w:div>
            <w:div w:id="875390001">
              <w:marLeft w:val="0"/>
              <w:marRight w:val="0"/>
              <w:marTop w:val="0"/>
              <w:marBottom w:val="0"/>
              <w:divBdr>
                <w:top w:val="none" w:sz="0" w:space="0" w:color="auto"/>
                <w:left w:val="none" w:sz="0" w:space="0" w:color="auto"/>
                <w:bottom w:val="none" w:sz="0" w:space="0" w:color="auto"/>
                <w:right w:val="none" w:sz="0" w:space="0" w:color="auto"/>
              </w:divBdr>
            </w:div>
            <w:div w:id="1103110974">
              <w:marLeft w:val="0"/>
              <w:marRight w:val="0"/>
              <w:marTop w:val="0"/>
              <w:marBottom w:val="0"/>
              <w:divBdr>
                <w:top w:val="none" w:sz="0" w:space="0" w:color="auto"/>
                <w:left w:val="none" w:sz="0" w:space="0" w:color="auto"/>
                <w:bottom w:val="none" w:sz="0" w:space="0" w:color="auto"/>
                <w:right w:val="none" w:sz="0" w:space="0" w:color="auto"/>
              </w:divBdr>
            </w:div>
            <w:div w:id="1333290105">
              <w:marLeft w:val="0"/>
              <w:marRight w:val="0"/>
              <w:marTop w:val="0"/>
              <w:marBottom w:val="0"/>
              <w:divBdr>
                <w:top w:val="none" w:sz="0" w:space="0" w:color="auto"/>
                <w:left w:val="none" w:sz="0" w:space="0" w:color="auto"/>
                <w:bottom w:val="none" w:sz="0" w:space="0" w:color="auto"/>
                <w:right w:val="none" w:sz="0" w:space="0" w:color="auto"/>
              </w:divBdr>
            </w:div>
            <w:div w:id="1712613831">
              <w:marLeft w:val="0"/>
              <w:marRight w:val="0"/>
              <w:marTop w:val="0"/>
              <w:marBottom w:val="0"/>
              <w:divBdr>
                <w:top w:val="none" w:sz="0" w:space="0" w:color="auto"/>
                <w:left w:val="none" w:sz="0" w:space="0" w:color="auto"/>
                <w:bottom w:val="none" w:sz="0" w:space="0" w:color="auto"/>
                <w:right w:val="none" w:sz="0" w:space="0" w:color="auto"/>
              </w:divBdr>
            </w:div>
            <w:div w:id="1777560227">
              <w:marLeft w:val="0"/>
              <w:marRight w:val="0"/>
              <w:marTop w:val="0"/>
              <w:marBottom w:val="0"/>
              <w:divBdr>
                <w:top w:val="none" w:sz="0" w:space="0" w:color="auto"/>
                <w:left w:val="none" w:sz="0" w:space="0" w:color="auto"/>
                <w:bottom w:val="none" w:sz="0" w:space="0" w:color="auto"/>
                <w:right w:val="none" w:sz="0" w:space="0" w:color="auto"/>
              </w:divBdr>
            </w:div>
            <w:div w:id="1968969232">
              <w:marLeft w:val="0"/>
              <w:marRight w:val="0"/>
              <w:marTop w:val="0"/>
              <w:marBottom w:val="0"/>
              <w:divBdr>
                <w:top w:val="none" w:sz="0" w:space="0" w:color="auto"/>
                <w:left w:val="none" w:sz="0" w:space="0" w:color="auto"/>
                <w:bottom w:val="none" w:sz="0" w:space="0" w:color="auto"/>
                <w:right w:val="none" w:sz="0" w:space="0" w:color="auto"/>
              </w:divBdr>
            </w:div>
            <w:div w:id="2110199938">
              <w:marLeft w:val="0"/>
              <w:marRight w:val="0"/>
              <w:marTop w:val="0"/>
              <w:marBottom w:val="0"/>
              <w:divBdr>
                <w:top w:val="none" w:sz="0" w:space="0" w:color="auto"/>
                <w:left w:val="none" w:sz="0" w:space="0" w:color="auto"/>
                <w:bottom w:val="none" w:sz="0" w:space="0" w:color="auto"/>
                <w:right w:val="none" w:sz="0" w:space="0" w:color="auto"/>
              </w:divBdr>
            </w:div>
          </w:divsChild>
        </w:div>
        <w:div w:id="279730308">
          <w:marLeft w:val="0"/>
          <w:marRight w:val="0"/>
          <w:marTop w:val="0"/>
          <w:marBottom w:val="0"/>
          <w:divBdr>
            <w:top w:val="none" w:sz="0" w:space="0" w:color="auto"/>
            <w:left w:val="none" w:sz="0" w:space="0" w:color="auto"/>
            <w:bottom w:val="none" w:sz="0" w:space="0" w:color="auto"/>
            <w:right w:val="none" w:sz="0" w:space="0" w:color="auto"/>
          </w:divBdr>
          <w:divsChild>
            <w:div w:id="52043427">
              <w:marLeft w:val="0"/>
              <w:marRight w:val="0"/>
              <w:marTop w:val="0"/>
              <w:marBottom w:val="0"/>
              <w:divBdr>
                <w:top w:val="none" w:sz="0" w:space="0" w:color="auto"/>
                <w:left w:val="none" w:sz="0" w:space="0" w:color="auto"/>
                <w:bottom w:val="none" w:sz="0" w:space="0" w:color="auto"/>
                <w:right w:val="none" w:sz="0" w:space="0" w:color="auto"/>
              </w:divBdr>
            </w:div>
            <w:div w:id="282351668">
              <w:marLeft w:val="0"/>
              <w:marRight w:val="0"/>
              <w:marTop w:val="0"/>
              <w:marBottom w:val="0"/>
              <w:divBdr>
                <w:top w:val="none" w:sz="0" w:space="0" w:color="auto"/>
                <w:left w:val="none" w:sz="0" w:space="0" w:color="auto"/>
                <w:bottom w:val="none" w:sz="0" w:space="0" w:color="auto"/>
                <w:right w:val="none" w:sz="0" w:space="0" w:color="auto"/>
              </w:divBdr>
            </w:div>
            <w:div w:id="545675703">
              <w:marLeft w:val="0"/>
              <w:marRight w:val="0"/>
              <w:marTop w:val="0"/>
              <w:marBottom w:val="0"/>
              <w:divBdr>
                <w:top w:val="none" w:sz="0" w:space="0" w:color="auto"/>
                <w:left w:val="none" w:sz="0" w:space="0" w:color="auto"/>
                <w:bottom w:val="none" w:sz="0" w:space="0" w:color="auto"/>
                <w:right w:val="none" w:sz="0" w:space="0" w:color="auto"/>
              </w:divBdr>
            </w:div>
            <w:div w:id="939482575">
              <w:marLeft w:val="0"/>
              <w:marRight w:val="0"/>
              <w:marTop w:val="0"/>
              <w:marBottom w:val="0"/>
              <w:divBdr>
                <w:top w:val="none" w:sz="0" w:space="0" w:color="auto"/>
                <w:left w:val="none" w:sz="0" w:space="0" w:color="auto"/>
                <w:bottom w:val="none" w:sz="0" w:space="0" w:color="auto"/>
                <w:right w:val="none" w:sz="0" w:space="0" w:color="auto"/>
              </w:divBdr>
            </w:div>
            <w:div w:id="1035235919">
              <w:marLeft w:val="0"/>
              <w:marRight w:val="0"/>
              <w:marTop w:val="0"/>
              <w:marBottom w:val="0"/>
              <w:divBdr>
                <w:top w:val="none" w:sz="0" w:space="0" w:color="auto"/>
                <w:left w:val="none" w:sz="0" w:space="0" w:color="auto"/>
                <w:bottom w:val="none" w:sz="0" w:space="0" w:color="auto"/>
                <w:right w:val="none" w:sz="0" w:space="0" w:color="auto"/>
              </w:divBdr>
            </w:div>
            <w:div w:id="1242913067">
              <w:marLeft w:val="0"/>
              <w:marRight w:val="0"/>
              <w:marTop w:val="0"/>
              <w:marBottom w:val="0"/>
              <w:divBdr>
                <w:top w:val="none" w:sz="0" w:space="0" w:color="auto"/>
                <w:left w:val="none" w:sz="0" w:space="0" w:color="auto"/>
                <w:bottom w:val="none" w:sz="0" w:space="0" w:color="auto"/>
                <w:right w:val="none" w:sz="0" w:space="0" w:color="auto"/>
              </w:divBdr>
            </w:div>
            <w:div w:id="1253314509">
              <w:marLeft w:val="0"/>
              <w:marRight w:val="0"/>
              <w:marTop w:val="0"/>
              <w:marBottom w:val="0"/>
              <w:divBdr>
                <w:top w:val="none" w:sz="0" w:space="0" w:color="auto"/>
                <w:left w:val="none" w:sz="0" w:space="0" w:color="auto"/>
                <w:bottom w:val="none" w:sz="0" w:space="0" w:color="auto"/>
                <w:right w:val="none" w:sz="0" w:space="0" w:color="auto"/>
              </w:divBdr>
            </w:div>
            <w:div w:id="1277368335">
              <w:marLeft w:val="0"/>
              <w:marRight w:val="0"/>
              <w:marTop w:val="0"/>
              <w:marBottom w:val="0"/>
              <w:divBdr>
                <w:top w:val="none" w:sz="0" w:space="0" w:color="auto"/>
                <w:left w:val="none" w:sz="0" w:space="0" w:color="auto"/>
                <w:bottom w:val="none" w:sz="0" w:space="0" w:color="auto"/>
                <w:right w:val="none" w:sz="0" w:space="0" w:color="auto"/>
              </w:divBdr>
            </w:div>
            <w:div w:id="1360551380">
              <w:marLeft w:val="0"/>
              <w:marRight w:val="0"/>
              <w:marTop w:val="0"/>
              <w:marBottom w:val="0"/>
              <w:divBdr>
                <w:top w:val="none" w:sz="0" w:space="0" w:color="auto"/>
                <w:left w:val="none" w:sz="0" w:space="0" w:color="auto"/>
                <w:bottom w:val="none" w:sz="0" w:space="0" w:color="auto"/>
                <w:right w:val="none" w:sz="0" w:space="0" w:color="auto"/>
              </w:divBdr>
            </w:div>
            <w:div w:id="1404178765">
              <w:marLeft w:val="0"/>
              <w:marRight w:val="0"/>
              <w:marTop w:val="0"/>
              <w:marBottom w:val="0"/>
              <w:divBdr>
                <w:top w:val="none" w:sz="0" w:space="0" w:color="auto"/>
                <w:left w:val="none" w:sz="0" w:space="0" w:color="auto"/>
                <w:bottom w:val="none" w:sz="0" w:space="0" w:color="auto"/>
                <w:right w:val="none" w:sz="0" w:space="0" w:color="auto"/>
              </w:divBdr>
            </w:div>
            <w:div w:id="1577016476">
              <w:marLeft w:val="0"/>
              <w:marRight w:val="0"/>
              <w:marTop w:val="0"/>
              <w:marBottom w:val="0"/>
              <w:divBdr>
                <w:top w:val="none" w:sz="0" w:space="0" w:color="auto"/>
                <w:left w:val="none" w:sz="0" w:space="0" w:color="auto"/>
                <w:bottom w:val="none" w:sz="0" w:space="0" w:color="auto"/>
                <w:right w:val="none" w:sz="0" w:space="0" w:color="auto"/>
              </w:divBdr>
            </w:div>
            <w:div w:id="1649360503">
              <w:marLeft w:val="0"/>
              <w:marRight w:val="0"/>
              <w:marTop w:val="0"/>
              <w:marBottom w:val="0"/>
              <w:divBdr>
                <w:top w:val="none" w:sz="0" w:space="0" w:color="auto"/>
                <w:left w:val="none" w:sz="0" w:space="0" w:color="auto"/>
                <w:bottom w:val="none" w:sz="0" w:space="0" w:color="auto"/>
                <w:right w:val="none" w:sz="0" w:space="0" w:color="auto"/>
              </w:divBdr>
            </w:div>
            <w:div w:id="1651858321">
              <w:marLeft w:val="0"/>
              <w:marRight w:val="0"/>
              <w:marTop w:val="0"/>
              <w:marBottom w:val="0"/>
              <w:divBdr>
                <w:top w:val="none" w:sz="0" w:space="0" w:color="auto"/>
                <w:left w:val="none" w:sz="0" w:space="0" w:color="auto"/>
                <w:bottom w:val="none" w:sz="0" w:space="0" w:color="auto"/>
                <w:right w:val="none" w:sz="0" w:space="0" w:color="auto"/>
              </w:divBdr>
            </w:div>
            <w:div w:id="1780374122">
              <w:marLeft w:val="0"/>
              <w:marRight w:val="0"/>
              <w:marTop w:val="0"/>
              <w:marBottom w:val="0"/>
              <w:divBdr>
                <w:top w:val="none" w:sz="0" w:space="0" w:color="auto"/>
                <w:left w:val="none" w:sz="0" w:space="0" w:color="auto"/>
                <w:bottom w:val="none" w:sz="0" w:space="0" w:color="auto"/>
                <w:right w:val="none" w:sz="0" w:space="0" w:color="auto"/>
              </w:divBdr>
            </w:div>
            <w:div w:id="1824546867">
              <w:marLeft w:val="0"/>
              <w:marRight w:val="0"/>
              <w:marTop w:val="0"/>
              <w:marBottom w:val="0"/>
              <w:divBdr>
                <w:top w:val="none" w:sz="0" w:space="0" w:color="auto"/>
                <w:left w:val="none" w:sz="0" w:space="0" w:color="auto"/>
                <w:bottom w:val="none" w:sz="0" w:space="0" w:color="auto"/>
                <w:right w:val="none" w:sz="0" w:space="0" w:color="auto"/>
              </w:divBdr>
            </w:div>
            <w:div w:id="1862014412">
              <w:marLeft w:val="0"/>
              <w:marRight w:val="0"/>
              <w:marTop w:val="0"/>
              <w:marBottom w:val="0"/>
              <w:divBdr>
                <w:top w:val="none" w:sz="0" w:space="0" w:color="auto"/>
                <w:left w:val="none" w:sz="0" w:space="0" w:color="auto"/>
                <w:bottom w:val="none" w:sz="0" w:space="0" w:color="auto"/>
                <w:right w:val="none" w:sz="0" w:space="0" w:color="auto"/>
              </w:divBdr>
            </w:div>
            <w:div w:id="1922640658">
              <w:marLeft w:val="0"/>
              <w:marRight w:val="0"/>
              <w:marTop w:val="0"/>
              <w:marBottom w:val="0"/>
              <w:divBdr>
                <w:top w:val="none" w:sz="0" w:space="0" w:color="auto"/>
                <w:left w:val="none" w:sz="0" w:space="0" w:color="auto"/>
                <w:bottom w:val="none" w:sz="0" w:space="0" w:color="auto"/>
                <w:right w:val="none" w:sz="0" w:space="0" w:color="auto"/>
              </w:divBdr>
            </w:div>
            <w:div w:id="1924758393">
              <w:marLeft w:val="0"/>
              <w:marRight w:val="0"/>
              <w:marTop w:val="0"/>
              <w:marBottom w:val="0"/>
              <w:divBdr>
                <w:top w:val="none" w:sz="0" w:space="0" w:color="auto"/>
                <w:left w:val="none" w:sz="0" w:space="0" w:color="auto"/>
                <w:bottom w:val="none" w:sz="0" w:space="0" w:color="auto"/>
                <w:right w:val="none" w:sz="0" w:space="0" w:color="auto"/>
              </w:divBdr>
            </w:div>
            <w:div w:id="1974943666">
              <w:marLeft w:val="0"/>
              <w:marRight w:val="0"/>
              <w:marTop w:val="0"/>
              <w:marBottom w:val="0"/>
              <w:divBdr>
                <w:top w:val="none" w:sz="0" w:space="0" w:color="auto"/>
                <w:left w:val="none" w:sz="0" w:space="0" w:color="auto"/>
                <w:bottom w:val="none" w:sz="0" w:space="0" w:color="auto"/>
                <w:right w:val="none" w:sz="0" w:space="0" w:color="auto"/>
              </w:divBdr>
            </w:div>
            <w:div w:id="2071489853">
              <w:marLeft w:val="0"/>
              <w:marRight w:val="0"/>
              <w:marTop w:val="0"/>
              <w:marBottom w:val="0"/>
              <w:divBdr>
                <w:top w:val="none" w:sz="0" w:space="0" w:color="auto"/>
                <w:left w:val="none" w:sz="0" w:space="0" w:color="auto"/>
                <w:bottom w:val="none" w:sz="0" w:space="0" w:color="auto"/>
                <w:right w:val="none" w:sz="0" w:space="0" w:color="auto"/>
              </w:divBdr>
            </w:div>
          </w:divsChild>
        </w:div>
        <w:div w:id="1584680785">
          <w:marLeft w:val="0"/>
          <w:marRight w:val="0"/>
          <w:marTop w:val="0"/>
          <w:marBottom w:val="0"/>
          <w:divBdr>
            <w:top w:val="none" w:sz="0" w:space="0" w:color="auto"/>
            <w:left w:val="none" w:sz="0" w:space="0" w:color="auto"/>
            <w:bottom w:val="none" w:sz="0" w:space="0" w:color="auto"/>
            <w:right w:val="none" w:sz="0" w:space="0" w:color="auto"/>
          </w:divBdr>
          <w:divsChild>
            <w:div w:id="185217131">
              <w:marLeft w:val="0"/>
              <w:marRight w:val="0"/>
              <w:marTop w:val="0"/>
              <w:marBottom w:val="0"/>
              <w:divBdr>
                <w:top w:val="none" w:sz="0" w:space="0" w:color="auto"/>
                <w:left w:val="none" w:sz="0" w:space="0" w:color="auto"/>
                <w:bottom w:val="none" w:sz="0" w:space="0" w:color="auto"/>
                <w:right w:val="none" w:sz="0" w:space="0" w:color="auto"/>
              </w:divBdr>
            </w:div>
            <w:div w:id="191186063">
              <w:marLeft w:val="0"/>
              <w:marRight w:val="0"/>
              <w:marTop w:val="0"/>
              <w:marBottom w:val="0"/>
              <w:divBdr>
                <w:top w:val="none" w:sz="0" w:space="0" w:color="auto"/>
                <w:left w:val="none" w:sz="0" w:space="0" w:color="auto"/>
                <w:bottom w:val="none" w:sz="0" w:space="0" w:color="auto"/>
                <w:right w:val="none" w:sz="0" w:space="0" w:color="auto"/>
              </w:divBdr>
            </w:div>
            <w:div w:id="292832375">
              <w:marLeft w:val="0"/>
              <w:marRight w:val="0"/>
              <w:marTop w:val="0"/>
              <w:marBottom w:val="0"/>
              <w:divBdr>
                <w:top w:val="none" w:sz="0" w:space="0" w:color="auto"/>
                <w:left w:val="none" w:sz="0" w:space="0" w:color="auto"/>
                <w:bottom w:val="none" w:sz="0" w:space="0" w:color="auto"/>
                <w:right w:val="none" w:sz="0" w:space="0" w:color="auto"/>
              </w:divBdr>
            </w:div>
            <w:div w:id="398788955">
              <w:marLeft w:val="0"/>
              <w:marRight w:val="0"/>
              <w:marTop w:val="0"/>
              <w:marBottom w:val="0"/>
              <w:divBdr>
                <w:top w:val="none" w:sz="0" w:space="0" w:color="auto"/>
                <w:left w:val="none" w:sz="0" w:space="0" w:color="auto"/>
                <w:bottom w:val="none" w:sz="0" w:space="0" w:color="auto"/>
                <w:right w:val="none" w:sz="0" w:space="0" w:color="auto"/>
              </w:divBdr>
            </w:div>
            <w:div w:id="733426626">
              <w:marLeft w:val="0"/>
              <w:marRight w:val="0"/>
              <w:marTop w:val="0"/>
              <w:marBottom w:val="0"/>
              <w:divBdr>
                <w:top w:val="none" w:sz="0" w:space="0" w:color="auto"/>
                <w:left w:val="none" w:sz="0" w:space="0" w:color="auto"/>
                <w:bottom w:val="none" w:sz="0" w:space="0" w:color="auto"/>
                <w:right w:val="none" w:sz="0" w:space="0" w:color="auto"/>
              </w:divBdr>
            </w:div>
            <w:div w:id="825585539">
              <w:marLeft w:val="0"/>
              <w:marRight w:val="0"/>
              <w:marTop w:val="0"/>
              <w:marBottom w:val="0"/>
              <w:divBdr>
                <w:top w:val="none" w:sz="0" w:space="0" w:color="auto"/>
                <w:left w:val="none" w:sz="0" w:space="0" w:color="auto"/>
                <w:bottom w:val="none" w:sz="0" w:space="0" w:color="auto"/>
                <w:right w:val="none" w:sz="0" w:space="0" w:color="auto"/>
              </w:divBdr>
            </w:div>
            <w:div w:id="1069301965">
              <w:marLeft w:val="0"/>
              <w:marRight w:val="0"/>
              <w:marTop w:val="0"/>
              <w:marBottom w:val="0"/>
              <w:divBdr>
                <w:top w:val="none" w:sz="0" w:space="0" w:color="auto"/>
                <w:left w:val="none" w:sz="0" w:space="0" w:color="auto"/>
                <w:bottom w:val="none" w:sz="0" w:space="0" w:color="auto"/>
                <w:right w:val="none" w:sz="0" w:space="0" w:color="auto"/>
              </w:divBdr>
            </w:div>
            <w:div w:id="1084181138">
              <w:marLeft w:val="0"/>
              <w:marRight w:val="0"/>
              <w:marTop w:val="0"/>
              <w:marBottom w:val="0"/>
              <w:divBdr>
                <w:top w:val="none" w:sz="0" w:space="0" w:color="auto"/>
                <w:left w:val="none" w:sz="0" w:space="0" w:color="auto"/>
                <w:bottom w:val="none" w:sz="0" w:space="0" w:color="auto"/>
                <w:right w:val="none" w:sz="0" w:space="0" w:color="auto"/>
              </w:divBdr>
            </w:div>
            <w:div w:id="1173952766">
              <w:marLeft w:val="0"/>
              <w:marRight w:val="0"/>
              <w:marTop w:val="0"/>
              <w:marBottom w:val="0"/>
              <w:divBdr>
                <w:top w:val="none" w:sz="0" w:space="0" w:color="auto"/>
                <w:left w:val="none" w:sz="0" w:space="0" w:color="auto"/>
                <w:bottom w:val="none" w:sz="0" w:space="0" w:color="auto"/>
                <w:right w:val="none" w:sz="0" w:space="0" w:color="auto"/>
              </w:divBdr>
            </w:div>
            <w:div w:id="1206025657">
              <w:marLeft w:val="0"/>
              <w:marRight w:val="0"/>
              <w:marTop w:val="0"/>
              <w:marBottom w:val="0"/>
              <w:divBdr>
                <w:top w:val="none" w:sz="0" w:space="0" w:color="auto"/>
                <w:left w:val="none" w:sz="0" w:space="0" w:color="auto"/>
                <w:bottom w:val="none" w:sz="0" w:space="0" w:color="auto"/>
                <w:right w:val="none" w:sz="0" w:space="0" w:color="auto"/>
              </w:divBdr>
            </w:div>
            <w:div w:id="1208759059">
              <w:marLeft w:val="0"/>
              <w:marRight w:val="0"/>
              <w:marTop w:val="0"/>
              <w:marBottom w:val="0"/>
              <w:divBdr>
                <w:top w:val="none" w:sz="0" w:space="0" w:color="auto"/>
                <w:left w:val="none" w:sz="0" w:space="0" w:color="auto"/>
                <w:bottom w:val="none" w:sz="0" w:space="0" w:color="auto"/>
                <w:right w:val="none" w:sz="0" w:space="0" w:color="auto"/>
              </w:divBdr>
            </w:div>
            <w:div w:id="1251738118">
              <w:marLeft w:val="0"/>
              <w:marRight w:val="0"/>
              <w:marTop w:val="0"/>
              <w:marBottom w:val="0"/>
              <w:divBdr>
                <w:top w:val="none" w:sz="0" w:space="0" w:color="auto"/>
                <w:left w:val="none" w:sz="0" w:space="0" w:color="auto"/>
                <w:bottom w:val="none" w:sz="0" w:space="0" w:color="auto"/>
                <w:right w:val="none" w:sz="0" w:space="0" w:color="auto"/>
              </w:divBdr>
            </w:div>
            <w:div w:id="1405762398">
              <w:marLeft w:val="0"/>
              <w:marRight w:val="0"/>
              <w:marTop w:val="0"/>
              <w:marBottom w:val="0"/>
              <w:divBdr>
                <w:top w:val="none" w:sz="0" w:space="0" w:color="auto"/>
                <w:left w:val="none" w:sz="0" w:space="0" w:color="auto"/>
                <w:bottom w:val="none" w:sz="0" w:space="0" w:color="auto"/>
                <w:right w:val="none" w:sz="0" w:space="0" w:color="auto"/>
              </w:divBdr>
            </w:div>
            <w:div w:id="1423986336">
              <w:marLeft w:val="0"/>
              <w:marRight w:val="0"/>
              <w:marTop w:val="0"/>
              <w:marBottom w:val="0"/>
              <w:divBdr>
                <w:top w:val="none" w:sz="0" w:space="0" w:color="auto"/>
                <w:left w:val="none" w:sz="0" w:space="0" w:color="auto"/>
                <w:bottom w:val="none" w:sz="0" w:space="0" w:color="auto"/>
                <w:right w:val="none" w:sz="0" w:space="0" w:color="auto"/>
              </w:divBdr>
            </w:div>
            <w:div w:id="1460034176">
              <w:marLeft w:val="0"/>
              <w:marRight w:val="0"/>
              <w:marTop w:val="0"/>
              <w:marBottom w:val="0"/>
              <w:divBdr>
                <w:top w:val="none" w:sz="0" w:space="0" w:color="auto"/>
                <w:left w:val="none" w:sz="0" w:space="0" w:color="auto"/>
                <w:bottom w:val="none" w:sz="0" w:space="0" w:color="auto"/>
                <w:right w:val="none" w:sz="0" w:space="0" w:color="auto"/>
              </w:divBdr>
            </w:div>
            <w:div w:id="1583181270">
              <w:marLeft w:val="0"/>
              <w:marRight w:val="0"/>
              <w:marTop w:val="0"/>
              <w:marBottom w:val="0"/>
              <w:divBdr>
                <w:top w:val="none" w:sz="0" w:space="0" w:color="auto"/>
                <w:left w:val="none" w:sz="0" w:space="0" w:color="auto"/>
                <w:bottom w:val="none" w:sz="0" w:space="0" w:color="auto"/>
                <w:right w:val="none" w:sz="0" w:space="0" w:color="auto"/>
              </w:divBdr>
            </w:div>
            <w:div w:id="1655136585">
              <w:marLeft w:val="0"/>
              <w:marRight w:val="0"/>
              <w:marTop w:val="0"/>
              <w:marBottom w:val="0"/>
              <w:divBdr>
                <w:top w:val="none" w:sz="0" w:space="0" w:color="auto"/>
                <w:left w:val="none" w:sz="0" w:space="0" w:color="auto"/>
                <w:bottom w:val="none" w:sz="0" w:space="0" w:color="auto"/>
                <w:right w:val="none" w:sz="0" w:space="0" w:color="auto"/>
              </w:divBdr>
            </w:div>
            <w:div w:id="1789012109">
              <w:marLeft w:val="0"/>
              <w:marRight w:val="0"/>
              <w:marTop w:val="0"/>
              <w:marBottom w:val="0"/>
              <w:divBdr>
                <w:top w:val="none" w:sz="0" w:space="0" w:color="auto"/>
                <w:left w:val="none" w:sz="0" w:space="0" w:color="auto"/>
                <w:bottom w:val="none" w:sz="0" w:space="0" w:color="auto"/>
                <w:right w:val="none" w:sz="0" w:space="0" w:color="auto"/>
              </w:divBdr>
            </w:div>
            <w:div w:id="2043167613">
              <w:marLeft w:val="0"/>
              <w:marRight w:val="0"/>
              <w:marTop w:val="0"/>
              <w:marBottom w:val="0"/>
              <w:divBdr>
                <w:top w:val="none" w:sz="0" w:space="0" w:color="auto"/>
                <w:left w:val="none" w:sz="0" w:space="0" w:color="auto"/>
                <w:bottom w:val="none" w:sz="0" w:space="0" w:color="auto"/>
                <w:right w:val="none" w:sz="0" w:space="0" w:color="auto"/>
              </w:divBdr>
            </w:div>
            <w:div w:id="2070376043">
              <w:marLeft w:val="0"/>
              <w:marRight w:val="0"/>
              <w:marTop w:val="0"/>
              <w:marBottom w:val="0"/>
              <w:divBdr>
                <w:top w:val="none" w:sz="0" w:space="0" w:color="auto"/>
                <w:left w:val="none" w:sz="0" w:space="0" w:color="auto"/>
                <w:bottom w:val="none" w:sz="0" w:space="0" w:color="auto"/>
                <w:right w:val="none" w:sz="0" w:space="0" w:color="auto"/>
              </w:divBdr>
            </w:div>
          </w:divsChild>
        </w:div>
        <w:div w:id="1976638592">
          <w:marLeft w:val="0"/>
          <w:marRight w:val="0"/>
          <w:marTop w:val="0"/>
          <w:marBottom w:val="0"/>
          <w:divBdr>
            <w:top w:val="none" w:sz="0" w:space="0" w:color="auto"/>
            <w:left w:val="none" w:sz="0" w:space="0" w:color="auto"/>
            <w:bottom w:val="none" w:sz="0" w:space="0" w:color="auto"/>
            <w:right w:val="none" w:sz="0" w:space="0" w:color="auto"/>
          </w:divBdr>
          <w:divsChild>
            <w:div w:id="46494039">
              <w:marLeft w:val="0"/>
              <w:marRight w:val="0"/>
              <w:marTop w:val="0"/>
              <w:marBottom w:val="0"/>
              <w:divBdr>
                <w:top w:val="none" w:sz="0" w:space="0" w:color="auto"/>
                <w:left w:val="none" w:sz="0" w:space="0" w:color="auto"/>
                <w:bottom w:val="none" w:sz="0" w:space="0" w:color="auto"/>
                <w:right w:val="none" w:sz="0" w:space="0" w:color="auto"/>
              </w:divBdr>
            </w:div>
            <w:div w:id="118765173">
              <w:marLeft w:val="0"/>
              <w:marRight w:val="0"/>
              <w:marTop w:val="0"/>
              <w:marBottom w:val="0"/>
              <w:divBdr>
                <w:top w:val="none" w:sz="0" w:space="0" w:color="auto"/>
                <w:left w:val="none" w:sz="0" w:space="0" w:color="auto"/>
                <w:bottom w:val="none" w:sz="0" w:space="0" w:color="auto"/>
                <w:right w:val="none" w:sz="0" w:space="0" w:color="auto"/>
              </w:divBdr>
            </w:div>
            <w:div w:id="364987851">
              <w:marLeft w:val="0"/>
              <w:marRight w:val="0"/>
              <w:marTop w:val="0"/>
              <w:marBottom w:val="0"/>
              <w:divBdr>
                <w:top w:val="none" w:sz="0" w:space="0" w:color="auto"/>
                <w:left w:val="none" w:sz="0" w:space="0" w:color="auto"/>
                <w:bottom w:val="none" w:sz="0" w:space="0" w:color="auto"/>
                <w:right w:val="none" w:sz="0" w:space="0" w:color="auto"/>
              </w:divBdr>
            </w:div>
            <w:div w:id="397361407">
              <w:marLeft w:val="0"/>
              <w:marRight w:val="0"/>
              <w:marTop w:val="0"/>
              <w:marBottom w:val="0"/>
              <w:divBdr>
                <w:top w:val="none" w:sz="0" w:space="0" w:color="auto"/>
                <w:left w:val="none" w:sz="0" w:space="0" w:color="auto"/>
                <w:bottom w:val="none" w:sz="0" w:space="0" w:color="auto"/>
                <w:right w:val="none" w:sz="0" w:space="0" w:color="auto"/>
              </w:divBdr>
            </w:div>
            <w:div w:id="451827485">
              <w:marLeft w:val="0"/>
              <w:marRight w:val="0"/>
              <w:marTop w:val="0"/>
              <w:marBottom w:val="0"/>
              <w:divBdr>
                <w:top w:val="none" w:sz="0" w:space="0" w:color="auto"/>
                <w:left w:val="none" w:sz="0" w:space="0" w:color="auto"/>
                <w:bottom w:val="none" w:sz="0" w:space="0" w:color="auto"/>
                <w:right w:val="none" w:sz="0" w:space="0" w:color="auto"/>
              </w:divBdr>
            </w:div>
            <w:div w:id="490295596">
              <w:marLeft w:val="0"/>
              <w:marRight w:val="0"/>
              <w:marTop w:val="0"/>
              <w:marBottom w:val="0"/>
              <w:divBdr>
                <w:top w:val="none" w:sz="0" w:space="0" w:color="auto"/>
                <w:left w:val="none" w:sz="0" w:space="0" w:color="auto"/>
                <w:bottom w:val="none" w:sz="0" w:space="0" w:color="auto"/>
                <w:right w:val="none" w:sz="0" w:space="0" w:color="auto"/>
              </w:divBdr>
            </w:div>
            <w:div w:id="625233429">
              <w:marLeft w:val="0"/>
              <w:marRight w:val="0"/>
              <w:marTop w:val="0"/>
              <w:marBottom w:val="0"/>
              <w:divBdr>
                <w:top w:val="none" w:sz="0" w:space="0" w:color="auto"/>
                <w:left w:val="none" w:sz="0" w:space="0" w:color="auto"/>
                <w:bottom w:val="none" w:sz="0" w:space="0" w:color="auto"/>
                <w:right w:val="none" w:sz="0" w:space="0" w:color="auto"/>
              </w:divBdr>
            </w:div>
            <w:div w:id="759764100">
              <w:marLeft w:val="0"/>
              <w:marRight w:val="0"/>
              <w:marTop w:val="0"/>
              <w:marBottom w:val="0"/>
              <w:divBdr>
                <w:top w:val="none" w:sz="0" w:space="0" w:color="auto"/>
                <w:left w:val="none" w:sz="0" w:space="0" w:color="auto"/>
                <w:bottom w:val="none" w:sz="0" w:space="0" w:color="auto"/>
                <w:right w:val="none" w:sz="0" w:space="0" w:color="auto"/>
              </w:divBdr>
            </w:div>
            <w:div w:id="821389455">
              <w:marLeft w:val="0"/>
              <w:marRight w:val="0"/>
              <w:marTop w:val="0"/>
              <w:marBottom w:val="0"/>
              <w:divBdr>
                <w:top w:val="none" w:sz="0" w:space="0" w:color="auto"/>
                <w:left w:val="none" w:sz="0" w:space="0" w:color="auto"/>
                <w:bottom w:val="none" w:sz="0" w:space="0" w:color="auto"/>
                <w:right w:val="none" w:sz="0" w:space="0" w:color="auto"/>
              </w:divBdr>
            </w:div>
            <w:div w:id="898322464">
              <w:marLeft w:val="0"/>
              <w:marRight w:val="0"/>
              <w:marTop w:val="0"/>
              <w:marBottom w:val="0"/>
              <w:divBdr>
                <w:top w:val="none" w:sz="0" w:space="0" w:color="auto"/>
                <w:left w:val="none" w:sz="0" w:space="0" w:color="auto"/>
                <w:bottom w:val="none" w:sz="0" w:space="0" w:color="auto"/>
                <w:right w:val="none" w:sz="0" w:space="0" w:color="auto"/>
              </w:divBdr>
            </w:div>
            <w:div w:id="946887823">
              <w:marLeft w:val="0"/>
              <w:marRight w:val="0"/>
              <w:marTop w:val="0"/>
              <w:marBottom w:val="0"/>
              <w:divBdr>
                <w:top w:val="none" w:sz="0" w:space="0" w:color="auto"/>
                <w:left w:val="none" w:sz="0" w:space="0" w:color="auto"/>
                <w:bottom w:val="none" w:sz="0" w:space="0" w:color="auto"/>
                <w:right w:val="none" w:sz="0" w:space="0" w:color="auto"/>
              </w:divBdr>
            </w:div>
            <w:div w:id="1266158524">
              <w:marLeft w:val="0"/>
              <w:marRight w:val="0"/>
              <w:marTop w:val="0"/>
              <w:marBottom w:val="0"/>
              <w:divBdr>
                <w:top w:val="none" w:sz="0" w:space="0" w:color="auto"/>
                <w:left w:val="none" w:sz="0" w:space="0" w:color="auto"/>
                <w:bottom w:val="none" w:sz="0" w:space="0" w:color="auto"/>
                <w:right w:val="none" w:sz="0" w:space="0" w:color="auto"/>
              </w:divBdr>
            </w:div>
            <w:div w:id="1269894261">
              <w:marLeft w:val="0"/>
              <w:marRight w:val="0"/>
              <w:marTop w:val="0"/>
              <w:marBottom w:val="0"/>
              <w:divBdr>
                <w:top w:val="none" w:sz="0" w:space="0" w:color="auto"/>
                <w:left w:val="none" w:sz="0" w:space="0" w:color="auto"/>
                <w:bottom w:val="none" w:sz="0" w:space="0" w:color="auto"/>
                <w:right w:val="none" w:sz="0" w:space="0" w:color="auto"/>
              </w:divBdr>
            </w:div>
            <w:div w:id="1466659203">
              <w:marLeft w:val="0"/>
              <w:marRight w:val="0"/>
              <w:marTop w:val="0"/>
              <w:marBottom w:val="0"/>
              <w:divBdr>
                <w:top w:val="none" w:sz="0" w:space="0" w:color="auto"/>
                <w:left w:val="none" w:sz="0" w:space="0" w:color="auto"/>
                <w:bottom w:val="none" w:sz="0" w:space="0" w:color="auto"/>
                <w:right w:val="none" w:sz="0" w:space="0" w:color="auto"/>
              </w:divBdr>
            </w:div>
            <w:div w:id="1540899168">
              <w:marLeft w:val="0"/>
              <w:marRight w:val="0"/>
              <w:marTop w:val="0"/>
              <w:marBottom w:val="0"/>
              <w:divBdr>
                <w:top w:val="none" w:sz="0" w:space="0" w:color="auto"/>
                <w:left w:val="none" w:sz="0" w:space="0" w:color="auto"/>
                <w:bottom w:val="none" w:sz="0" w:space="0" w:color="auto"/>
                <w:right w:val="none" w:sz="0" w:space="0" w:color="auto"/>
              </w:divBdr>
            </w:div>
            <w:div w:id="1673676672">
              <w:marLeft w:val="0"/>
              <w:marRight w:val="0"/>
              <w:marTop w:val="0"/>
              <w:marBottom w:val="0"/>
              <w:divBdr>
                <w:top w:val="none" w:sz="0" w:space="0" w:color="auto"/>
                <w:left w:val="none" w:sz="0" w:space="0" w:color="auto"/>
                <w:bottom w:val="none" w:sz="0" w:space="0" w:color="auto"/>
                <w:right w:val="none" w:sz="0" w:space="0" w:color="auto"/>
              </w:divBdr>
            </w:div>
            <w:div w:id="1748528907">
              <w:marLeft w:val="0"/>
              <w:marRight w:val="0"/>
              <w:marTop w:val="0"/>
              <w:marBottom w:val="0"/>
              <w:divBdr>
                <w:top w:val="none" w:sz="0" w:space="0" w:color="auto"/>
                <w:left w:val="none" w:sz="0" w:space="0" w:color="auto"/>
                <w:bottom w:val="none" w:sz="0" w:space="0" w:color="auto"/>
                <w:right w:val="none" w:sz="0" w:space="0" w:color="auto"/>
              </w:divBdr>
            </w:div>
            <w:div w:id="1791899076">
              <w:marLeft w:val="0"/>
              <w:marRight w:val="0"/>
              <w:marTop w:val="0"/>
              <w:marBottom w:val="0"/>
              <w:divBdr>
                <w:top w:val="none" w:sz="0" w:space="0" w:color="auto"/>
                <w:left w:val="none" w:sz="0" w:space="0" w:color="auto"/>
                <w:bottom w:val="none" w:sz="0" w:space="0" w:color="auto"/>
                <w:right w:val="none" w:sz="0" w:space="0" w:color="auto"/>
              </w:divBdr>
            </w:div>
            <w:div w:id="2017996999">
              <w:marLeft w:val="0"/>
              <w:marRight w:val="0"/>
              <w:marTop w:val="0"/>
              <w:marBottom w:val="0"/>
              <w:divBdr>
                <w:top w:val="none" w:sz="0" w:space="0" w:color="auto"/>
                <w:left w:val="none" w:sz="0" w:space="0" w:color="auto"/>
                <w:bottom w:val="none" w:sz="0" w:space="0" w:color="auto"/>
                <w:right w:val="none" w:sz="0" w:space="0" w:color="auto"/>
              </w:divBdr>
            </w:div>
            <w:div w:id="2061436672">
              <w:marLeft w:val="0"/>
              <w:marRight w:val="0"/>
              <w:marTop w:val="0"/>
              <w:marBottom w:val="0"/>
              <w:divBdr>
                <w:top w:val="none" w:sz="0" w:space="0" w:color="auto"/>
                <w:left w:val="none" w:sz="0" w:space="0" w:color="auto"/>
                <w:bottom w:val="none" w:sz="0" w:space="0" w:color="auto"/>
                <w:right w:val="none" w:sz="0" w:space="0" w:color="auto"/>
              </w:divBdr>
            </w:div>
          </w:divsChild>
        </w:div>
        <w:div w:id="2096245723">
          <w:marLeft w:val="0"/>
          <w:marRight w:val="0"/>
          <w:marTop w:val="0"/>
          <w:marBottom w:val="0"/>
          <w:divBdr>
            <w:top w:val="none" w:sz="0" w:space="0" w:color="auto"/>
            <w:left w:val="none" w:sz="0" w:space="0" w:color="auto"/>
            <w:bottom w:val="none" w:sz="0" w:space="0" w:color="auto"/>
            <w:right w:val="none" w:sz="0" w:space="0" w:color="auto"/>
          </w:divBdr>
          <w:divsChild>
            <w:div w:id="102504394">
              <w:marLeft w:val="0"/>
              <w:marRight w:val="0"/>
              <w:marTop w:val="0"/>
              <w:marBottom w:val="0"/>
              <w:divBdr>
                <w:top w:val="none" w:sz="0" w:space="0" w:color="auto"/>
                <w:left w:val="none" w:sz="0" w:space="0" w:color="auto"/>
                <w:bottom w:val="none" w:sz="0" w:space="0" w:color="auto"/>
                <w:right w:val="none" w:sz="0" w:space="0" w:color="auto"/>
              </w:divBdr>
            </w:div>
            <w:div w:id="133958316">
              <w:marLeft w:val="0"/>
              <w:marRight w:val="0"/>
              <w:marTop w:val="0"/>
              <w:marBottom w:val="0"/>
              <w:divBdr>
                <w:top w:val="none" w:sz="0" w:space="0" w:color="auto"/>
                <w:left w:val="none" w:sz="0" w:space="0" w:color="auto"/>
                <w:bottom w:val="none" w:sz="0" w:space="0" w:color="auto"/>
                <w:right w:val="none" w:sz="0" w:space="0" w:color="auto"/>
              </w:divBdr>
            </w:div>
            <w:div w:id="292638753">
              <w:marLeft w:val="0"/>
              <w:marRight w:val="0"/>
              <w:marTop w:val="0"/>
              <w:marBottom w:val="0"/>
              <w:divBdr>
                <w:top w:val="none" w:sz="0" w:space="0" w:color="auto"/>
                <w:left w:val="none" w:sz="0" w:space="0" w:color="auto"/>
                <w:bottom w:val="none" w:sz="0" w:space="0" w:color="auto"/>
                <w:right w:val="none" w:sz="0" w:space="0" w:color="auto"/>
              </w:divBdr>
            </w:div>
            <w:div w:id="327829839">
              <w:marLeft w:val="0"/>
              <w:marRight w:val="0"/>
              <w:marTop w:val="0"/>
              <w:marBottom w:val="0"/>
              <w:divBdr>
                <w:top w:val="none" w:sz="0" w:space="0" w:color="auto"/>
                <w:left w:val="none" w:sz="0" w:space="0" w:color="auto"/>
                <w:bottom w:val="none" w:sz="0" w:space="0" w:color="auto"/>
                <w:right w:val="none" w:sz="0" w:space="0" w:color="auto"/>
              </w:divBdr>
            </w:div>
            <w:div w:id="413354499">
              <w:marLeft w:val="0"/>
              <w:marRight w:val="0"/>
              <w:marTop w:val="0"/>
              <w:marBottom w:val="0"/>
              <w:divBdr>
                <w:top w:val="none" w:sz="0" w:space="0" w:color="auto"/>
                <w:left w:val="none" w:sz="0" w:space="0" w:color="auto"/>
                <w:bottom w:val="none" w:sz="0" w:space="0" w:color="auto"/>
                <w:right w:val="none" w:sz="0" w:space="0" w:color="auto"/>
              </w:divBdr>
            </w:div>
            <w:div w:id="463037974">
              <w:marLeft w:val="0"/>
              <w:marRight w:val="0"/>
              <w:marTop w:val="0"/>
              <w:marBottom w:val="0"/>
              <w:divBdr>
                <w:top w:val="none" w:sz="0" w:space="0" w:color="auto"/>
                <w:left w:val="none" w:sz="0" w:space="0" w:color="auto"/>
                <w:bottom w:val="none" w:sz="0" w:space="0" w:color="auto"/>
                <w:right w:val="none" w:sz="0" w:space="0" w:color="auto"/>
              </w:divBdr>
            </w:div>
            <w:div w:id="697241837">
              <w:marLeft w:val="0"/>
              <w:marRight w:val="0"/>
              <w:marTop w:val="0"/>
              <w:marBottom w:val="0"/>
              <w:divBdr>
                <w:top w:val="none" w:sz="0" w:space="0" w:color="auto"/>
                <w:left w:val="none" w:sz="0" w:space="0" w:color="auto"/>
                <w:bottom w:val="none" w:sz="0" w:space="0" w:color="auto"/>
                <w:right w:val="none" w:sz="0" w:space="0" w:color="auto"/>
              </w:divBdr>
            </w:div>
            <w:div w:id="770130484">
              <w:marLeft w:val="0"/>
              <w:marRight w:val="0"/>
              <w:marTop w:val="0"/>
              <w:marBottom w:val="0"/>
              <w:divBdr>
                <w:top w:val="none" w:sz="0" w:space="0" w:color="auto"/>
                <w:left w:val="none" w:sz="0" w:space="0" w:color="auto"/>
                <w:bottom w:val="none" w:sz="0" w:space="0" w:color="auto"/>
                <w:right w:val="none" w:sz="0" w:space="0" w:color="auto"/>
              </w:divBdr>
            </w:div>
            <w:div w:id="797602309">
              <w:marLeft w:val="0"/>
              <w:marRight w:val="0"/>
              <w:marTop w:val="0"/>
              <w:marBottom w:val="0"/>
              <w:divBdr>
                <w:top w:val="none" w:sz="0" w:space="0" w:color="auto"/>
                <w:left w:val="none" w:sz="0" w:space="0" w:color="auto"/>
                <w:bottom w:val="none" w:sz="0" w:space="0" w:color="auto"/>
                <w:right w:val="none" w:sz="0" w:space="0" w:color="auto"/>
              </w:divBdr>
            </w:div>
            <w:div w:id="918978255">
              <w:marLeft w:val="0"/>
              <w:marRight w:val="0"/>
              <w:marTop w:val="0"/>
              <w:marBottom w:val="0"/>
              <w:divBdr>
                <w:top w:val="none" w:sz="0" w:space="0" w:color="auto"/>
                <w:left w:val="none" w:sz="0" w:space="0" w:color="auto"/>
                <w:bottom w:val="none" w:sz="0" w:space="0" w:color="auto"/>
                <w:right w:val="none" w:sz="0" w:space="0" w:color="auto"/>
              </w:divBdr>
            </w:div>
            <w:div w:id="967665341">
              <w:marLeft w:val="0"/>
              <w:marRight w:val="0"/>
              <w:marTop w:val="0"/>
              <w:marBottom w:val="0"/>
              <w:divBdr>
                <w:top w:val="none" w:sz="0" w:space="0" w:color="auto"/>
                <w:left w:val="none" w:sz="0" w:space="0" w:color="auto"/>
                <w:bottom w:val="none" w:sz="0" w:space="0" w:color="auto"/>
                <w:right w:val="none" w:sz="0" w:space="0" w:color="auto"/>
              </w:divBdr>
            </w:div>
            <w:div w:id="1220290724">
              <w:marLeft w:val="0"/>
              <w:marRight w:val="0"/>
              <w:marTop w:val="0"/>
              <w:marBottom w:val="0"/>
              <w:divBdr>
                <w:top w:val="none" w:sz="0" w:space="0" w:color="auto"/>
                <w:left w:val="none" w:sz="0" w:space="0" w:color="auto"/>
                <w:bottom w:val="none" w:sz="0" w:space="0" w:color="auto"/>
                <w:right w:val="none" w:sz="0" w:space="0" w:color="auto"/>
              </w:divBdr>
            </w:div>
            <w:div w:id="1232085590">
              <w:marLeft w:val="0"/>
              <w:marRight w:val="0"/>
              <w:marTop w:val="0"/>
              <w:marBottom w:val="0"/>
              <w:divBdr>
                <w:top w:val="none" w:sz="0" w:space="0" w:color="auto"/>
                <w:left w:val="none" w:sz="0" w:space="0" w:color="auto"/>
                <w:bottom w:val="none" w:sz="0" w:space="0" w:color="auto"/>
                <w:right w:val="none" w:sz="0" w:space="0" w:color="auto"/>
              </w:divBdr>
            </w:div>
            <w:div w:id="1309237949">
              <w:marLeft w:val="0"/>
              <w:marRight w:val="0"/>
              <w:marTop w:val="0"/>
              <w:marBottom w:val="0"/>
              <w:divBdr>
                <w:top w:val="none" w:sz="0" w:space="0" w:color="auto"/>
                <w:left w:val="none" w:sz="0" w:space="0" w:color="auto"/>
                <w:bottom w:val="none" w:sz="0" w:space="0" w:color="auto"/>
                <w:right w:val="none" w:sz="0" w:space="0" w:color="auto"/>
              </w:divBdr>
            </w:div>
            <w:div w:id="1372538467">
              <w:marLeft w:val="0"/>
              <w:marRight w:val="0"/>
              <w:marTop w:val="0"/>
              <w:marBottom w:val="0"/>
              <w:divBdr>
                <w:top w:val="none" w:sz="0" w:space="0" w:color="auto"/>
                <w:left w:val="none" w:sz="0" w:space="0" w:color="auto"/>
                <w:bottom w:val="none" w:sz="0" w:space="0" w:color="auto"/>
                <w:right w:val="none" w:sz="0" w:space="0" w:color="auto"/>
              </w:divBdr>
            </w:div>
            <w:div w:id="1458598507">
              <w:marLeft w:val="0"/>
              <w:marRight w:val="0"/>
              <w:marTop w:val="0"/>
              <w:marBottom w:val="0"/>
              <w:divBdr>
                <w:top w:val="none" w:sz="0" w:space="0" w:color="auto"/>
                <w:left w:val="none" w:sz="0" w:space="0" w:color="auto"/>
                <w:bottom w:val="none" w:sz="0" w:space="0" w:color="auto"/>
                <w:right w:val="none" w:sz="0" w:space="0" w:color="auto"/>
              </w:divBdr>
            </w:div>
            <w:div w:id="1566061282">
              <w:marLeft w:val="0"/>
              <w:marRight w:val="0"/>
              <w:marTop w:val="0"/>
              <w:marBottom w:val="0"/>
              <w:divBdr>
                <w:top w:val="none" w:sz="0" w:space="0" w:color="auto"/>
                <w:left w:val="none" w:sz="0" w:space="0" w:color="auto"/>
                <w:bottom w:val="none" w:sz="0" w:space="0" w:color="auto"/>
                <w:right w:val="none" w:sz="0" w:space="0" w:color="auto"/>
              </w:divBdr>
            </w:div>
            <w:div w:id="1634405741">
              <w:marLeft w:val="0"/>
              <w:marRight w:val="0"/>
              <w:marTop w:val="0"/>
              <w:marBottom w:val="0"/>
              <w:divBdr>
                <w:top w:val="none" w:sz="0" w:space="0" w:color="auto"/>
                <w:left w:val="none" w:sz="0" w:space="0" w:color="auto"/>
                <w:bottom w:val="none" w:sz="0" w:space="0" w:color="auto"/>
                <w:right w:val="none" w:sz="0" w:space="0" w:color="auto"/>
              </w:divBdr>
            </w:div>
            <w:div w:id="1637417233">
              <w:marLeft w:val="0"/>
              <w:marRight w:val="0"/>
              <w:marTop w:val="0"/>
              <w:marBottom w:val="0"/>
              <w:divBdr>
                <w:top w:val="none" w:sz="0" w:space="0" w:color="auto"/>
                <w:left w:val="none" w:sz="0" w:space="0" w:color="auto"/>
                <w:bottom w:val="none" w:sz="0" w:space="0" w:color="auto"/>
                <w:right w:val="none" w:sz="0" w:space="0" w:color="auto"/>
              </w:divBdr>
            </w:div>
            <w:div w:id="170853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951968">
      <w:bodyDiv w:val="1"/>
      <w:marLeft w:val="0"/>
      <w:marRight w:val="0"/>
      <w:marTop w:val="0"/>
      <w:marBottom w:val="0"/>
      <w:divBdr>
        <w:top w:val="none" w:sz="0" w:space="0" w:color="auto"/>
        <w:left w:val="none" w:sz="0" w:space="0" w:color="auto"/>
        <w:bottom w:val="none" w:sz="0" w:space="0" w:color="auto"/>
        <w:right w:val="none" w:sz="0" w:space="0" w:color="auto"/>
      </w:divBdr>
    </w:div>
    <w:div w:id="851384018">
      <w:bodyDiv w:val="1"/>
      <w:marLeft w:val="0"/>
      <w:marRight w:val="0"/>
      <w:marTop w:val="0"/>
      <w:marBottom w:val="0"/>
      <w:divBdr>
        <w:top w:val="none" w:sz="0" w:space="0" w:color="auto"/>
        <w:left w:val="none" w:sz="0" w:space="0" w:color="auto"/>
        <w:bottom w:val="none" w:sz="0" w:space="0" w:color="auto"/>
        <w:right w:val="none" w:sz="0" w:space="0" w:color="auto"/>
      </w:divBdr>
      <w:divsChild>
        <w:div w:id="31266691">
          <w:marLeft w:val="0"/>
          <w:marRight w:val="0"/>
          <w:marTop w:val="0"/>
          <w:marBottom w:val="0"/>
          <w:divBdr>
            <w:top w:val="none" w:sz="0" w:space="0" w:color="auto"/>
            <w:left w:val="none" w:sz="0" w:space="0" w:color="auto"/>
            <w:bottom w:val="none" w:sz="0" w:space="0" w:color="auto"/>
            <w:right w:val="none" w:sz="0" w:space="0" w:color="auto"/>
          </w:divBdr>
        </w:div>
        <w:div w:id="178005383">
          <w:marLeft w:val="0"/>
          <w:marRight w:val="0"/>
          <w:marTop w:val="0"/>
          <w:marBottom w:val="0"/>
          <w:divBdr>
            <w:top w:val="none" w:sz="0" w:space="0" w:color="auto"/>
            <w:left w:val="none" w:sz="0" w:space="0" w:color="auto"/>
            <w:bottom w:val="none" w:sz="0" w:space="0" w:color="auto"/>
            <w:right w:val="none" w:sz="0" w:space="0" w:color="auto"/>
          </w:divBdr>
        </w:div>
        <w:div w:id="192813442">
          <w:marLeft w:val="0"/>
          <w:marRight w:val="0"/>
          <w:marTop w:val="0"/>
          <w:marBottom w:val="0"/>
          <w:divBdr>
            <w:top w:val="none" w:sz="0" w:space="0" w:color="auto"/>
            <w:left w:val="none" w:sz="0" w:space="0" w:color="auto"/>
            <w:bottom w:val="none" w:sz="0" w:space="0" w:color="auto"/>
            <w:right w:val="none" w:sz="0" w:space="0" w:color="auto"/>
          </w:divBdr>
        </w:div>
        <w:div w:id="199562215">
          <w:marLeft w:val="0"/>
          <w:marRight w:val="0"/>
          <w:marTop w:val="0"/>
          <w:marBottom w:val="0"/>
          <w:divBdr>
            <w:top w:val="none" w:sz="0" w:space="0" w:color="auto"/>
            <w:left w:val="none" w:sz="0" w:space="0" w:color="auto"/>
            <w:bottom w:val="none" w:sz="0" w:space="0" w:color="auto"/>
            <w:right w:val="none" w:sz="0" w:space="0" w:color="auto"/>
          </w:divBdr>
        </w:div>
        <w:div w:id="243035070">
          <w:marLeft w:val="0"/>
          <w:marRight w:val="0"/>
          <w:marTop w:val="0"/>
          <w:marBottom w:val="0"/>
          <w:divBdr>
            <w:top w:val="none" w:sz="0" w:space="0" w:color="auto"/>
            <w:left w:val="none" w:sz="0" w:space="0" w:color="auto"/>
            <w:bottom w:val="none" w:sz="0" w:space="0" w:color="auto"/>
            <w:right w:val="none" w:sz="0" w:space="0" w:color="auto"/>
          </w:divBdr>
        </w:div>
        <w:div w:id="293214227">
          <w:marLeft w:val="0"/>
          <w:marRight w:val="0"/>
          <w:marTop w:val="0"/>
          <w:marBottom w:val="0"/>
          <w:divBdr>
            <w:top w:val="none" w:sz="0" w:space="0" w:color="auto"/>
            <w:left w:val="none" w:sz="0" w:space="0" w:color="auto"/>
            <w:bottom w:val="none" w:sz="0" w:space="0" w:color="auto"/>
            <w:right w:val="none" w:sz="0" w:space="0" w:color="auto"/>
          </w:divBdr>
        </w:div>
        <w:div w:id="293876310">
          <w:marLeft w:val="0"/>
          <w:marRight w:val="0"/>
          <w:marTop w:val="0"/>
          <w:marBottom w:val="0"/>
          <w:divBdr>
            <w:top w:val="none" w:sz="0" w:space="0" w:color="auto"/>
            <w:left w:val="none" w:sz="0" w:space="0" w:color="auto"/>
            <w:bottom w:val="none" w:sz="0" w:space="0" w:color="auto"/>
            <w:right w:val="none" w:sz="0" w:space="0" w:color="auto"/>
          </w:divBdr>
        </w:div>
        <w:div w:id="400105590">
          <w:marLeft w:val="0"/>
          <w:marRight w:val="0"/>
          <w:marTop w:val="0"/>
          <w:marBottom w:val="0"/>
          <w:divBdr>
            <w:top w:val="none" w:sz="0" w:space="0" w:color="auto"/>
            <w:left w:val="none" w:sz="0" w:space="0" w:color="auto"/>
            <w:bottom w:val="none" w:sz="0" w:space="0" w:color="auto"/>
            <w:right w:val="none" w:sz="0" w:space="0" w:color="auto"/>
          </w:divBdr>
        </w:div>
        <w:div w:id="404377165">
          <w:marLeft w:val="0"/>
          <w:marRight w:val="0"/>
          <w:marTop w:val="0"/>
          <w:marBottom w:val="0"/>
          <w:divBdr>
            <w:top w:val="none" w:sz="0" w:space="0" w:color="auto"/>
            <w:left w:val="none" w:sz="0" w:space="0" w:color="auto"/>
            <w:bottom w:val="none" w:sz="0" w:space="0" w:color="auto"/>
            <w:right w:val="none" w:sz="0" w:space="0" w:color="auto"/>
          </w:divBdr>
        </w:div>
        <w:div w:id="439883441">
          <w:marLeft w:val="0"/>
          <w:marRight w:val="0"/>
          <w:marTop w:val="0"/>
          <w:marBottom w:val="0"/>
          <w:divBdr>
            <w:top w:val="none" w:sz="0" w:space="0" w:color="auto"/>
            <w:left w:val="none" w:sz="0" w:space="0" w:color="auto"/>
            <w:bottom w:val="none" w:sz="0" w:space="0" w:color="auto"/>
            <w:right w:val="none" w:sz="0" w:space="0" w:color="auto"/>
          </w:divBdr>
        </w:div>
        <w:div w:id="762068349">
          <w:marLeft w:val="0"/>
          <w:marRight w:val="0"/>
          <w:marTop w:val="0"/>
          <w:marBottom w:val="0"/>
          <w:divBdr>
            <w:top w:val="none" w:sz="0" w:space="0" w:color="auto"/>
            <w:left w:val="none" w:sz="0" w:space="0" w:color="auto"/>
            <w:bottom w:val="none" w:sz="0" w:space="0" w:color="auto"/>
            <w:right w:val="none" w:sz="0" w:space="0" w:color="auto"/>
          </w:divBdr>
        </w:div>
        <w:div w:id="836960658">
          <w:marLeft w:val="0"/>
          <w:marRight w:val="0"/>
          <w:marTop w:val="0"/>
          <w:marBottom w:val="0"/>
          <w:divBdr>
            <w:top w:val="none" w:sz="0" w:space="0" w:color="auto"/>
            <w:left w:val="none" w:sz="0" w:space="0" w:color="auto"/>
            <w:bottom w:val="none" w:sz="0" w:space="0" w:color="auto"/>
            <w:right w:val="none" w:sz="0" w:space="0" w:color="auto"/>
          </w:divBdr>
        </w:div>
        <w:div w:id="838811828">
          <w:marLeft w:val="0"/>
          <w:marRight w:val="0"/>
          <w:marTop w:val="0"/>
          <w:marBottom w:val="0"/>
          <w:divBdr>
            <w:top w:val="none" w:sz="0" w:space="0" w:color="auto"/>
            <w:left w:val="none" w:sz="0" w:space="0" w:color="auto"/>
            <w:bottom w:val="none" w:sz="0" w:space="0" w:color="auto"/>
            <w:right w:val="none" w:sz="0" w:space="0" w:color="auto"/>
          </w:divBdr>
        </w:div>
        <w:div w:id="952131714">
          <w:marLeft w:val="0"/>
          <w:marRight w:val="0"/>
          <w:marTop w:val="0"/>
          <w:marBottom w:val="0"/>
          <w:divBdr>
            <w:top w:val="none" w:sz="0" w:space="0" w:color="auto"/>
            <w:left w:val="none" w:sz="0" w:space="0" w:color="auto"/>
            <w:bottom w:val="none" w:sz="0" w:space="0" w:color="auto"/>
            <w:right w:val="none" w:sz="0" w:space="0" w:color="auto"/>
          </w:divBdr>
        </w:div>
        <w:div w:id="982391705">
          <w:marLeft w:val="0"/>
          <w:marRight w:val="0"/>
          <w:marTop w:val="0"/>
          <w:marBottom w:val="0"/>
          <w:divBdr>
            <w:top w:val="none" w:sz="0" w:space="0" w:color="auto"/>
            <w:left w:val="none" w:sz="0" w:space="0" w:color="auto"/>
            <w:bottom w:val="none" w:sz="0" w:space="0" w:color="auto"/>
            <w:right w:val="none" w:sz="0" w:space="0" w:color="auto"/>
          </w:divBdr>
        </w:div>
        <w:div w:id="1005520979">
          <w:marLeft w:val="0"/>
          <w:marRight w:val="0"/>
          <w:marTop w:val="0"/>
          <w:marBottom w:val="0"/>
          <w:divBdr>
            <w:top w:val="none" w:sz="0" w:space="0" w:color="auto"/>
            <w:left w:val="none" w:sz="0" w:space="0" w:color="auto"/>
            <w:bottom w:val="none" w:sz="0" w:space="0" w:color="auto"/>
            <w:right w:val="none" w:sz="0" w:space="0" w:color="auto"/>
          </w:divBdr>
        </w:div>
        <w:div w:id="1053698307">
          <w:marLeft w:val="0"/>
          <w:marRight w:val="0"/>
          <w:marTop w:val="0"/>
          <w:marBottom w:val="0"/>
          <w:divBdr>
            <w:top w:val="none" w:sz="0" w:space="0" w:color="auto"/>
            <w:left w:val="none" w:sz="0" w:space="0" w:color="auto"/>
            <w:bottom w:val="none" w:sz="0" w:space="0" w:color="auto"/>
            <w:right w:val="none" w:sz="0" w:space="0" w:color="auto"/>
          </w:divBdr>
        </w:div>
        <w:div w:id="1126505507">
          <w:marLeft w:val="0"/>
          <w:marRight w:val="0"/>
          <w:marTop w:val="0"/>
          <w:marBottom w:val="0"/>
          <w:divBdr>
            <w:top w:val="none" w:sz="0" w:space="0" w:color="auto"/>
            <w:left w:val="none" w:sz="0" w:space="0" w:color="auto"/>
            <w:bottom w:val="none" w:sz="0" w:space="0" w:color="auto"/>
            <w:right w:val="none" w:sz="0" w:space="0" w:color="auto"/>
          </w:divBdr>
        </w:div>
        <w:div w:id="1195120703">
          <w:marLeft w:val="0"/>
          <w:marRight w:val="0"/>
          <w:marTop w:val="0"/>
          <w:marBottom w:val="0"/>
          <w:divBdr>
            <w:top w:val="none" w:sz="0" w:space="0" w:color="auto"/>
            <w:left w:val="none" w:sz="0" w:space="0" w:color="auto"/>
            <w:bottom w:val="none" w:sz="0" w:space="0" w:color="auto"/>
            <w:right w:val="none" w:sz="0" w:space="0" w:color="auto"/>
          </w:divBdr>
        </w:div>
        <w:div w:id="1196650775">
          <w:marLeft w:val="0"/>
          <w:marRight w:val="0"/>
          <w:marTop w:val="0"/>
          <w:marBottom w:val="0"/>
          <w:divBdr>
            <w:top w:val="none" w:sz="0" w:space="0" w:color="auto"/>
            <w:left w:val="none" w:sz="0" w:space="0" w:color="auto"/>
            <w:bottom w:val="none" w:sz="0" w:space="0" w:color="auto"/>
            <w:right w:val="none" w:sz="0" w:space="0" w:color="auto"/>
          </w:divBdr>
          <w:divsChild>
            <w:div w:id="23139013">
              <w:marLeft w:val="0"/>
              <w:marRight w:val="0"/>
              <w:marTop w:val="0"/>
              <w:marBottom w:val="0"/>
              <w:divBdr>
                <w:top w:val="none" w:sz="0" w:space="0" w:color="auto"/>
                <w:left w:val="none" w:sz="0" w:space="0" w:color="auto"/>
                <w:bottom w:val="none" w:sz="0" w:space="0" w:color="auto"/>
                <w:right w:val="none" w:sz="0" w:space="0" w:color="auto"/>
              </w:divBdr>
            </w:div>
            <w:div w:id="206378695">
              <w:marLeft w:val="0"/>
              <w:marRight w:val="0"/>
              <w:marTop w:val="0"/>
              <w:marBottom w:val="0"/>
              <w:divBdr>
                <w:top w:val="none" w:sz="0" w:space="0" w:color="auto"/>
                <w:left w:val="none" w:sz="0" w:space="0" w:color="auto"/>
                <w:bottom w:val="none" w:sz="0" w:space="0" w:color="auto"/>
                <w:right w:val="none" w:sz="0" w:space="0" w:color="auto"/>
              </w:divBdr>
            </w:div>
            <w:div w:id="207032962">
              <w:marLeft w:val="0"/>
              <w:marRight w:val="0"/>
              <w:marTop w:val="0"/>
              <w:marBottom w:val="0"/>
              <w:divBdr>
                <w:top w:val="none" w:sz="0" w:space="0" w:color="auto"/>
                <w:left w:val="none" w:sz="0" w:space="0" w:color="auto"/>
                <w:bottom w:val="none" w:sz="0" w:space="0" w:color="auto"/>
                <w:right w:val="none" w:sz="0" w:space="0" w:color="auto"/>
              </w:divBdr>
            </w:div>
            <w:div w:id="487088135">
              <w:marLeft w:val="0"/>
              <w:marRight w:val="0"/>
              <w:marTop w:val="0"/>
              <w:marBottom w:val="0"/>
              <w:divBdr>
                <w:top w:val="none" w:sz="0" w:space="0" w:color="auto"/>
                <w:left w:val="none" w:sz="0" w:space="0" w:color="auto"/>
                <w:bottom w:val="none" w:sz="0" w:space="0" w:color="auto"/>
                <w:right w:val="none" w:sz="0" w:space="0" w:color="auto"/>
              </w:divBdr>
            </w:div>
            <w:div w:id="546989076">
              <w:marLeft w:val="0"/>
              <w:marRight w:val="0"/>
              <w:marTop w:val="0"/>
              <w:marBottom w:val="0"/>
              <w:divBdr>
                <w:top w:val="none" w:sz="0" w:space="0" w:color="auto"/>
                <w:left w:val="none" w:sz="0" w:space="0" w:color="auto"/>
                <w:bottom w:val="none" w:sz="0" w:space="0" w:color="auto"/>
                <w:right w:val="none" w:sz="0" w:space="0" w:color="auto"/>
              </w:divBdr>
            </w:div>
            <w:div w:id="563611375">
              <w:marLeft w:val="0"/>
              <w:marRight w:val="0"/>
              <w:marTop w:val="0"/>
              <w:marBottom w:val="0"/>
              <w:divBdr>
                <w:top w:val="none" w:sz="0" w:space="0" w:color="auto"/>
                <w:left w:val="none" w:sz="0" w:space="0" w:color="auto"/>
                <w:bottom w:val="none" w:sz="0" w:space="0" w:color="auto"/>
                <w:right w:val="none" w:sz="0" w:space="0" w:color="auto"/>
              </w:divBdr>
            </w:div>
            <w:div w:id="655844985">
              <w:marLeft w:val="0"/>
              <w:marRight w:val="0"/>
              <w:marTop w:val="0"/>
              <w:marBottom w:val="0"/>
              <w:divBdr>
                <w:top w:val="none" w:sz="0" w:space="0" w:color="auto"/>
                <w:left w:val="none" w:sz="0" w:space="0" w:color="auto"/>
                <w:bottom w:val="none" w:sz="0" w:space="0" w:color="auto"/>
                <w:right w:val="none" w:sz="0" w:space="0" w:color="auto"/>
              </w:divBdr>
            </w:div>
            <w:div w:id="1027828338">
              <w:marLeft w:val="0"/>
              <w:marRight w:val="0"/>
              <w:marTop w:val="0"/>
              <w:marBottom w:val="0"/>
              <w:divBdr>
                <w:top w:val="none" w:sz="0" w:space="0" w:color="auto"/>
                <w:left w:val="none" w:sz="0" w:space="0" w:color="auto"/>
                <w:bottom w:val="none" w:sz="0" w:space="0" w:color="auto"/>
                <w:right w:val="none" w:sz="0" w:space="0" w:color="auto"/>
              </w:divBdr>
            </w:div>
            <w:div w:id="1813138735">
              <w:marLeft w:val="0"/>
              <w:marRight w:val="0"/>
              <w:marTop w:val="0"/>
              <w:marBottom w:val="0"/>
              <w:divBdr>
                <w:top w:val="none" w:sz="0" w:space="0" w:color="auto"/>
                <w:left w:val="none" w:sz="0" w:space="0" w:color="auto"/>
                <w:bottom w:val="none" w:sz="0" w:space="0" w:color="auto"/>
                <w:right w:val="none" w:sz="0" w:space="0" w:color="auto"/>
              </w:divBdr>
            </w:div>
            <w:div w:id="2068066086">
              <w:marLeft w:val="0"/>
              <w:marRight w:val="0"/>
              <w:marTop w:val="0"/>
              <w:marBottom w:val="0"/>
              <w:divBdr>
                <w:top w:val="none" w:sz="0" w:space="0" w:color="auto"/>
                <w:left w:val="none" w:sz="0" w:space="0" w:color="auto"/>
                <w:bottom w:val="none" w:sz="0" w:space="0" w:color="auto"/>
                <w:right w:val="none" w:sz="0" w:space="0" w:color="auto"/>
              </w:divBdr>
            </w:div>
          </w:divsChild>
        </w:div>
        <w:div w:id="1357150996">
          <w:marLeft w:val="0"/>
          <w:marRight w:val="0"/>
          <w:marTop w:val="0"/>
          <w:marBottom w:val="0"/>
          <w:divBdr>
            <w:top w:val="none" w:sz="0" w:space="0" w:color="auto"/>
            <w:left w:val="none" w:sz="0" w:space="0" w:color="auto"/>
            <w:bottom w:val="none" w:sz="0" w:space="0" w:color="auto"/>
            <w:right w:val="none" w:sz="0" w:space="0" w:color="auto"/>
          </w:divBdr>
        </w:div>
        <w:div w:id="1413430102">
          <w:marLeft w:val="0"/>
          <w:marRight w:val="0"/>
          <w:marTop w:val="0"/>
          <w:marBottom w:val="0"/>
          <w:divBdr>
            <w:top w:val="none" w:sz="0" w:space="0" w:color="auto"/>
            <w:left w:val="none" w:sz="0" w:space="0" w:color="auto"/>
            <w:bottom w:val="none" w:sz="0" w:space="0" w:color="auto"/>
            <w:right w:val="none" w:sz="0" w:space="0" w:color="auto"/>
          </w:divBdr>
          <w:divsChild>
            <w:div w:id="46490037">
              <w:marLeft w:val="0"/>
              <w:marRight w:val="0"/>
              <w:marTop w:val="0"/>
              <w:marBottom w:val="0"/>
              <w:divBdr>
                <w:top w:val="none" w:sz="0" w:space="0" w:color="auto"/>
                <w:left w:val="none" w:sz="0" w:space="0" w:color="auto"/>
                <w:bottom w:val="none" w:sz="0" w:space="0" w:color="auto"/>
                <w:right w:val="none" w:sz="0" w:space="0" w:color="auto"/>
              </w:divBdr>
            </w:div>
            <w:div w:id="72894874">
              <w:marLeft w:val="0"/>
              <w:marRight w:val="0"/>
              <w:marTop w:val="0"/>
              <w:marBottom w:val="0"/>
              <w:divBdr>
                <w:top w:val="none" w:sz="0" w:space="0" w:color="auto"/>
                <w:left w:val="none" w:sz="0" w:space="0" w:color="auto"/>
                <w:bottom w:val="none" w:sz="0" w:space="0" w:color="auto"/>
                <w:right w:val="none" w:sz="0" w:space="0" w:color="auto"/>
              </w:divBdr>
            </w:div>
            <w:div w:id="89548456">
              <w:marLeft w:val="0"/>
              <w:marRight w:val="0"/>
              <w:marTop w:val="0"/>
              <w:marBottom w:val="0"/>
              <w:divBdr>
                <w:top w:val="none" w:sz="0" w:space="0" w:color="auto"/>
                <w:left w:val="none" w:sz="0" w:space="0" w:color="auto"/>
                <w:bottom w:val="none" w:sz="0" w:space="0" w:color="auto"/>
                <w:right w:val="none" w:sz="0" w:space="0" w:color="auto"/>
              </w:divBdr>
            </w:div>
            <w:div w:id="99108603">
              <w:marLeft w:val="0"/>
              <w:marRight w:val="0"/>
              <w:marTop w:val="0"/>
              <w:marBottom w:val="0"/>
              <w:divBdr>
                <w:top w:val="none" w:sz="0" w:space="0" w:color="auto"/>
                <w:left w:val="none" w:sz="0" w:space="0" w:color="auto"/>
                <w:bottom w:val="none" w:sz="0" w:space="0" w:color="auto"/>
                <w:right w:val="none" w:sz="0" w:space="0" w:color="auto"/>
              </w:divBdr>
            </w:div>
            <w:div w:id="136538129">
              <w:marLeft w:val="0"/>
              <w:marRight w:val="0"/>
              <w:marTop w:val="0"/>
              <w:marBottom w:val="0"/>
              <w:divBdr>
                <w:top w:val="none" w:sz="0" w:space="0" w:color="auto"/>
                <w:left w:val="none" w:sz="0" w:space="0" w:color="auto"/>
                <w:bottom w:val="none" w:sz="0" w:space="0" w:color="auto"/>
                <w:right w:val="none" w:sz="0" w:space="0" w:color="auto"/>
              </w:divBdr>
            </w:div>
            <w:div w:id="215898639">
              <w:marLeft w:val="0"/>
              <w:marRight w:val="0"/>
              <w:marTop w:val="0"/>
              <w:marBottom w:val="0"/>
              <w:divBdr>
                <w:top w:val="none" w:sz="0" w:space="0" w:color="auto"/>
                <w:left w:val="none" w:sz="0" w:space="0" w:color="auto"/>
                <w:bottom w:val="none" w:sz="0" w:space="0" w:color="auto"/>
                <w:right w:val="none" w:sz="0" w:space="0" w:color="auto"/>
              </w:divBdr>
            </w:div>
            <w:div w:id="236480253">
              <w:marLeft w:val="0"/>
              <w:marRight w:val="0"/>
              <w:marTop w:val="0"/>
              <w:marBottom w:val="0"/>
              <w:divBdr>
                <w:top w:val="none" w:sz="0" w:space="0" w:color="auto"/>
                <w:left w:val="none" w:sz="0" w:space="0" w:color="auto"/>
                <w:bottom w:val="none" w:sz="0" w:space="0" w:color="auto"/>
                <w:right w:val="none" w:sz="0" w:space="0" w:color="auto"/>
              </w:divBdr>
            </w:div>
            <w:div w:id="576983803">
              <w:marLeft w:val="0"/>
              <w:marRight w:val="0"/>
              <w:marTop w:val="0"/>
              <w:marBottom w:val="0"/>
              <w:divBdr>
                <w:top w:val="none" w:sz="0" w:space="0" w:color="auto"/>
                <w:left w:val="none" w:sz="0" w:space="0" w:color="auto"/>
                <w:bottom w:val="none" w:sz="0" w:space="0" w:color="auto"/>
                <w:right w:val="none" w:sz="0" w:space="0" w:color="auto"/>
              </w:divBdr>
            </w:div>
            <w:div w:id="652174070">
              <w:marLeft w:val="0"/>
              <w:marRight w:val="0"/>
              <w:marTop w:val="0"/>
              <w:marBottom w:val="0"/>
              <w:divBdr>
                <w:top w:val="none" w:sz="0" w:space="0" w:color="auto"/>
                <w:left w:val="none" w:sz="0" w:space="0" w:color="auto"/>
                <w:bottom w:val="none" w:sz="0" w:space="0" w:color="auto"/>
                <w:right w:val="none" w:sz="0" w:space="0" w:color="auto"/>
              </w:divBdr>
            </w:div>
            <w:div w:id="786046063">
              <w:marLeft w:val="0"/>
              <w:marRight w:val="0"/>
              <w:marTop w:val="0"/>
              <w:marBottom w:val="0"/>
              <w:divBdr>
                <w:top w:val="none" w:sz="0" w:space="0" w:color="auto"/>
                <w:left w:val="none" w:sz="0" w:space="0" w:color="auto"/>
                <w:bottom w:val="none" w:sz="0" w:space="0" w:color="auto"/>
                <w:right w:val="none" w:sz="0" w:space="0" w:color="auto"/>
              </w:divBdr>
            </w:div>
            <w:div w:id="790368172">
              <w:marLeft w:val="0"/>
              <w:marRight w:val="0"/>
              <w:marTop w:val="0"/>
              <w:marBottom w:val="0"/>
              <w:divBdr>
                <w:top w:val="none" w:sz="0" w:space="0" w:color="auto"/>
                <w:left w:val="none" w:sz="0" w:space="0" w:color="auto"/>
                <w:bottom w:val="none" w:sz="0" w:space="0" w:color="auto"/>
                <w:right w:val="none" w:sz="0" w:space="0" w:color="auto"/>
              </w:divBdr>
            </w:div>
            <w:div w:id="887381628">
              <w:marLeft w:val="0"/>
              <w:marRight w:val="0"/>
              <w:marTop w:val="0"/>
              <w:marBottom w:val="0"/>
              <w:divBdr>
                <w:top w:val="none" w:sz="0" w:space="0" w:color="auto"/>
                <w:left w:val="none" w:sz="0" w:space="0" w:color="auto"/>
                <w:bottom w:val="none" w:sz="0" w:space="0" w:color="auto"/>
                <w:right w:val="none" w:sz="0" w:space="0" w:color="auto"/>
              </w:divBdr>
            </w:div>
            <w:div w:id="941576049">
              <w:marLeft w:val="0"/>
              <w:marRight w:val="0"/>
              <w:marTop w:val="0"/>
              <w:marBottom w:val="0"/>
              <w:divBdr>
                <w:top w:val="none" w:sz="0" w:space="0" w:color="auto"/>
                <w:left w:val="none" w:sz="0" w:space="0" w:color="auto"/>
                <w:bottom w:val="none" w:sz="0" w:space="0" w:color="auto"/>
                <w:right w:val="none" w:sz="0" w:space="0" w:color="auto"/>
              </w:divBdr>
            </w:div>
            <w:div w:id="952631887">
              <w:marLeft w:val="0"/>
              <w:marRight w:val="0"/>
              <w:marTop w:val="0"/>
              <w:marBottom w:val="0"/>
              <w:divBdr>
                <w:top w:val="none" w:sz="0" w:space="0" w:color="auto"/>
                <w:left w:val="none" w:sz="0" w:space="0" w:color="auto"/>
                <w:bottom w:val="none" w:sz="0" w:space="0" w:color="auto"/>
                <w:right w:val="none" w:sz="0" w:space="0" w:color="auto"/>
              </w:divBdr>
            </w:div>
            <w:div w:id="1037390805">
              <w:marLeft w:val="0"/>
              <w:marRight w:val="0"/>
              <w:marTop w:val="0"/>
              <w:marBottom w:val="0"/>
              <w:divBdr>
                <w:top w:val="none" w:sz="0" w:space="0" w:color="auto"/>
                <w:left w:val="none" w:sz="0" w:space="0" w:color="auto"/>
                <w:bottom w:val="none" w:sz="0" w:space="0" w:color="auto"/>
                <w:right w:val="none" w:sz="0" w:space="0" w:color="auto"/>
              </w:divBdr>
            </w:div>
            <w:div w:id="1371492643">
              <w:marLeft w:val="0"/>
              <w:marRight w:val="0"/>
              <w:marTop w:val="0"/>
              <w:marBottom w:val="0"/>
              <w:divBdr>
                <w:top w:val="none" w:sz="0" w:space="0" w:color="auto"/>
                <w:left w:val="none" w:sz="0" w:space="0" w:color="auto"/>
                <w:bottom w:val="none" w:sz="0" w:space="0" w:color="auto"/>
                <w:right w:val="none" w:sz="0" w:space="0" w:color="auto"/>
              </w:divBdr>
            </w:div>
            <w:div w:id="1371804816">
              <w:marLeft w:val="0"/>
              <w:marRight w:val="0"/>
              <w:marTop w:val="0"/>
              <w:marBottom w:val="0"/>
              <w:divBdr>
                <w:top w:val="none" w:sz="0" w:space="0" w:color="auto"/>
                <w:left w:val="none" w:sz="0" w:space="0" w:color="auto"/>
                <w:bottom w:val="none" w:sz="0" w:space="0" w:color="auto"/>
                <w:right w:val="none" w:sz="0" w:space="0" w:color="auto"/>
              </w:divBdr>
            </w:div>
            <w:div w:id="1398043339">
              <w:marLeft w:val="0"/>
              <w:marRight w:val="0"/>
              <w:marTop w:val="0"/>
              <w:marBottom w:val="0"/>
              <w:divBdr>
                <w:top w:val="none" w:sz="0" w:space="0" w:color="auto"/>
                <w:left w:val="none" w:sz="0" w:space="0" w:color="auto"/>
                <w:bottom w:val="none" w:sz="0" w:space="0" w:color="auto"/>
                <w:right w:val="none" w:sz="0" w:space="0" w:color="auto"/>
              </w:divBdr>
            </w:div>
            <w:div w:id="1438258408">
              <w:marLeft w:val="0"/>
              <w:marRight w:val="0"/>
              <w:marTop w:val="0"/>
              <w:marBottom w:val="0"/>
              <w:divBdr>
                <w:top w:val="none" w:sz="0" w:space="0" w:color="auto"/>
                <w:left w:val="none" w:sz="0" w:space="0" w:color="auto"/>
                <w:bottom w:val="none" w:sz="0" w:space="0" w:color="auto"/>
                <w:right w:val="none" w:sz="0" w:space="0" w:color="auto"/>
              </w:divBdr>
            </w:div>
            <w:div w:id="1530727870">
              <w:marLeft w:val="0"/>
              <w:marRight w:val="0"/>
              <w:marTop w:val="0"/>
              <w:marBottom w:val="0"/>
              <w:divBdr>
                <w:top w:val="none" w:sz="0" w:space="0" w:color="auto"/>
                <w:left w:val="none" w:sz="0" w:space="0" w:color="auto"/>
                <w:bottom w:val="none" w:sz="0" w:space="0" w:color="auto"/>
                <w:right w:val="none" w:sz="0" w:space="0" w:color="auto"/>
              </w:divBdr>
            </w:div>
          </w:divsChild>
        </w:div>
        <w:div w:id="1417942043">
          <w:marLeft w:val="0"/>
          <w:marRight w:val="0"/>
          <w:marTop w:val="0"/>
          <w:marBottom w:val="0"/>
          <w:divBdr>
            <w:top w:val="none" w:sz="0" w:space="0" w:color="auto"/>
            <w:left w:val="none" w:sz="0" w:space="0" w:color="auto"/>
            <w:bottom w:val="none" w:sz="0" w:space="0" w:color="auto"/>
            <w:right w:val="none" w:sz="0" w:space="0" w:color="auto"/>
          </w:divBdr>
        </w:div>
        <w:div w:id="1488519585">
          <w:marLeft w:val="0"/>
          <w:marRight w:val="0"/>
          <w:marTop w:val="0"/>
          <w:marBottom w:val="0"/>
          <w:divBdr>
            <w:top w:val="none" w:sz="0" w:space="0" w:color="auto"/>
            <w:left w:val="none" w:sz="0" w:space="0" w:color="auto"/>
            <w:bottom w:val="none" w:sz="0" w:space="0" w:color="auto"/>
            <w:right w:val="none" w:sz="0" w:space="0" w:color="auto"/>
          </w:divBdr>
        </w:div>
        <w:div w:id="1512143408">
          <w:marLeft w:val="0"/>
          <w:marRight w:val="0"/>
          <w:marTop w:val="0"/>
          <w:marBottom w:val="0"/>
          <w:divBdr>
            <w:top w:val="none" w:sz="0" w:space="0" w:color="auto"/>
            <w:left w:val="none" w:sz="0" w:space="0" w:color="auto"/>
            <w:bottom w:val="none" w:sz="0" w:space="0" w:color="auto"/>
            <w:right w:val="none" w:sz="0" w:space="0" w:color="auto"/>
          </w:divBdr>
        </w:div>
        <w:div w:id="1693341777">
          <w:marLeft w:val="0"/>
          <w:marRight w:val="0"/>
          <w:marTop w:val="0"/>
          <w:marBottom w:val="0"/>
          <w:divBdr>
            <w:top w:val="none" w:sz="0" w:space="0" w:color="auto"/>
            <w:left w:val="none" w:sz="0" w:space="0" w:color="auto"/>
            <w:bottom w:val="none" w:sz="0" w:space="0" w:color="auto"/>
            <w:right w:val="none" w:sz="0" w:space="0" w:color="auto"/>
          </w:divBdr>
        </w:div>
        <w:div w:id="1826820700">
          <w:marLeft w:val="0"/>
          <w:marRight w:val="0"/>
          <w:marTop w:val="0"/>
          <w:marBottom w:val="0"/>
          <w:divBdr>
            <w:top w:val="none" w:sz="0" w:space="0" w:color="auto"/>
            <w:left w:val="none" w:sz="0" w:space="0" w:color="auto"/>
            <w:bottom w:val="none" w:sz="0" w:space="0" w:color="auto"/>
            <w:right w:val="none" w:sz="0" w:space="0" w:color="auto"/>
          </w:divBdr>
        </w:div>
        <w:div w:id="1866551861">
          <w:marLeft w:val="0"/>
          <w:marRight w:val="0"/>
          <w:marTop w:val="0"/>
          <w:marBottom w:val="0"/>
          <w:divBdr>
            <w:top w:val="none" w:sz="0" w:space="0" w:color="auto"/>
            <w:left w:val="none" w:sz="0" w:space="0" w:color="auto"/>
            <w:bottom w:val="none" w:sz="0" w:space="0" w:color="auto"/>
            <w:right w:val="none" w:sz="0" w:space="0" w:color="auto"/>
          </w:divBdr>
        </w:div>
        <w:div w:id="1884708597">
          <w:marLeft w:val="0"/>
          <w:marRight w:val="0"/>
          <w:marTop w:val="0"/>
          <w:marBottom w:val="0"/>
          <w:divBdr>
            <w:top w:val="none" w:sz="0" w:space="0" w:color="auto"/>
            <w:left w:val="none" w:sz="0" w:space="0" w:color="auto"/>
            <w:bottom w:val="none" w:sz="0" w:space="0" w:color="auto"/>
            <w:right w:val="none" w:sz="0" w:space="0" w:color="auto"/>
          </w:divBdr>
        </w:div>
        <w:div w:id="1979725229">
          <w:marLeft w:val="0"/>
          <w:marRight w:val="0"/>
          <w:marTop w:val="0"/>
          <w:marBottom w:val="0"/>
          <w:divBdr>
            <w:top w:val="none" w:sz="0" w:space="0" w:color="auto"/>
            <w:left w:val="none" w:sz="0" w:space="0" w:color="auto"/>
            <w:bottom w:val="none" w:sz="0" w:space="0" w:color="auto"/>
            <w:right w:val="none" w:sz="0" w:space="0" w:color="auto"/>
          </w:divBdr>
        </w:div>
        <w:div w:id="2003390150">
          <w:marLeft w:val="0"/>
          <w:marRight w:val="0"/>
          <w:marTop w:val="0"/>
          <w:marBottom w:val="0"/>
          <w:divBdr>
            <w:top w:val="none" w:sz="0" w:space="0" w:color="auto"/>
            <w:left w:val="none" w:sz="0" w:space="0" w:color="auto"/>
            <w:bottom w:val="none" w:sz="0" w:space="0" w:color="auto"/>
            <w:right w:val="none" w:sz="0" w:space="0" w:color="auto"/>
          </w:divBdr>
        </w:div>
      </w:divsChild>
    </w:div>
    <w:div w:id="936985307">
      <w:bodyDiv w:val="1"/>
      <w:marLeft w:val="0"/>
      <w:marRight w:val="0"/>
      <w:marTop w:val="0"/>
      <w:marBottom w:val="0"/>
      <w:divBdr>
        <w:top w:val="none" w:sz="0" w:space="0" w:color="auto"/>
        <w:left w:val="none" w:sz="0" w:space="0" w:color="auto"/>
        <w:bottom w:val="none" w:sz="0" w:space="0" w:color="auto"/>
        <w:right w:val="none" w:sz="0" w:space="0" w:color="auto"/>
      </w:divBdr>
    </w:div>
    <w:div w:id="976952690">
      <w:bodyDiv w:val="1"/>
      <w:marLeft w:val="0"/>
      <w:marRight w:val="0"/>
      <w:marTop w:val="0"/>
      <w:marBottom w:val="0"/>
      <w:divBdr>
        <w:top w:val="none" w:sz="0" w:space="0" w:color="auto"/>
        <w:left w:val="none" w:sz="0" w:space="0" w:color="auto"/>
        <w:bottom w:val="none" w:sz="0" w:space="0" w:color="auto"/>
        <w:right w:val="none" w:sz="0" w:space="0" w:color="auto"/>
      </w:divBdr>
    </w:div>
    <w:div w:id="1003901263">
      <w:bodyDiv w:val="1"/>
      <w:marLeft w:val="0"/>
      <w:marRight w:val="0"/>
      <w:marTop w:val="0"/>
      <w:marBottom w:val="0"/>
      <w:divBdr>
        <w:top w:val="none" w:sz="0" w:space="0" w:color="auto"/>
        <w:left w:val="none" w:sz="0" w:space="0" w:color="auto"/>
        <w:bottom w:val="none" w:sz="0" w:space="0" w:color="auto"/>
        <w:right w:val="none" w:sz="0" w:space="0" w:color="auto"/>
      </w:divBdr>
    </w:div>
    <w:div w:id="1039669551">
      <w:bodyDiv w:val="1"/>
      <w:marLeft w:val="0"/>
      <w:marRight w:val="0"/>
      <w:marTop w:val="0"/>
      <w:marBottom w:val="0"/>
      <w:divBdr>
        <w:top w:val="none" w:sz="0" w:space="0" w:color="auto"/>
        <w:left w:val="none" w:sz="0" w:space="0" w:color="auto"/>
        <w:bottom w:val="none" w:sz="0" w:space="0" w:color="auto"/>
        <w:right w:val="none" w:sz="0" w:space="0" w:color="auto"/>
      </w:divBdr>
      <w:divsChild>
        <w:div w:id="81688434">
          <w:marLeft w:val="0"/>
          <w:marRight w:val="0"/>
          <w:marTop w:val="0"/>
          <w:marBottom w:val="0"/>
          <w:divBdr>
            <w:top w:val="none" w:sz="0" w:space="0" w:color="auto"/>
            <w:left w:val="none" w:sz="0" w:space="0" w:color="auto"/>
            <w:bottom w:val="none" w:sz="0" w:space="0" w:color="auto"/>
            <w:right w:val="none" w:sz="0" w:space="0" w:color="auto"/>
          </w:divBdr>
        </w:div>
        <w:div w:id="190536337">
          <w:marLeft w:val="0"/>
          <w:marRight w:val="0"/>
          <w:marTop w:val="0"/>
          <w:marBottom w:val="0"/>
          <w:divBdr>
            <w:top w:val="none" w:sz="0" w:space="0" w:color="auto"/>
            <w:left w:val="none" w:sz="0" w:space="0" w:color="auto"/>
            <w:bottom w:val="none" w:sz="0" w:space="0" w:color="auto"/>
            <w:right w:val="none" w:sz="0" w:space="0" w:color="auto"/>
          </w:divBdr>
        </w:div>
        <w:div w:id="332415787">
          <w:marLeft w:val="0"/>
          <w:marRight w:val="0"/>
          <w:marTop w:val="0"/>
          <w:marBottom w:val="0"/>
          <w:divBdr>
            <w:top w:val="none" w:sz="0" w:space="0" w:color="auto"/>
            <w:left w:val="none" w:sz="0" w:space="0" w:color="auto"/>
            <w:bottom w:val="none" w:sz="0" w:space="0" w:color="auto"/>
            <w:right w:val="none" w:sz="0" w:space="0" w:color="auto"/>
          </w:divBdr>
        </w:div>
        <w:div w:id="786437148">
          <w:marLeft w:val="0"/>
          <w:marRight w:val="0"/>
          <w:marTop w:val="0"/>
          <w:marBottom w:val="0"/>
          <w:divBdr>
            <w:top w:val="none" w:sz="0" w:space="0" w:color="auto"/>
            <w:left w:val="none" w:sz="0" w:space="0" w:color="auto"/>
            <w:bottom w:val="none" w:sz="0" w:space="0" w:color="auto"/>
            <w:right w:val="none" w:sz="0" w:space="0" w:color="auto"/>
          </w:divBdr>
        </w:div>
        <w:div w:id="836652044">
          <w:marLeft w:val="0"/>
          <w:marRight w:val="0"/>
          <w:marTop w:val="0"/>
          <w:marBottom w:val="0"/>
          <w:divBdr>
            <w:top w:val="none" w:sz="0" w:space="0" w:color="auto"/>
            <w:left w:val="none" w:sz="0" w:space="0" w:color="auto"/>
            <w:bottom w:val="none" w:sz="0" w:space="0" w:color="auto"/>
            <w:right w:val="none" w:sz="0" w:space="0" w:color="auto"/>
          </w:divBdr>
        </w:div>
        <w:div w:id="872301834">
          <w:marLeft w:val="0"/>
          <w:marRight w:val="0"/>
          <w:marTop w:val="0"/>
          <w:marBottom w:val="0"/>
          <w:divBdr>
            <w:top w:val="none" w:sz="0" w:space="0" w:color="auto"/>
            <w:left w:val="none" w:sz="0" w:space="0" w:color="auto"/>
            <w:bottom w:val="none" w:sz="0" w:space="0" w:color="auto"/>
            <w:right w:val="none" w:sz="0" w:space="0" w:color="auto"/>
          </w:divBdr>
        </w:div>
        <w:div w:id="978338726">
          <w:marLeft w:val="0"/>
          <w:marRight w:val="0"/>
          <w:marTop w:val="0"/>
          <w:marBottom w:val="0"/>
          <w:divBdr>
            <w:top w:val="none" w:sz="0" w:space="0" w:color="auto"/>
            <w:left w:val="none" w:sz="0" w:space="0" w:color="auto"/>
            <w:bottom w:val="none" w:sz="0" w:space="0" w:color="auto"/>
            <w:right w:val="none" w:sz="0" w:space="0" w:color="auto"/>
          </w:divBdr>
        </w:div>
        <w:div w:id="1047142745">
          <w:marLeft w:val="0"/>
          <w:marRight w:val="0"/>
          <w:marTop w:val="0"/>
          <w:marBottom w:val="0"/>
          <w:divBdr>
            <w:top w:val="none" w:sz="0" w:space="0" w:color="auto"/>
            <w:left w:val="none" w:sz="0" w:space="0" w:color="auto"/>
            <w:bottom w:val="none" w:sz="0" w:space="0" w:color="auto"/>
            <w:right w:val="none" w:sz="0" w:space="0" w:color="auto"/>
          </w:divBdr>
        </w:div>
        <w:div w:id="1077634607">
          <w:marLeft w:val="0"/>
          <w:marRight w:val="0"/>
          <w:marTop w:val="0"/>
          <w:marBottom w:val="0"/>
          <w:divBdr>
            <w:top w:val="none" w:sz="0" w:space="0" w:color="auto"/>
            <w:left w:val="none" w:sz="0" w:space="0" w:color="auto"/>
            <w:bottom w:val="none" w:sz="0" w:space="0" w:color="auto"/>
            <w:right w:val="none" w:sz="0" w:space="0" w:color="auto"/>
          </w:divBdr>
        </w:div>
        <w:div w:id="1509297154">
          <w:marLeft w:val="0"/>
          <w:marRight w:val="0"/>
          <w:marTop w:val="0"/>
          <w:marBottom w:val="0"/>
          <w:divBdr>
            <w:top w:val="none" w:sz="0" w:space="0" w:color="auto"/>
            <w:left w:val="none" w:sz="0" w:space="0" w:color="auto"/>
            <w:bottom w:val="none" w:sz="0" w:space="0" w:color="auto"/>
            <w:right w:val="none" w:sz="0" w:space="0" w:color="auto"/>
          </w:divBdr>
        </w:div>
        <w:div w:id="1556233065">
          <w:marLeft w:val="0"/>
          <w:marRight w:val="0"/>
          <w:marTop w:val="0"/>
          <w:marBottom w:val="0"/>
          <w:divBdr>
            <w:top w:val="none" w:sz="0" w:space="0" w:color="auto"/>
            <w:left w:val="none" w:sz="0" w:space="0" w:color="auto"/>
            <w:bottom w:val="none" w:sz="0" w:space="0" w:color="auto"/>
            <w:right w:val="none" w:sz="0" w:space="0" w:color="auto"/>
          </w:divBdr>
        </w:div>
        <w:div w:id="1629166323">
          <w:marLeft w:val="0"/>
          <w:marRight w:val="0"/>
          <w:marTop w:val="0"/>
          <w:marBottom w:val="0"/>
          <w:divBdr>
            <w:top w:val="none" w:sz="0" w:space="0" w:color="auto"/>
            <w:left w:val="none" w:sz="0" w:space="0" w:color="auto"/>
            <w:bottom w:val="none" w:sz="0" w:space="0" w:color="auto"/>
            <w:right w:val="none" w:sz="0" w:space="0" w:color="auto"/>
          </w:divBdr>
        </w:div>
        <w:div w:id="1672638457">
          <w:marLeft w:val="0"/>
          <w:marRight w:val="0"/>
          <w:marTop w:val="0"/>
          <w:marBottom w:val="0"/>
          <w:divBdr>
            <w:top w:val="none" w:sz="0" w:space="0" w:color="auto"/>
            <w:left w:val="none" w:sz="0" w:space="0" w:color="auto"/>
            <w:bottom w:val="none" w:sz="0" w:space="0" w:color="auto"/>
            <w:right w:val="none" w:sz="0" w:space="0" w:color="auto"/>
          </w:divBdr>
        </w:div>
        <w:div w:id="1804542234">
          <w:marLeft w:val="0"/>
          <w:marRight w:val="0"/>
          <w:marTop w:val="0"/>
          <w:marBottom w:val="0"/>
          <w:divBdr>
            <w:top w:val="none" w:sz="0" w:space="0" w:color="auto"/>
            <w:left w:val="none" w:sz="0" w:space="0" w:color="auto"/>
            <w:bottom w:val="none" w:sz="0" w:space="0" w:color="auto"/>
            <w:right w:val="none" w:sz="0" w:space="0" w:color="auto"/>
          </w:divBdr>
        </w:div>
        <w:div w:id="1851944353">
          <w:marLeft w:val="0"/>
          <w:marRight w:val="0"/>
          <w:marTop w:val="0"/>
          <w:marBottom w:val="0"/>
          <w:divBdr>
            <w:top w:val="none" w:sz="0" w:space="0" w:color="auto"/>
            <w:left w:val="none" w:sz="0" w:space="0" w:color="auto"/>
            <w:bottom w:val="none" w:sz="0" w:space="0" w:color="auto"/>
            <w:right w:val="none" w:sz="0" w:space="0" w:color="auto"/>
          </w:divBdr>
        </w:div>
      </w:divsChild>
    </w:div>
    <w:div w:id="1116173349">
      <w:bodyDiv w:val="1"/>
      <w:marLeft w:val="0"/>
      <w:marRight w:val="0"/>
      <w:marTop w:val="0"/>
      <w:marBottom w:val="0"/>
      <w:divBdr>
        <w:top w:val="none" w:sz="0" w:space="0" w:color="auto"/>
        <w:left w:val="none" w:sz="0" w:space="0" w:color="auto"/>
        <w:bottom w:val="none" w:sz="0" w:space="0" w:color="auto"/>
        <w:right w:val="none" w:sz="0" w:space="0" w:color="auto"/>
      </w:divBdr>
    </w:div>
    <w:div w:id="1133865832">
      <w:bodyDiv w:val="1"/>
      <w:marLeft w:val="0"/>
      <w:marRight w:val="0"/>
      <w:marTop w:val="0"/>
      <w:marBottom w:val="0"/>
      <w:divBdr>
        <w:top w:val="none" w:sz="0" w:space="0" w:color="auto"/>
        <w:left w:val="none" w:sz="0" w:space="0" w:color="auto"/>
        <w:bottom w:val="none" w:sz="0" w:space="0" w:color="auto"/>
        <w:right w:val="none" w:sz="0" w:space="0" w:color="auto"/>
      </w:divBdr>
    </w:div>
    <w:div w:id="1161773596">
      <w:bodyDiv w:val="1"/>
      <w:marLeft w:val="0"/>
      <w:marRight w:val="0"/>
      <w:marTop w:val="0"/>
      <w:marBottom w:val="0"/>
      <w:divBdr>
        <w:top w:val="none" w:sz="0" w:space="0" w:color="auto"/>
        <w:left w:val="none" w:sz="0" w:space="0" w:color="auto"/>
        <w:bottom w:val="none" w:sz="0" w:space="0" w:color="auto"/>
        <w:right w:val="none" w:sz="0" w:space="0" w:color="auto"/>
      </w:divBdr>
      <w:divsChild>
        <w:div w:id="26104105">
          <w:marLeft w:val="0"/>
          <w:marRight w:val="0"/>
          <w:marTop w:val="0"/>
          <w:marBottom w:val="0"/>
          <w:divBdr>
            <w:top w:val="none" w:sz="0" w:space="0" w:color="auto"/>
            <w:left w:val="none" w:sz="0" w:space="0" w:color="auto"/>
            <w:bottom w:val="none" w:sz="0" w:space="0" w:color="auto"/>
            <w:right w:val="none" w:sz="0" w:space="0" w:color="auto"/>
          </w:divBdr>
        </w:div>
        <w:div w:id="71776184">
          <w:marLeft w:val="0"/>
          <w:marRight w:val="0"/>
          <w:marTop w:val="0"/>
          <w:marBottom w:val="0"/>
          <w:divBdr>
            <w:top w:val="none" w:sz="0" w:space="0" w:color="auto"/>
            <w:left w:val="none" w:sz="0" w:space="0" w:color="auto"/>
            <w:bottom w:val="none" w:sz="0" w:space="0" w:color="auto"/>
            <w:right w:val="none" w:sz="0" w:space="0" w:color="auto"/>
          </w:divBdr>
        </w:div>
        <w:div w:id="130951051">
          <w:marLeft w:val="0"/>
          <w:marRight w:val="0"/>
          <w:marTop w:val="0"/>
          <w:marBottom w:val="0"/>
          <w:divBdr>
            <w:top w:val="none" w:sz="0" w:space="0" w:color="auto"/>
            <w:left w:val="none" w:sz="0" w:space="0" w:color="auto"/>
            <w:bottom w:val="none" w:sz="0" w:space="0" w:color="auto"/>
            <w:right w:val="none" w:sz="0" w:space="0" w:color="auto"/>
          </w:divBdr>
        </w:div>
        <w:div w:id="489056104">
          <w:marLeft w:val="0"/>
          <w:marRight w:val="0"/>
          <w:marTop w:val="0"/>
          <w:marBottom w:val="0"/>
          <w:divBdr>
            <w:top w:val="none" w:sz="0" w:space="0" w:color="auto"/>
            <w:left w:val="none" w:sz="0" w:space="0" w:color="auto"/>
            <w:bottom w:val="none" w:sz="0" w:space="0" w:color="auto"/>
            <w:right w:val="none" w:sz="0" w:space="0" w:color="auto"/>
          </w:divBdr>
        </w:div>
        <w:div w:id="531654800">
          <w:marLeft w:val="0"/>
          <w:marRight w:val="0"/>
          <w:marTop w:val="0"/>
          <w:marBottom w:val="0"/>
          <w:divBdr>
            <w:top w:val="none" w:sz="0" w:space="0" w:color="auto"/>
            <w:left w:val="none" w:sz="0" w:space="0" w:color="auto"/>
            <w:bottom w:val="none" w:sz="0" w:space="0" w:color="auto"/>
            <w:right w:val="none" w:sz="0" w:space="0" w:color="auto"/>
          </w:divBdr>
        </w:div>
        <w:div w:id="589316640">
          <w:marLeft w:val="0"/>
          <w:marRight w:val="0"/>
          <w:marTop w:val="0"/>
          <w:marBottom w:val="0"/>
          <w:divBdr>
            <w:top w:val="none" w:sz="0" w:space="0" w:color="auto"/>
            <w:left w:val="none" w:sz="0" w:space="0" w:color="auto"/>
            <w:bottom w:val="none" w:sz="0" w:space="0" w:color="auto"/>
            <w:right w:val="none" w:sz="0" w:space="0" w:color="auto"/>
          </w:divBdr>
        </w:div>
        <w:div w:id="683090575">
          <w:marLeft w:val="0"/>
          <w:marRight w:val="0"/>
          <w:marTop w:val="0"/>
          <w:marBottom w:val="0"/>
          <w:divBdr>
            <w:top w:val="none" w:sz="0" w:space="0" w:color="auto"/>
            <w:left w:val="none" w:sz="0" w:space="0" w:color="auto"/>
            <w:bottom w:val="none" w:sz="0" w:space="0" w:color="auto"/>
            <w:right w:val="none" w:sz="0" w:space="0" w:color="auto"/>
          </w:divBdr>
        </w:div>
        <w:div w:id="688682860">
          <w:marLeft w:val="0"/>
          <w:marRight w:val="0"/>
          <w:marTop w:val="0"/>
          <w:marBottom w:val="0"/>
          <w:divBdr>
            <w:top w:val="none" w:sz="0" w:space="0" w:color="auto"/>
            <w:left w:val="none" w:sz="0" w:space="0" w:color="auto"/>
            <w:bottom w:val="none" w:sz="0" w:space="0" w:color="auto"/>
            <w:right w:val="none" w:sz="0" w:space="0" w:color="auto"/>
          </w:divBdr>
        </w:div>
        <w:div w:id="829640151">
          <w:marLeft w:val="0"/>
          <w:marRight w:val="0"/>
          <w:marTop w:val="0"/>
          <w:marBottom w:val="0"/>
          <w:divBdr>
            <w:top w:val="none" w:sz="0" w:space="0" w:color="auto"/>
            <w:left w:val="none" w:sz="0" w:space="0" w:color="auto"/>
            <w:bottom w:val="none" w:sz="0" w:space="0" w:color="auto"/>
            <w:right w:val="none" w:sz="0" w:space="0" w:color="auto"/>
          </w:divBdr>
        </w:div>
        <w:div w:id="906915353">
          <w:marLeft w:val="0"/>
          <w:marRight w:val="0"/>
          <w:marTop w:val="0"/>
          <w:marBottom w:val="0"/>
          <w:divBdr>
            <w:top w:val="none" w:sz="0" w:space="0" w:color="auto"/>
            <w:left w:val="none" w:sz="0" w:space="0" w:color="auto"/>
            <w:bottom w:val="none" w:sz="0" w:space="0" w:color="auto"/>
            <w:right w:val="none" w:sz="0" w:space="0" w:color="auto"/>
          </w:divBdr>
        </w:div>
        <w:div w:id="1026296975">
          <w:marLeft w:val="0"/>
          <w:marRight w:val="0"/>
          <w:marTop w:val="0"/>
          <w:marBottom w:val="0"/>
          <w:divBdr>
            <w:top w:val="none" w:sz="0" w:space="0" w:color="auto"/>
            <w:left w:val="none" w:sz="0" w:space="0" w:color="auto"/>
            <w:bottom w:val="none" w:sz="0" w:space="0" w:color="auto"/>
            <w:right w:val="none" w:sz="0" w:space="0" w:color="auto"/>
          </w:divBdr>
        </w:div>
        <w:div w:id="1575235637">
          <w:marLeft w:val="0"/>
          <w:marRight w:val="0"/>
          <w:marTop w:val="0"/>
          <w:marBottom w:val="0"/>
          <w:divBdr>
            <w:top w:val="none" w:sz="0" w:space="0" w:color="auto"/>
            <w:left w:val="none" w:sz="0" w:space="0" w:color="auto"/>
            <w:bottom w:val="none" w:sz="0" w:space="0" w:color="auto"/>
            <w:right w:val="none" w:sz="0" w:space="0" w:color="auto"/>
          </w:divBdr>
        </w:div>
        <w:div w:id="1632440000">
          <w:marLeft w:val="0"/>
          <w:marRight w:val="0"/>
          <w:marTop w:val="0"/>
          <w:marBottom w:val="0"/>
          <w:divBdr>
            <w:top w:val="none" w:sz="0" w:space="0" w:color="auto"/>
            <w:left w:val="none" w:sz="0" w:space="0" w:color="auto"/>
            <w:bottom w:val="none" w:sz="0" w:space="0" w:color="auto"/>
            <w:right w:val="none" w:sz="0" w:space="0" w:color="auto"/>
          </w:divBdr>
        </w:div>
        <w:div w:id="1656375592">
          <w:marLeft w:val="0"/>
          <w:marRight w:val="0"/>
          <w:marTop w:val="0"/>
          <w:marBottom w:val="0"/>
          <w:divBdr>
            <w:top w:val="none" w:sz="0" w:space="0" w:color="auto"/>
            <w:left w:val="none" w:sz="0" w:space="0" w:color="auto"/>
            <w:bottom w:val="none" w:sz="0" w:space="0" w:color="auto"/>
            <w:right w:val="none" w:sz="0" w:space="0" w:color="auto"/>
          </w:divBdr>
        </w:div>
        <w:div w:id="2045399837">
          <w:marLeft w:val="0"/>
          <w:marRight w:val="0"/>
          <w:marTop w:val="0"/>
          <w:marBottom w:val="0"/>
          <w:divBdr>
            <w:top w:val="none" w:sz="0" w:space="0" w:color="auto"/>
            <w:left w:val="none" w:sz="0" w:space="0" w:color="auto"/>
            <w:bottom w:val="none" w:sz="0" w:space="0" w:color="auto"/>
            <w:right w:val="none" w:sz="0" w:space="0" w:color="auto"/>
          </w:divBdr>
        </w:div>
      </w:divsChild>
    </w:div>
    <w:div w:id="1204749481">
      <w:bodyDiv w:val="1"/>
      <w:marLeft w:val="0"/>
      <w:marRight w:val="0"/>
      <w:marTop w:val="0"/>
      <w:marBottom w:val="0"/>
      <w:divBdr>
        <w:top w:val="none" w:sz="0" w:space="0" w:color="auto"/>
        <w:left w:val="none" w:sz="0" w:space="0" w:color="auto"/>
        <w:bottom w:val="none" w:sz="0" w:space="0" w:color="auto"/>
        <w:right w:val="none" w:sz="0" w:space="0" w:color="auto"/>
      </w:divBdr>
      <w:divsChild>
        <w:div w:id="213541907">
          <w:marLeft w:val="0"/>
          <w:marRight w:val="0"/>
          <w:marTop w:val="0"/>
          <w:marBottom w:val="0"/>
          <w:divBdr>
            <w:top w:val="none" w:sz="0" w:space="0" w:color="auto"/>
            <w:left w:val="none" w:sz="0" w:space="0" w:color="auto"/>
            <w:bottom w:val="none" w:sz="0" w:space="0" w:color="auto"/>
            <w:right w:val="none" w:sz="0" w:space="0" w:color="auto"/>
          </w:divBdr>
        </w:div>
        <w:div w:id="574972138">
          <w:marLeft w:val="0"/>
          <w:marRight w:val="0"/>
          <w:marTop w:val="0"/>
          <w:marBottom w:val="0"/>
          <w:divBdr>
            <w:top w:val="none" w:sz="0" w:space="0" w:color="auto"/>
            <w:left w:val="none" w:sz="0" w:space="0" w:color="auto"/>
            <w:bottom w:val="none" w:sz="0" w:space="0" w:color="auto"/>
            <w:right w:val="none" w:sz="0" w:space="0" w:color="auto"/>
          </w:divBdr>
        </w:div>
        <w:div w:id="684790158">
          <w:marLeft w:val="0"/>
          <w:marRight w:val="0"/>
          <w:marTop w:val="0"/>
          <w:marBottom w:val="0"/>
          <w:divBdr>
            <w:top w:val="none" w:sz="0" w:space="0" w:color="auto"/>
            <w:left w:val="none" w:sz="0" w:space="0" w:color="auto"/>
            <w:bottom w:val="none" w:sz="0" w:space="0" w:color="auto"/>
            <w:right w:val="none" w:sz="0" w:space="0" w:color="auto"/>
          </w:divBdr>
        </w:div>
        <w:div w:id="837966961">
          <w:marLeft w:val="0"/>
          <w:marRight w:val="0"/>
          <w:marTop w:val="0"/>
          <w:marBottom w:val="0"/>
          <w:divBdr>
            <w:top w:val="none" w:sz="0" w:space="0" w:color="auto"/>
            <w:left w:val="none" w:sz="0" w:space="0" w:color="auto"/>
            <w:bottom w:val="none" w:sz="0" w:space="0" w:color="auto"/>
            <w:right w:val="none" w:sz="0" w:space="0" w:color="auto"/>
          </w:divBdr>
        </w:div>
        <w:div w:id="887493768">
          <w:marLeft w:val="0"/>
          <w:marRight w:val="0"/>
          <w:marTop w:val="0"/>
          <w:marBottom w:val="0"/>
          <w:divBdr>
            <w:top w:val="none" w:sz="0" w:space="0" w:color="auto"/>
            <w:left w:val="none" w:sz="0" w:space="0" w:color="auto"/>
            <w:bottom w:val="none" w:sz="0" w:space="0" w:color="auto"/>
            <w:right w:val="none" w:sz="0" w:space="0" w:color="auto"/>
          </w:divBdr>
        </w:div>
        <w:div w:id="972751486">
          <w:marLeft w:val="0"/>
          <w:marRight w:val="0"/>
          <w:marTop w:val="0"/>
          <w:marBottom w:val="0"/>
          <w:divBdr>
            <w:top w:val="none" w:sz="0" w:space="0" w:color="auto"/>
            <w:left w:val="none" w:sz="0" w:space="0" w:color="auto"/>
            <w:bottom w:val="none" w:sz="0" w:space="0" w:color="auto"/>
            <w:right w:val="none" w:sz="0" w:space="0" w:color="auto"/>
          </w:divBdr>
        </w:div>
        <w:div w:id="1228028010">
          <w:marLeft w:val="0"/>
          <w:marRight w:val="0"/>
          <w:marTop w:val="0"/>
          <w:marBottom w:val="0"/>
          <w:divBdr>
            <w:top w:val="none" w:sz="0" w:space="0" w:color="auto"/>
            <w:left w:val="none" w:sz="0" w:space="0" w:color="auto"/>
            <w:bottom w:val="none" w:sz="0" w:space="0" w:color="auto"/>
            <w:right w:val="none" w:sz="0" w:space="0" w:color="auto"/>
          </w:divBdr>
        </w:div>
        <w:div w:id="1308507343">
          <w:marLeft w:val="0"/>
          <w:marRight w:val="0"/>
          <w:marTop w:val="0"/>
          <w:marBottom w:val="0"/>
          <w:divBdr>
            <w:top w:val="none" w:sz="0" w:space="0" w:color="auto"/>
            <w:left w:val="none" w:sz="0" w:space="0" w:color="auto"/>
            <w:bottom w:val="none" w:sz="0" w:space="0" w:color="auto"/>
            <w:right w:val="none" w:sz="0" w:space="0" w:color="auto"/>
          </w:divBdr>
        </w:div>
        <w:div w:id="1338531651">
          <w:marLeft w:val="0"/>
          <w:marRight w:val="0"/>
          <w:marTop w:val="0"/>
          <w:marBottom w:val="0"/>
          <w:divBdr>
            <w:top w:val="none" w:sz="0" w:space="0" w:color="auto"/>
            <w:left w:val="none" w:sz="0" w:space="0" w:color="auto"/>
            <w:bottom w:val="none" w:sz="0" w:space="0" w:color="auto"/>
            <w:right w:val="none" w:sz="0" w:space="0" w:color="auto"/>
          </w:divBdr>
        </w:div>
        <w:div w:id="1439637279">
          <w:marLeft w:val="0"/>
          <w:marRight w:val="0"/>
          <w:marTop w:val="0"/>
          <w:marBottom w:val="0"/>
          <w:divBdr>
            <w:top w:val="none" w:sz="0" w:space="0" w:color="auto"/>
            <w:left w:val="none" w:sz="0" w:space="0" w:color="auto"/>
            <w:bottom w:val="none" w:sz="0" w:space="0" w:color="auto"/>
            <w:right w:val="none" w:sz="0" w:space="0" w:color="auto"/>
          </w:divBdr>
        </w:div>
        <w:div w:id="1495099260">
          <w:marLeft w:val="0"/>
          <w:marRight w:val="0"/>
          <w:marTop w:val="0"/>
          <w:marBottom w:val="0"/>
          <w:divBdr>
            <w:top w:val="none" w:sz="0" w:space="0" w:color="auto"/>
            <w:left w:val="none" w:sz="0" w:space="0" w:color="auto"/>
            <w:bottom w:val="none" w:sz="0" w:space="0" w:color="auto"/>
            <w:right w:val="none" w:sz="0" w:space="0" w:color="auto"/>
          </w:divBdr>
        </w:div>
        <w:div w:id="1678194801">
          <w:marLeft w:val="0"/>
          <w:marRight w:val="0"/>
          <w:marTop w:val="0"/>
          <w:marBottom w:val="0"/>
          <w:divBdr>
            <w:top w:val="none" w:sz="0" w:space="0" w:color="auto"/>
            <w:left w:val="none" w:sz="0" w:space="0" w:color="auto"/>
            <w:bottom w:val="none" w:sz="0" w:space="0" w:color="auto"/>
            <w:right w:val="none" w:sz="0" w:space="0" w:color="auto"/>
          </w:divBdr>
        </w:div>
        <w:div w:id="1734043941">
          <w:marLeft w:val="0"/>
          <w:marRight w:val="0"/>
          <w:marTop w:val="0"/>
          <w:marBottom w:val="0"/>
          <w:divBdr>
            <w:top w:val="none" w:sz="0" w:space="0" w:color="auto"/>
            <w:left w:val="none" w:sz="0" w:space="0" w:color="auto"/>
            <w:bottom w:val="none" w:sz="0" w:space="0" w:color="auto"/>
            <w:right w:val="none" w:sz="0" w:space="0" w:color="auto"/>
          </w:divBdr>
        </w:div>
        <w:div w:id="1959027680">
          <w:marLeft w:val="0"/>
          <w:marRight w:val="0"/>
          <w:marTop w:val="0"/>
          <w:marBottom w:val="0"/>
          <w:divBdr>
            <w:top w:val="none" w:sz="0" w:space="0" w:color="auto"/>
            <w:left w:val="none" w:sz="0" w:space="0" w:color="auto"/>
            <w:bottom w:val="none" w:sz="0" w:space="0" w:color="auto"/>
            <w:right w:val="none" w:sz="0" w:space="0" w:color="auto"/>
          </w:divBdr>
        </w:div>
        <w:div w:id="2102141945">
          <w:marLeft w:val="0"/>
          <w:marRight w:val="0"/>
          <w:marTop w:val="0"/>
          <w:marBottom w:val="0"/>
          <w:divBdr>
            <w:top w:val="none" w:sz="0" w:space="0" w:color="auto"/>
            <w:left w:val="none" w:sz="0" w:space="0" w:color="auto"/>
            <w:bottom w:val="none" w:sz="0" w:space="0" w:color="auto"/>
            <w:right w:val="none" w:sz="0" w:space="0" w:color="auto"/>
          </w:divBdr>
        </w:div>
      </w:divsChild>
    </w:div>
    <w:div w:id="1391272015">
      <w:bodyDiv w:val="1"/>
      <w:marLeft w:val="0"/>
      <w:marRight w:val="0"/>
      <w:marTop w:val="0"/>
      <w:marBottom w:val="0"/>
      <w:divBdr>
        <w:top w:val="none" w:sz="0" w:space="0" w:color="auto"/>
        <w:left w:val="none" w:sz="0" w:space="0" w:color="auto"/>
        <w:bottom w:val="none" w:sz="0" w:space="0" w:color="auto"/>
        <w:right w:val="none" w:sz="0" w:space="0" w:color="auto"/>
      </w:divBdr>
      <w:divsChild>
        <w:div w:id="19743876">
          <w:marLeft w:val="0"/>
          <w:marRight w:val="0"/>
          <w:marTop w:val="0"/>
          <w:marBottom w:val="0"/>
          <w:divBdr>
            <w:top w:val="none" w:sz="0" w:space="0" w:color="auto"/>
            <w:left w:val="none" w:sz="0" w:space="0" w:color="auto"/>
            <w:bottom w:val="none" w:sz="0" w:space="0" w:color="auto"/>
            <w:right w:val="none" w:sz="0" w:space="0" w:color="auto"/>
          </w:divBdr>
        </w:div>
        <w:div w:id="21785302">
          <w:marLeft w:val="0"/>
          <w:marRight w:val="0"/>
          <w:marTop w:val="0"/>
          <w:marBottom w:val="0"/>
          <w:divBdr>
            <w:top w:val="none" w:sz="0" w:space="0" w:color="auto"/>
            <w:left w:val="none" w:sz="0" w:space="0" w:color="auto"/>
            <w:bottom w:val="none" w:sz="0" w:space="0" w:color="auto"/>
            <w:right w:val="none" w:sz="0" w:space="0" w:color="auto"/>
          </w:divBdr>
        </w:div>
        <w:div w:id="28725107">
          <w:marLeft w:val="0"/>
          <w:marRight w:val="0"/>
          <w:marTop w:val="0"/>
          <w:marBottom w:val="0"/>
          <w:divBdr>
            <w:top w:val="none" w:sz="0" w:space="0" w:color="auto"/>
            <w:left w:val="none" w:sz="0" w:space="0" w:color="auto"/>
            <w:bottom w:val="none" w:sz="0" w:space="0" w:color="auto"/>
            <w:right w:val="none" w:sz="0" w:space="0" w:color="auto"/>
          </w:divBdr>
        </w:div>
        <w:div w:id="48312477">
          <w:marLeft w:val="0"/>
          <w:marRight w:val="0"/>
          <w:marTop w:val="0"/>
          <w:marBottom w:val="0"/>
          <w:divBdr>
            <w:top w:val="none" w:sz="0" w:space="0" w:color="auto"/>
            <w:left w:val="none" w:sz="0" w:space="0" w:color="auto"/>
            <w:bottom w:val="none" w:sz="0" w:space="0" w:color="auto"/>
            <w:right w:val="none" w:sz="0" w:space="0" w:color="auto"/>
          </w:divBdr>
        </w:div>
        <w:div w:id="197475471">
          <w:marLeft w:val="0"/>
          <w:marRight w:val="0"/>
          <w:marTop w:val="0"/>
          <w:marBottom w:val="0"/>
          <w:divBdr>
            <w:top w:val="none" w:sz="0" w:space="0" w:color="auto"/>
            <w:left w:val="none" w:sz="0" w:space="0" w:color="auto"/>
            <w:bottom w:val="none" w:sz="0" w:space="0" w:color="auto"/>
            <w:right w:val="none" w:sz="0" w:space="0" w:color="auto"/>
          </w:divBdr>
        </w:div>
        <w:div w:id="208803911">
          <w:marLeft w:val="0"/>
          <w:marRight w:val="0"/>
          <w:marTop w:val="0"/>
          <w:marBottom w:val="0"/>
          <w:divBdr>
            <w:top w:val="none" w:sz="0" w:space="0" w:color="auto"/>
            <w:left w:val="none" w:sz="0" w:space="0" w:color="auto"/>
            <w:bottom w:val="none" w:sz="0" w:space="0" w:color="auto"/>
            <w:right w:val="none" w:sz="0" w:space="0" w:color="auto"/>
          </w:divBdr>
        </w:div>
        <w:div w:id="254214605">
          <w:marLeft w:val="0"/>
          <w:marRight w:val="0"/>
          <w:marTop w:val="0"/>
          <w:marBottom w:val="0"/>
          <w:divBdr>
            <w:top w:val="none" w:sz="0" w:space="0" w:color="auto"/>
            <w:left w:val="none" w:sz="0" w:space="0" w:color="auto"/>
            <w:bottom w:val="none" w:sz="0" w:space="0" w:color="auto"/>
            <w:right w:val="none" w:sz="0" w:space="0" w:color="auto"/>
          </w:divBdr>
        </w:div>
        <w:div w:id="281350054">
          <w:marLeft w:val="0"/>
          <w:marRight w:val="0"/>
          <w:marTop w:val="0"/>
          <w:marBottom w:val="0"/>
          <w:divBdr>
            <w:top w:val="none" w:sz="0" w:space="0" w:color="auto"/>
            <w:left w:val="none" w:sz="0" w:space="0" w:color="auto"/>
            <w:bottom w:val="none" w:sz="0" w:space="0" w:color="auto"/>
            <w:right w:val="none" w:sz="0" w:space="0" w:color="auto"/>
          </w:divBdr>
        </w:div>
        <w:div w:id="310446187">
          <w:marLeft w:val="0"/>
          <w:marRight w:val="0"/>
          <w:marTop w:val="0"/>
          <w:marBottom w:val="0"/>
          <w:divBdr>
            <w:top w:val="none" w:sz="0" w:space="0" w:color="auto"/>
            <w:left w:val="none" w:sz="0" w:space="0" w:color="auto"/>
            <w:bottom w:val="none" w:sz="0" w:space="0" w:color="auto"/>
            <w:right w:val="none" w:sz="0" w:space="0" w:color="auto"/>
          </w:divBdr>
        </w:div>
        <w:div w:id="359161343">
          <w:marLeft w:val="0"/>
          <w:marRight w:val="0"/>
          <w:marTop w:val="0"/>
          <w:marBottom w:val="0"/>
          <w:divBdr>
            <w:top w:val="none" w:sz="0" w:space="0" w:color="auto"/>
            <w:left w:val="none" w:sz="0" w:space="0" w:color="auto"/>
            <w:bottom w:val="none" w:sz="0" w:space="0" w:color="auto"/>
            <w:right w:val="none" w:sz="0" w:space="0" w:color="auto"/>
          </w:divBdr>
        </w:div>
        <w:div w:id="373849576">
          <w:marLeft w:val="0"/>
          <w:marRight w:val="0"/>
          <w:marTop w:val="0"/>
          <w:marBottom w:val="0"/>
          <w:divBdr>
            <w:top w:val="none" w:sz="0" w:space="0" w:color="auto"/>
            <w:left w:val="none" w:sz="0" w:space="0" w:color="auto"/>
            <w:bottom w:val="none" w:sz="0" w:space="0" w:color="auto"/>
            <w:right w:val="none" w:sz="0" w:space="0" w:color="auto"/>
          </w:divBdr>
        </w:div>
        <w:div w:id="377508641">
          <w:marLeft w:val="0"/>
          <w:marRight w:val="0"/>
          <w:marTop w:val="0"/>
          <w:marBottom w:val="0"/>
          <w:divBdr>
            <w:top w:val="none" w:sz="0" w:space="0" w:color="auto"/>
            <w:left w:val="none" w:sz="0" w:space="0" w:color="auto"/>
            <w:bottom w:val="none" w:sz="0" w:space="0" w:color="auto"/>
            <w:right w:val="none" w:sz="0" w:space="0" w:color="auto"/>
          </w:divBdr>
        </w:div>
        <w:div w:id="387000948">
          <w:marLeft w:val="0"/>
          <w:marRight w:val="0"/>
          <w:marTop w:val="0"/>
          <w:marBottom w:val="0"/>
          <w:divBdr>
            <w:top w:val="none" w:sz="0" w:space="0" w:color="auto"/>
            <w:left w:val="none" w:sz="0" w:space="0" w:color="auto"/>
            <w:bottom w:val="none" w:sz="0" w:space="0" w:color="auto"/>
            <w:right w:val="none" w:sz="0" w:space="0" w:color="auto"/>
          </w:divBdr>
        </w:div>
        <w:div w:id="395974831">
          <w:marLeft w:val="0"/>
          <w:marRight w:val="0"/>
          <w:marTop w:val="0"/>
          <w:marBottom w:val="0"/>
          <w:divBdr>
            <w:top w:val="none" w:sz="0" w:space="0" w:color="auto"/>
            <w:left w:val="none" w:sz="0" w:space="0" w:color="auto"/>
            <w:bottom w:val="none" w:sz="0" w:space="0" w:color="auto"/>
            <w:right w:val="none" w:sz="0" w:space="0" w:color="auto"/>
          </w:divBdr>
        </w:div>
        <w:div w:id="460151576">
          <w:marLeft w:val="0"/>
          <w:marRight w:val="0"/>
          <w:marTop w:val="0"/>
          <w:marBottom w:val="0"/>
          <w:divBdr>
            <w:top w:val="none" w:sz="0" w:space="0" w:color="auto"/>
            <w:left w:val="none" w:sz="0" w:space="0" w:color="auto"/>
            <w:bottom w:val="none" w:sz="0" w:space="0" w:color="auto"/>
            <w:right w:val="none" w:sz="0" w:space="0" w:color="auto"/>
          </w:divBdr>
        </w:div>
        <w:div w:id="460533511">
          <w:marLeft w:val="0"/>
          <w:marRight w:val="0"/>
          <w:marTop w:val="0"/>
          <w:marBottom w:val="0"/>
          <w:divBdr>
            <w:top w:val="none" w:sz="0" w:space="0" w:color="auto"/>
            <w:left w:val="none" w:sz="0" w:space="0" w:color="auto"/>
            <w:bottom w:val="none" w:sz="0" w:space="0" w:color="auto"/>
            <w:right w:val="none" w:sz="0" w:space="0" w:color="auto"/>
          </w:divBdr>
        </w:div>
        <w:div w:id="493691401">
          <w:marLeft w:val="0"/>
          <w:marRight w:val="0"/>
          <w:marTop w:val="0"/>
          <w:marBottom w:val="0"/>
          <w:divBdr>
            <w:top w:val="none" w:sz="0" w:space="0" w:color="auto"/>
            <w:left w:val="none" w:sz="0" w:space="0" w:color="auto"/>
            <w:bottom w:val="none" w:sz="0" w:space="0" w:color="auto"/>
            <w:right w:val="none" w:sz="0" w:space="0" w:color="auto"/>
          </w:divBdr>
        </w:div>
        <w:div w:id="495418422">
          <w:marLeft w:val="0"/>
          <w:marRight w:val="0"/>
          <w:marTop w:val="0"/>
          <w:marBottom w:val="0"/>
          <w:divBdr>
            <w:top w:val="none" w:sz="0" w:space="0" w:color="auto"/>
            <w:left w:val="none" w:sz="0" w:space="0" w:color="auto"/>
            <w:bottom w:val="none" w:sz="0" w:space="0" w:color="auto"/>
            <w:right w:val="none" w:sz="0" w:space="0" w:color="auto"/>
          </w:divBdr>
        </w:div>
        <w:div w:id="557329007">
          <w:marLeft w:val="0"/>
          <w:marRight w:val="0"/>
          <w:marTop w:val="0"/>
          <w:marBottom w:val="0"/>
          <w:divBdr>
            <w:top w:val="none" w:sz="0" w:space="0" w:color="auto"/>
            <w:left w:val="none" w:sz="0" w:space="0" w:color="auto"/>
            <w:bottom w:val="none" w:sz="0" w:space="0" w:color="auto"/>
            <w:right w:val="none" w:sz="0" w:space="0" w:color="auto"/>
          </w:divBdr>
        </w:div>
        <w:div w:id="594750026">
          <w:marLeft w:val="0"/>
          <w:marRight w:val="0"/>
          <w:marTop w:val="0"/>
          <w:marBottom w:val="0"/>
          <w:divBdr>
            <w:top w:val="none" w:sz="0" w:space="0" w:color="auto"/>
            <w:left w:val="none" w:sz="0" w:space="0" w:color="auto"/>
            <w:bottom w:val="none" w:sz="0" w:space="0" w:color="auto"/>
            <w:right w:val="none" w:sz="0" w:space="0" w:color="auto"/>
          </w:divBdr>
        </w:div>
        <w:div w:id="621351013">
          <w:marLeft w:val="0"/>
          <w:marRight w:val="0"/>
          <w:marTop w:val="0"/>
          <w:marBottom w:val="0"/>
          <w:divBdr>
            <w:top w:val="none" w:sz="0" w:space="0" w:color="auto"/>
            <w:left w:val="none" w:sz="0" w:space="0" w:color="auto"/>
            <w:bottom w:val="none" w:sz="0" w:space="0" w:color="auto"/>
            <w:right w:val="none" w:sz="0" w:space="0" w:color="auto"/>
          </w:divBdr>
        </w:div>
        <w:div w:id="664434631">
          <w:marLeft w:val="0"/>
          <w:marRight w:val="0"/>
          <w:marTop w:val="0"/>
          <w:marBottom w:val="0"/>
          <w:divBdr>
            <w:top w:val="none" w:sz="0" w:space="0" w:color="auto"/>
            <w:left w:val="none" w:sz="0" w:space="0" w:color="auto"/>
            <w:bottom w:val="none" w:sz="0" w:space="0" w:color="auto"/>
            <w:right w:val="none" w:sz="0" w:space="0" w:color="auto"/>
          </w:divBdr>
          <w:divsChild>
            <w:div w:id="8915426">
              <w:marLeft w:val="0"/>
              <w:marRight w:val="0"/>
              <w:marTop w:val="0"/>
              <w:marBottom w:val="0"/>
              <w:divBdr>
                <w:top w:val="none" w:sz="0" w:space="0" w:color="auto"/>
                <w:left w:val="none" w:sz="0" w:space="0" w:color="auto"/>
                <w:bottom w:val="none" w:sz="0" w:space="0" w:color="auto"/>
                <w:right w:val="none" w:sz="0" w:space="0" w:color="auto"/>
              </w:divBdr>
            </w:div>
            <w:div w:id="30889590">
              <w:marLeft w:val="0"/>
              <w:marRight w:val="0"/>
              <w:marTop w:val="0"/>
              <w:marBottom w:val="0"/>
              <w:divBdr>
                <w:top w:val="none" w:sz="0" w:space="0" w:color="auto"/>
                <w:left w:val="none" w:sz="0" w:space="0" w:color="auto"/>
                <w:bottom w:val="none" w:sz="0" w:space="0" w:color="auto"/>
                <w:right w:val="none" w:sz="0" w:space="0" w:color="auto"/>
              </w:divBdr>
            </w:div>
            <w:div w:id="67924716">
              <w:marLeft w:val="0"/>
              <w:marRight w:val="0"/>
              <w:marTop w:val="0"/>
              <w:marBottom w:val="0"/>
              <w:divBdr>
                <w:top w:val="none" w:sz="0" w:space="0" w:color="auto"/>
                <w:left w:val="none" w:sz="0" w:space="0" w:color="auto"/>
                <w:bottom w:val="none" w:sz="0" w:space="0" w:color="auto"/>
                <w:right w:val="none" w:sz="0" w:space="0" w:color="auto"/>
              </w:divBdr>
            </w:div>
            <w:div w:id="190848601">
              <w:marLeft w:val="0"/>
              <w:marRight w:val="0"/>
              <w:marTop w:val="0"/>
              <w:marBottom w:val="0"/>
              <w:divBdr>
                <w:top w:val="none" w:sz="0" w:space="0" w:color="auto"/>
                <w:left w:val="none" w:sz="0" w:space="0" w:color="auto"/>
                <w:bottom w:val="none" w:sz="0" w:space="0" w:color="auto"/>
                <w:right w:val="none" w:sz="0" w:space="0" w:color="auto"/>
              </w:divBdr>
            </w:div>
            <w:div w:id="286745878">
              <w:marLeft w:val="0"/>
              <w:marRight w:val="0"/>
              <w:marTop w:val="0"/>
              <w:marBottom w:val="0"/>
              <w:divBdr>
                <w:top w:val="none" w:sz="0" w:space="0" w:color="auto"/>
                <w:left w:val="none" w:sz="0" w:space="0" w:color="auto"/>
                <w:bottom w:val="none" w:sz="0" w:space="0" w:color="auto"/>
                <w:right w:val="none" w:sz="0" w:space="0" w:color="auto"/>
              </w:divBdr>
            </w:div>
            <w:div w:id="427623800">
              <w:marLeft w:val="0"/>
              <w:marRight w:val="0"/>
              <w:marTop w:val="0"/>
              <w:marBottom w:val="0"/>
              <w:divBdr>
                <w:top w:val="none" w:sz="0" w:space="0" w:color="auto"/>
                <w:left w:val="none" w:sz="0" w:space="0" w:color="auto"/>
                <w:bottom w:val="none" w:sz="0" w:space="0" w:color="auto"/>
                <w:right w:val="none" w:sz="0" w:space="0" w:color="auto"/>
              </w:divBdr>
            </w:div>
            <w:div w:id="525481570">
              <w:marLeft w:val="0"/>
              <w:marRight w:val="0"/>
              <w:marTop w:val="0"/>
              <w:marBottom w:val="0"/>
              <w:divBdr>
                <w:top w:val="none" w:sz="0" w:space="0" w:color="auto"/>
                <w:left w:val="none" w:sz="0" w:space="0" w:color="auto"/>
                <w:bottom w:val="none" w:sz="0" w:space="0" w:color="auto"/>
                <w:right w:val="none" w:sz="0" w:space="0" w:color="auto"/>
              </w:divBdr>
            </w:div>
            <w:div w:id="684987270">
              <w:marLeft w:val="0"/>
              <w:marRight w:val="0"/>
              <w:marTop w:val="0"/>
              <w:marBottom w:val="0"/>
              <w:divBdr>
                <w:top w:val="none" w:sz="0" w:space="0" w:color="auto"/>
                <w:left w:val="none" w:sz="0" w:space="0" w:color="auto"/>
                <w:bottom w:val="none" w:sz="0" w:space="0" w:color="auto"/>
                <w:right w:val="none" w:sz="0" w:space="0" w:color="auto"/>
              </w:divBdr>
            </w:div>
            <w:div w:id="1058362581">
              <w:marLeft w:val="0"/>
              <w:marRight w:val="0"/>
              <w:marTop w:val="0"/>
              <w:marBottom w:val="0"/>
              <w:divBdr>
                <w:top w:val="none" w:sz="0" w:space="0" w:color="auto"/>
                <w:left w:val="none" w:sz="0" w:space="0" w:color="auto"/>
                <w:bottom w:val="none" w:sz="0" w:space="0" w:color="auto"/>
                <w:right w:val="none" w:sz="0" w:space="0" w:color="auto"/>
              </w:divBdr>
            </w:div>
            <w:div w:id="1072392802">
              <w:marLeft w:val="0"/>
              <w:marRight w:val="0"/>
              <w:marTop w:val="0"/>
              <w:marBottom w:val="0"/>
              <w:divBdr>
                <w:top w:val="none" w:sz="0" w:space="0" w:color="auto"/>
                <w:left w:val="none" w:sz="0" w:space="0" w:color="auto"/>
                <w:bottom w:val="none" w:sz="0" w:space="0" w:color="auto"/>
                <w:right w:val="none" w:sz="0" w:space="0" w:color="auto"/>
              </w:divBdr>
            </w:div>
            <w:div w:id="1289045009">
              <w:marLeft w:val="0"/>
              <w:marRight w:val="0"/>
              <w:marTop w:val="0"/>
              <w:marBottom w:val="0"/>
              <w:divBdr>
                <w:top w:val="none" w:sz="0" w:space="0" w:color="auto"/>
                <w:left w:val="none" w:sz="0" w:space="0" w:color="auto"/>
                <w:bottom w:val="none" w:sz="0" w:space="0" w:color="auto"/>
                <w:right w:val="none" w:sz="0" w:space="0" w:color="auto"/>
              </w:divBdr>
            </w:div>
            <w:div w:id="1295480933">
              <w:marLeft w:val="0"/>
              <w:marRight w:val="0"/>
              <w:marTop w:val="0"/>
              <w:marBottom w:val="0"/>
              <w:divBdr>
                <w:top w:val="none" w:sz="0" w:space="0" w:color="auto"/>
                <w:left w:val="none" w:sz="0" w:space="0" w:color="auto"/>
                <w:bottom w:val="none" w:sz="0" w:space="0" w:color="auto"/>
                <w:right w:val="none" w:sz="0" w:space="0" w:color="auto"/>
              </w:divBdr>
            </w:div>
            <w:div w:id="1439719093">
              <w:marLeft w:val="0"/>
              <w:marRight w:val="0"/>
              <w:marTop w:val="0"/>
              <w:marBottom w:val="0"/>
              <w:divBdr>
                <w:top w:val="none" w:sz="0" w:space="0" w:color="auto"/>
                <w:left w:val="none" w:sz="0" w:space="0" w:color="auto"/>
                <w:bottom w:val="none" w:sz="0" w:space="0" w:color="auto"/>
                <w:right w:val="none" w:sz="0" w:space="0" w:color="auto"/>
              </w:divBdr>
            </w:div>
            <w:div w:id="1457409286">
              <w:marLeft w:val="0"/>
              <w:marRight w:val="0"/>
              <w:marTop w:val="0"/>
              <w:marBottom w:val="0"/>
              <w:divBdr>
                <w:top w:val="none" w:sz="0" w:space="0" w:color="auto"/>
                <w:left w:val="none" w:sz="0" w:space="0" w:color="auto"/>
                <w:bottom w:val="none" w:sz="0" w:space="0" w:color="auto"/>
                <w:right w:val="none" w:sz="0" w:space="0" w:color="auto"/>
              </w:divBdr>
            </w:div>
            <w:div w:id="1740205875">
              <w:marLeft w:val="0"/>
              <w:marRight w:val="0"/>
              <w:marTop w:val="0"/>
              <w:marBottom w:val="0"/>
              <w:divBdr>
                <w:top w:val="none" w:sz="0" w:space="0" w:color="auto"/>
                <w:left w:val="none" w:sz="0" w:space="0" w:color="auto"/>
                <w:bottom w:val="none" w:sz="0" w:space="0" w:color="auto"/>
                <w:right w:val="none" w:sz="0" w:space="0" w:color="auto"/>
              </w:divBdr>
            </w:div>
            <w:div w:id="1752465319">
              <w:marLeft w:val="0"/>
              <w:marRight w:val="0"/>
              <w:marTop w:val="0"/>
              <w:marBottom w:val="0"/>
              <w:divBdr>
                <w:top w:val="none" w:sz="0" w:space="0" w:color="auto"/>
                <w:left w:val="none" w:sz="0" w:space="0" w:color="auto"/>
                <w:bottom w:val="none" w:sz="0" w:space="0" w:color="auto"/>
                <w:right w:val="none" w:sz="0" w:space="0" w:color="auto"/>
              </w:divBdr>
            </w:div>
            <w:div w:id="1777943728">
              <w:marLeft w:val="0"/>
              <w:marRight w:val="0"/>
              <w:marTop w:val="0"/>
              <w:marBottom w:val="0"/>
              <w:divBdr>
                <w:top w:val="none" w:sz="0" w:space="0" w:color="auto"/>
                <w:left w:val="none" w:sz="0" w:space="0" w:color="auto"/>
                <w:bottom w:val="none" w:sz="0" w:space="0" w:color="auto"/>
                <w:right w:val="none" w:sz="0" w:space="0" w:color="auto"/>
              </w:divBdr>
            </w:div>
            <w:div w:id="1935549919">
              <w:marLeft w:val="0"/>
              <w:marRight w:val="0"/>
              <w:marTop w:val="0"/>
              <w:marBottom w:val="0"/>
              <w:divBdr>
                <w:top w:val="none" w:sz="0" w:space="0" w:color="auto"/>
                <w:left w:val="none" w:sz="0" w:space="0" w:color="auto"/>
                <w:bottom w:val="none" w:sz="0" w:space="0" w:color="auto"/>
                <w:right w:val="none" w:sz="0" w:space="0" w:color="auto"/>
              </w:divBdr>
            </w:div>
            <w:div w:id="1958099832">
              <w:marLeft w:val="0"/>
              <w:marRight w:val="0"/>
              <w:marTop w:val="0"/>
              <w:marBottom w:val="0"/>
              <w:divBdr>
                <w:top w:val="none" w:sz="0" w:space="0" w:color="auto"/>
                <w:left w:val="none" w:sz="0" w:space="0" w:color="auto"/>
                <w:bottom w:val="none" w:sz="0" w:space="0" w:color="auto"/>
                <w:right w:val="none" w:sz="0" w:space="0" w:color="auto"/>
              </w:divBdr>
            </w:div>
            <w:div w:id="2122259006">
              <w:marLeft w:val="0"/>
              <w:marRight w:val="0"/>
              <w:marTop w:val="0"/>
              <w:marBottom w:val="0"/>
              <w:divBdr>
                <w:top w:val="none" w:sz="0" w:space="0" w:color="auto"/>
                <w:left w:val="none" w:sz="0" w:space="0" w:color="auto"/>
                <w:bottom w:val="none" w:sz="0" w:space="0" w:color="auto"/>
                <w:right w:val="none" w:sz="0" w:space="0" w:color="auto"/>
              </w:divBdr>
            </w:div>
          </w:divsChild>
        </w:div>
        <w:div w:id="680397566">
          <w:marLeft w:val="0"/>
          <w:marRight w:val="0"/>
          <w:marTop w:val="0"/>
          <w:marBottom w:val="0"/>
          <w:divBdr>
            <w:top w:val="none" w:sz="0" w:space="0" w:color="auto"/>
            <w:left w:val="none" w:sz="0" w:space="0" w:color="auto"/>
            <w:bottom w:val="none" w:sz="0" w:space="0" w:color="auto"/>
            <w:right w:val="none" w:sz="0" w:space="0" w:color="auto"/>
          </w:divBdr>
        </w:div>
        <w:div w:id="762262887">
          <w:marLeft w:val="0"/>
          <w:marRight w:val="0"/>
          <w:marTop w:val="0"/>
          <w:marBottom w:val="0"/>
          <w:divBdr>
            <w:top w:val="none" w:sz="0" w:space="0" w:color="auto"/>
            <w:left w:val="none" w:sz="0" w:space="0" w:color="auto"/>
            <w:bottom w:val="none" w:sz="0" w:space="0" w:color="auto"/>
            <w:right w:val="none" w:sz="0" w:space="0" w:color="auto"/>
          </w:divBdr>
        </w:div>
        <w:div w:id="905992475">
          <w:marLeft w:val="0"/>
          <w:marRight w:val="0"/>
          <w:marTop w:val="0"/>
          <w:marBottom w:val="0"/>
          <w:divBdr>
            <w:top w:val="none" w:sz="0" w:space="0" w:color="auto"/>
            <w:left w:val="none" w:sz="0" w:space="0" w:color="auto"/>
            <w:bottom w:val="none" w:sz="0" w:space="0" w:color="auto"/>
            <w:right w:val="none" w:sz="0" w:space="0" w:color="auto"/>
          </w:divBdr>
        </w:div>
        <w:div w:id="944382637">
          <w:marLeft w:val="0"/>
          <w:marRight w:val="0"/>
          <w:marTop w:val="0"/>
          <w:marBottom w:val="0"/>
          <w:divBdr>
            <w:top w:val="none" w:sz="0" w:space="0" w:color="auto"/>
            <w:left w:val="none" w:sz="0" w:space="0" w:color="auto"/>
            <w:bottom w:val="none" w:sz="0" w:space="0" w:color="auto"/>
            <w:right w:val="none" w:sz="0" w:space="0" w:color="auto"/>
          </w:divBdr>
        </w:div>
        <w:div w:id="956569238">
          <w:marLeft w:val="0"/>
          <w:marRight w:val="0"/>
          <w:marTop w:val="0"/>
          <w:marBottom w:val="0"/>
          <w:divBdr>
            <w:top w:val="none" w:sz="0" w:space="0" w:color="auto"/>
            <w:left w:val="none" w:sz="0" w:space="0" w:color="auto"/>
            <w:bottom w:val="none" w:sz="0" w:space="0" w:color="auto"/>
            <w:right w:val="none" w:sz="0" w:space="0" w:color="auto"/>
          </w:divBdr>
        </w:div>
        <w:div w:id="1020424710">
          <w:marLeft w:val="0"/>
          <w:marRight w:val="0"/>
          <w:marTop w:val="0"/>
          <w:marBottom w:val="0"/>
          <w:divBdr>
            <w:top w:val="none" w:sz="0" w:space="0" w:color="auto"/>
            <w:left w:val="none" w:sz="0" w:space="0" w:color="auto"/>
            <w:bottom w:val="none" w:sz="0" w:space="0" w:color="auto"/>
            <w:right w:val="none" w:sz="0" w:space="0" w:color="auto"/>
          </w:divBdr>
        </w:div>
        <w:div w:id="1023558890">
          <w:marLeft w:val="0"/>
          <w:marRight w:val="0"/>
          <w:marTop w:val="0"/>
          <w:marBottom w:val="0"/>
          <w:divBdr>
            <w:top w:val="none" w:sz="0" w:space="0" w:color="auto"/>
            <w:left w:val="none" w:sz="0" w:space="0" w:color="auto"/>
            <w:bottom w:val="none" w:sz="0" w:space="0" w:color="auto"/>
            <w:right w:val="none" w:sz="0" w:space="0" w:color="auto"/>
          </w:divBdr>
        </w:div>
        <w:div w:id="1101680502">
          <w:marLeft w:val="0"/>
          <w:marRight w:val="0"/>
          <w:marTop w:val="0"/>
          <w:marBottom w:val="0"/>
          <w:divBdr>
            <w:top w:val="none" w:sz="0" w:space="0" w:color="auto"/>
            <w:left w:val="none" w:sz="0" w:space="0" w:color="auto"/>
            <w:bottom w:val="none" w:sz="0" w:space="0" w:color="auto"/>
            <w:right w:val="none" w:sz="0" w:space="0" w:color="auto"/>
          </w:divBdr>
        </w:div>
        <w:div w:id="1111707431">
          <w:marLeft w:val="0"/>
          <w:marRight w:val="0"/>
          <w:marTop w:val="0"/>
          <w:marBottom w:val="0"/>
          <w:divBdr>
            <w:top w:val="none" w:sz="0" w:space="0" w:color="auto"/>
            <w:left w:val="none" w:sz="0" w:space="0" w:color="auto"/>
            <w:bottom w:val="none" w:sz="0" w:space="0" w:color="auto"/>
            <w:right w:val="none" w:sz="0" w:space="0" w:color="auto"/>
          </w:divBdr>
        </w:div>
        <w:div w:id="1176386752">
          <w:marLeft w:val="0"/>
          <w:marRight w:val="0"/>
          <w:marTop w:val="0"/>
          <w:marBottom w:val="0"/>
          <w:divBdr>
            <w:top w:val="none" w:sz="0" w:space="0" w:color="auto"/>
            <w:left w:val="none" w:sz="0" w:space="0" w:color="auto"/>
            <w:bottom w:val="none" w:sz="0" w:space="0" w:color="auto"/>
            <w:right w:val="none" w:sz="0" w:space="0" w:color="auto"/>
          </w:divBdr>
        </w:div>
        <w:div w:id="1189028538">
          <w:marLeft w:val="0"/>
          <w:marRight w:val="0"/>
          <w:marTop w:val="0"/>
          <w:marBottom w:val="0"/>
          <w:divBdr>
            <w:top w:val="none" w:sz="0" w:space="0" w:color="auto"/>
            <w:left w:val="none" w:sz="0" w:space="0" w:color="auto"/>
            <w:bottom w:val="none" w:sz="0" w:space="0" w:color="auto"/>
            <w:right w:val="none" w:sz="0" w:space="0" w:color="auto"/>
          </w:divBdr>
        </w:div>
        <w:div w:id="1196313258">
          <w:marLeft w:val="0"/>
          <w:marRight w:val="0"/>
          <w:marTop w:val="0"/>
          <w:marBottom w:val="0"/>
          <w:divBdr>
            <w:top w:val="none" w:sz="0" w:space="0" w:color="auto"/>
            <w:left w:val="none" w:sz="0" w:space="0" w:color="auto"/>
            <w:bottom w:val="none" w:sz="0" w:space="0" w:color="auto"/>
            <w:right w:val="none" w:sz="0" w:space="0" w:color="auto"/>
          </w:divBdr>
        </w:div>
        <w:div w:id="1205755853">
          <w:marLeft w:val="0"/>
          <w:marRight w:val="0"/>
          <w:marTop w:val="0"/>
          <w:marBottom w:val="0"/>
          <w:divBdr>
            <w:top w:val="none" w:sz="0" w:space="0" w:color="auto"/>
            <w:left w:val="none" w:sz="0" w:space="0" w:color="auto"/>
            <w:bottom w:val="none" w:sz="0" w:space="0" w:color="auto"/>
            <w:right w:val="none" w:sz="0" w:space="0" w:color="auto"/>
          </w:divBdr>
          <w:divsChild>
            <w:div w:id="29500230">
              <w:marLeft w:val="0"/>
              <w:marRight w:val="0"/>
              <w:marTop w:val="0"/>
              <w:marBottom w:val="0"/>
              <w:divBdr>
                <w:top w:val="none" w:sz="0" w:space="0" w:color="auto"/>
                <w:left w:val="none" w:sz="0" w:space="0" w:color="auto"/>
                <w:bottom w:val="none" w:sz="0" w:space="0" w:color="auto"/>
                <w:right w:val="none" w:sz="0" w:space="0" w:color="auto"/>
              </w:divBdr>
            </w:div>
            <w:div w:id="90903205">
              <w:marLeft w:val="0"/>
              <w:marRight w:val="0"/>
              <w:marTop w:val="0"/>
              <w:marBottom w:val="0"/>
              <w:divBdr>
                <w:top w:val="none" w:sz="0" w:space="0" w:color="auto"/>
                <w:left w:val="none" w:sz="0" w:space="0" w:color="auto"/>
                <w:bottom w:val="none" w:sz="0" w:space="0" w:color="auto"/>
                <w:right w:val="none" w:sz="0" w:space="0" w:color="auto"/>
              </w:divBdr>
            </w:div>
            <w:div w:id="142553439">
              <w:marLeft w:val="0"/>
              <w:marRight w:val="0"/>
              <w:marTop w:val="0"/>
              <w:marBottom w:val="0"/>
              <w:divBdr>
                <w:top w:val="none" w:sz="0" w:space="0" w:color="auto"/>
                <w:left w:val="none" w:sz="0" w:space="0" w:color="auto"/>
                <w:bottom w:val="none" w:sz="0" w:space="0" w:color="auto"/>
                <w:right w:val="none" w:sz="0" w:space="0" w:color="auto"/>
              </w:divBdr>
            </w:div>
            <w:div w:id="331874509">
              <w:marLeft w:val="0"/>
              <w:marRight w:val="0"/>
              <w:marTop w:val="0"/>
              <w:marBottom w:val="0"/>
              <w:divBdr>
                <w:top w:val="none" w:sz="0" w:space="0" w:color="auto"/>
                <w:left w:val="none" w:sz="0" w:space="0" w:color="auto"/>
                <w:bottom w:val="none" w:sz="0" w:space="0" w:color="auto"/>
                <w:right w:val="none" w:sz="0" w:space="0" w:color="auto"/>
              </w:divBdr>
            </w:div>
            <w:div w:id="518197602">
              <w:marLeft w:val="0"/>
              <w:marRight w:val="0"/>
              <w:marTop w:val="0"/>
              <w:marBottom w:val="0"/>
              <w:divBdr>
                <w:top w:val="none" w:sz="0" w:space="0" w:color="auto"/>
                <w:left w:val="none" w:sz="0" w:space="0" w:color="auto"/>
                <w:bottom w:val="none" w:sz="0" w:space="0" w:color="auto"/>
                <w:right w:val="none" w:sz="0" w:space="0" w:color="auto"/>
              </w:divBdr>
            </w:div>
            <w:div w:id="1000546164">
              <w:marLeft w:val="0"/>
              <w:marRight w:val="0"/>
              <w:marTop w:val="0"/>
              <w:marBottom w:val="0"/>
              <w:divBdr>
                <w:top w:val="none" w:sz="0" w:space="0" w:color="auto"/>
                <w:left w:val="none" w:sz="0" w:space="0" w:color="auto"/>
                <w:bottom w:val="none" w:sz="0" w:space="0" w:color="auto"/>
                <w:right w:val="none" w:sz="0" w:space="0" w:color="auto"/>
              </w:divBdr>
            </w:div>
            <w:div w:id="1011373196">
              <w:marLeft w:val="0"/>
              <w:marRight w:val="0"/>
              <w:marTop w:val="0"/>
              <w:marBottom w:val="0"/>
              <w:divBdr>
                <w:top w:val="none" w:sz="0" w:space="0" w:color="auto"/>
                <w:left w:val="none" w:sz="0" w:space="0" w:color="auto"/>
                <w:bottom w:val="none" w:sz="0" w:space="0" w:color="auto"/>
                <w:right w:val="none" w:sz="0" w:space="0" w:color="auto"/>
              </w:divBdr>
            </w:div>
            <w:div w:id="1141768459">
              <w:marLeft w:val="0"/>
              <w:marRight w:val="0"/>
              <w:marTop w:val="0"/>
              <w:marBottom w:val="0"/>
              <w:divBdr>
                <w:top w:val="none" w:sz="0" w:space="0" w:color="auto"/>
                <w:left w:val="none" w:sz="0" w:space="0" w:color="auto"/>
                <w:bottom w:val="none" w:sz="0" w:space="0" w:color="auto"/>
                <w:right w:val="none" w:sz="0" w:space="0" w:color="auto"/>
              </w:divBdr>
            </w:div>
            <w:div w:id="1143893478">
              <w:marLeft w:val="0"/>
              <w:marRight w:val="0"/>
              <w:marTop w:val="0"/>
              <w:marBottom w:val="0"/>
              <w:divBdr>
                <w:top w:val="none" w:sz="0" w:space="0" w:color="auto"/>
                <w:left w:val="none" w:sz="0" w:space="0" w:color="auto"/>
                <w:bottom w:val="none" w:sz="0" w:space="0" w:color="auto"/>
                <w:right w:val="none" w:sz="0" w:space="0" w:color="auto"/>
              </w:divBdr>
            </w:div>
            <w:div w:id="1218128475">
              <w:marLeft w:val="0"/>
              <w:marRight w:val="0"/>
              <w:marTop w:val="0"/>
              <w:marBottom w:val="0"/>
              <w:divBdr>
                <w:top w:val="none" w:sz="0" w:space="0" w:color="auto"/>
                <w:left w:val="none" w:sz="0" w:space="0" w:color="auto"/>
                <w:bottom w:val="none" w:sz="0" w:space="0" w:color="auto"/>
                <w:right w:val="none" w:sz="0" w:space="0" w:color="auto"/>
              </w:divBdr>
            </w:div>
            <w:div w:id="1220363223">
              <w:marLeft w:val="0"/>
              <w:marRight w:val="0"/>
              <w:marTop w:val="0"/>
              <w:marBottom w:val="0"/>
              <w:divBdr>
                <w:top w:val="none" w:sz="0" w:space="0" w:color="auto"/>
                <w:left w:val="none" w:sz="0" w:space="0" w:color="auto"/>
                <w:bottom w:val="none" w:sz="0" w:space="0" w:color="auto"/>
                <w:right w:val="none" w:sz="0" w:space="0" w:color="auto"/>
              </w:divBdr>
            </w:div>
            <w:div w:id="1254195105">
              <w:marLeft w:val="0"/>
              <w:marRight w:val="0"/>
              <w:marTop w:val="0"/>
              <w:marBottom w:val="0"/>
              <w:divBdr>
                <w:top w:val="none" w:sz="0" w:space="0" w:color="auto"/>
                <w:left w:val="none" w:sz="0" w:space="0" w:color="auto"/>
                <w:bottom w:val="none" w:sz="0" w:space="0" w:color="auto"/>
                <w:right w:val="none" w:sz="0" w:space="0" w:color="auto"/>
              </w:divBdr>
            </w:div>
            <w:div w:id="1349479677">
              <w:marLeft w:val="0"/>
              <w:marRight w:val="0"/>
              <w:marTop w:val="0"/>
              <w:marBottom w:val="0"/>
              <w:divBdr>
                <w:top w:val="none" w:sz="0" w:space="0" w:color="auto"/>
                <w:left w:val="none" w:sz="0" w:space="0" w:color="auto"/>
                <w:bottom w:val="none" w:sz="0" w:space="0" w:color="auto"/>
                <w:right w:val="none" w:sz="0" w:space="0" w:color="auto"/>
              </w:divBdr>
            </w:div>
            <w:div w:id="1469321206">
              <w:marLeft w:val="0"/>
              <w:marRight w:val="0"/>
              <w:marTop w:val="0"/>
              <w:marBottom w:val="0"/>
              <w:divBdr>
                <w:top w:val="none" w:sz="0" w:space="0" w:color="auto"/>
                <w:left w:val="none" w:sz="0" w:space="0" w:color="auto"/>
                <w:bottom w:val="none" w:sz="0" w:space="0" w:color="auto"/>
                <w:right w:val="none" w:sz="0" w:space="0" w:color="auto"/>
              </w:divBdr>
            </w:div>
            <w:div w:id="1579822199">
              <w:marLeft w:val="0"/>
              <w:marRight w:val="0"/>
              <w:marTop w:val="0"/>
              <w:marBottom w:val="0"/>
              <w:divBdr>
                <w:top w:val="none" w:sz="0" w:space="0" w:color="auto"/>
                <w:left w:val="none" w:sz="0" w:space="0" w:color="auto"/>
                <w:bottom w:val="none" w:sz="0" w:space="0" w:color="auto"/>
                <w:right w:val="none" w:sz="0" w:space="0" w:color="auto"/>
              </w:divBdr>
            </w:div>
            <w:div w:id="1819423534">
              <w:marLeft w:val="0"/>
              <w:marRight w:val="0"/>
              <w:marTop w:val="0"/>
              <w:marBottom w:val="0"/>
              <w:divBdr>
                <w:top w:val="none" w:sz="0" w:space="0" w:color="auto"/>
                <w:left w:val="none" w:sz="0" w:space="0" w:color="auto"/>
                <w:bottom w:val="none" w:sz="0" w:space="0" w:color="auto"/>
                <w:right w:val="none" w:sz="0" w:space="0" w:color="auto"/>
              </w:divBdr>
            </w:div>
            <w:div w:id="1869636398">
              <w:marLeft w:val="0"/>
              <w:marRight w:val="0"/>
              <w:marTop w:val="0"/>
              <w:marBottom w:val="0"/>
              <w:divBdr>
                <w:top w:val="none" w:sz="0" w:space="0" w:color="auto"/>
                <w:left w:val="none" w:sz="0" w:space="0" w:color="auto"/>
                <w:bottom w:val="none" w:sz="0" w:space="0" w:color="auto"/>
                <w:right w:val="none" w:sz="0" w:space="0" w:color="auto"/>
              </w:divBdr>
            </w:div>
            <w:div w:id="1951666521">
              <w:marLeft w:val="0"/>
              <w:marRight w:val="0"/>
              <w:marTop w:val="0"/>
              <w:marBottom w:val="0"/>
              <w:divBdr>
                <w:top w:val="none" w:sz="0" w:space="0" w:color="auto"/>
                <w:left w:val="none" w:sz="0" w:space="0" w:color="auto"/>
                <w:bottom w:val="none" w:sz="0" w:space="0" w:color="auto"/>
                <w:right w:val="none" w:sz="0" w:space="0" w:color="auto"/>
              </w:divBdr>
            </w:div>
            <w:div w:id="2010908160">
              <w:marLeft w:val="0"/>
              <w:marRight w:val="0"/>
              <w:marTop w:val="0"/>
              <w:marBottom w:val="0"/>
              <w:divBdr>
                <w:top w:val="none" w:sz="0" w:space="0" w:color="auto"/>
                <w:left w:val="none" w:sz="0" w:space="0" w:color="auto"/>
                <w:bottom w:val="none" w:sz="0" w:space="0" w:color="auto"/>
                <w:right w:val="none" w:sz="0" w:space="0" w:color="auto"/>
              </w:divBdr>
            </w:div>
            <w:div w:id="2119594779">
              <w:marLeft w:val="0"/>
              <w:marRight w:val="0"/>
              <w:marTop w:val="0"/>
              <w:marBottom w:val="0"/>
              <w:divBdr>
                <w:top w:val="none" w:sz="0" w:space="0" w:color="auto"/>
                <w:left w:val="none" w:sz="0" w:space="0" w:color="auto"/>
                <w:bottom w:val="none" w:sz="0" w:space="0" w:color="auto"/>
                <w:right w:val="none" w:sz="0" w:space="0" w:color="auto"/>
              </w:divBdr>
            </w:div>
          </w:divsChild>
        </w:div>
        <w:div w:id="1233155286">
          <w:marLeft w:val="0"/>
          <w:marRight w:val="0"/>
          <w:marTop w:val="0"/>
          <w:marBottom w:val="0"/>
          <w:divBdr>
            <w:top w:val="none" w:sz="0" w:space="0" w:color="auto"/>
            <w:left w:val="none" w:sz="0" w:space="0" w:color="auto"/>
            <w:bottom w:val="none" w:sz="0" w:space="0" w:color="auto"/>
            <w:right w:val="none" w:sz="0" w:space="0" w:color="auto"/>
          </w:divBdr>
        </w:div>
        <w:div w:id="1286692060">
          <w:marLeft w:val="0"/>
          <w:marRight w:val="0"/>
          <w:marTop w:val="0"/>
          <w:marBottom w:val="0"/>
          <w:divBdr>
            <w:top w:val="none" w:sz="0" w:space="0" w:color="auto"/>
            <w:left w:val="none" w:sz="0" w:space="0" w:color="auto"/>
            <w:bottom w:val="none" w:sz="0" w:space="0" w:color="auto"/>
            <w:right w:val="none" w:sz="0" w:space="0" w:color="auto"/>
          </w:divBdr>
          <w:divsChild>
            <w:div w:id="31423908">
              <w:marLeft w:val="0"/>
              <w:marRight w:val="0"/>
              <w:marTop w:val="0"/>
              <w:marBottom w:val="0"/>
              <w:divBdr>
                <w:top w:val="none" w:sz="0" w:space="0" w:color="auto"/>
                <w:left w:val="none" w:sz="0" w:space="0" w:color="auto"/>
                <w:bottom w:val="none" w:sz="0" w:space="0" w:color="auto"/>
                <w:right w:val="none" w:sz="0" w:space="0" w:color="auto"/>
              </w:divBdr>
            </w:div>
            <w:div w:id="552086099">
              <w:marLeft w:val="0"/>
              <w:marRight w:val="0"/>
              <w:marTop w:val="0"/>
              <w:marBottom w:val="0"/>
              <w:divBdr>
                <w:top w:val="none" w:sz="0" w:space="0" w:color="auto"/>
                <w:left w:val="none" w:sz="0" w:space="0" w:color="auto"/>
                <w:bottom w:val="none" w:sz="0" w:space="0" w:color="auto"/>
                <w:right w:val="none" w:sz="0" w:space="0" w:color="auto"/>
              </w:divBdr>
            </w:div>
            <w:div w:id="555505553">
              <w:marLeft w:val="0"/>
              <w:marRight w:val="0"/>
              <w:marTop w:val="0"/>
              <w:marBottom w:val="0"/>
              <w:divBdr>
                <w:top w:val="none" w:sz="0" w:space="0" w:color="auto"/>
                <w:left w:val="none" w:sz="0" w:space="0" w:color="auto"/>
                <w:bottom w:val="none" w:sz="0" w:space="0" w:color="auto"/>
                <w:right w:val="none" w:sz="0" w:space="0" w:color="auto"/>
              </w:divBdr>
            </w:div>
            <w:div w:id="580674537">
              <w:marLeft w:val="0"/>
              <w:marRight w:val="0"/>
              <w:marTop w:val="0"/>
              <w:marBottom w:val="0"/>
              <w:divBdr>
                <w:top w:val="none" w:sz="0" w:space="0" w:color="auto"/>
                <w:left w:val="none" w:sz="0" w:space="0" w:color="auto"/>
                <w:bottom w:val="none" w:sz="0" w:space="0" w:color="auto"/>
                <w:right w:val="none" w:sz="0" w:space="0" w:color="auto"/>
              </w:divBdr>
            </w:div>
            <w:div w:id="650133616">
              <w:marLeft w:val="0"/>
              <w:marRight w:val="0"/>
              <w:marTop w:val="0"/>
              <w:marBottom w:val="0"/>
              <w:divBdr>
                <w:top w:val="none" w:sz="0" w:space="0" w:color="auto"/>
                <w:left w:val="none" w:sz="0" w:space="0" w:color="auto"/>
                <w:bottom w:val="none" w:sz="0" w:space="0" w:color="auto"/>
                <w:right w:val="none" w:sz="0" w:space="0" w:color="auto"/>
              </w:divBdr>
            </w:div>
            <w:div w:id="730617408">
              <w:marLeft w:val="0"/>
              <w:marRight w:val="0"/>
              <w:marTop w:val="0"/>
              <w:marBottom w:val="0"/>
              <w:divBdr>
                <w:top w:val="none" w:sz="0" w:space="0" w:color="auto"/>
                <w:left w:val="none" w:sz="0" w:space="0" w:color="auto"/>
                <w:bottom w:val="none" w:sz="0" w:space="0" w:color="auto"/>
                <w:right w:val="none" w:sz="0" w:space="0" w:color="auto"/>
              </w:divBdr>
            </w:div>
            <w:div w:id="745028202">
              <w:marLeft w:val="0"/>
              <w:marRight w:val="0"/>
              <w:marTop w:val="0"/>
              <w:marBottom w:val="0"/>
              <w:divBdr>
                <w:top w:val="none" w:sz="0" w:space="0" w:color="auto"/>
                <w:left w:val="none" w:sz="0" w:space="0" w:color="auto"/>
                <w:bottom w:val="none" w:sz="0" w:space="0" w:color="auto"/>
                <w:right w:val="none" w:sz="0" w:space="0" w:color="auto"/>
              </w:divBdr>
            </w:div>
            <w:div w:id="833766746">
              <w:marLeft w:val="0"/>
              <w:marRight w:val="0"/>
              <w:marTop w:val="0"/>
              <w:marBottom w:val="0"/>
              <w:divBdr>
                <w:top w:val="none" w:sz="0" w:space="0" w:color="auto"/>
                <w:left w:val="none" w:sz="0" w:space="0" w:color="auto"/>
                <w:bottom w:val="none" w:sz="0" w:space="0" w:color="auto"/>
                <w:right w:val="none" w:sz="0" w:space="0" w:color="auto"/>
              </w:divBdr>
            </w:div>
            <w:div w:id="885609140">
              <w:marLeft w:val="0"/>
              <w:marRight w:val="0"/>
              <w:marTop w:val="0"/>
              <w:marBottom w:val="0"/>
              <w:divBdr>
                <w:top w:val="none" w:sz="0" w:space="0" w:color="auto"/>
                <w:left w:val="none" w:sz="0" w:space="0" w:color="auto"/>
                <w:bottom w:val="none" w:sz="0" w:space="0" w:color="auto"/>
                <w:right w:val="none" w:sz="0" w:space="0" w:color="auto"/>
              </w:divBdr>
            </w:div>
            <w:div w:id="1085496031">
              <w:marLeft w:val="0"/>
              <w:marRight w:val="0"/>
              <w:marTop w:val="0"/>
              <w:marBottom w:val="0"/>
              <w:divBdr>
                <w:top w:val="none" w:sz="0" w:space="0" w:color="auto"/>
                <w:left w:val="none" w:sz="0" w:space="0" w:color="auto"/>
                <w:bottom w:val="none" w:sz="0" w:space="0" w:color="auto"/>
                <w:right w:val="none" w:sz="0" w:space="0" w:color="auto"/>
              </w:divBdr>
            </w:div>
            <w:div w:id="1249775018">
              <w:marLeft w:val="0"/>
              <w:marRight w:val="0"/>
              <w:marTop w:val="0"/>
              <w:marBottom w:val="0"/>
              <w:divBdr>
                <w:top w:val="none" w:sz="0" w:space="0" w:color="auto"/>
                <w:left w:val="none" w:sz="0" w:space="0" w:color="auto"/>
                <w:bottom w:val="none" w:sz="0" w:space="0" w:color="auto"/>
                <w:right w:val="none" w:sz="0" w:space="0" w:color="auto"/>
              </w:divBdr>
            </w:div>
            <w:div w:id="1399401044">
              <w:marLeft w:val="0"/>
              <w:marRight w:val="0"/>
              <w:marTop w:val="0"/>
              <w:marBottom w:val="0"/>
              <w:divBdr>
                <w:top w:val="none" w:sz="0" w:space="0" w:color="auto"/>
                <w:left w:val="none" w:sz="0" w:space="0" w:color="auto"/>
                <w:bottom w:val="none" w:sz="0" w:space="0" w:color="auto"/>
                <w:right w:val="none" w:sz="0" w:space="0" w:color="auto"/>
              </w:divBdr>
            </w:div>
            <w:div w:id="1404988492">
              <w:marLeft w:val="0"/>
              <w:marRight w:val="0"/>
              <w:marTop w:val="0"/>
              <w:marBottom w:val="0"/>
              <w:divBdr>
                <w:top w:val="none" w:sz="0" w:space="0" w:color="auto"/>
                <w:left w:val="none" w:sz="0" w:space="0" w:color="auto"/>
                <w:bottom w:val="none" w:sz="0" w:space="0" w:color="auto"/>
                <w:right w:val="none" w:sz="0" w:space="0" w:color="auto"/>
              </w:divBdr>
            </w:div>
            <w:div w:id="1482500495">
              <w:marLeft w:val="0"/>
              <w:marRight w:val="0"/>
              <w:marTop w:val="0"/>
              <w:marBottom w:val="0"/>
              <w:divBdr>
                <w:top w:val="none" w:sz="0" w:space="0" w:color="auto"/>
                <w:left w:val="none" w:sz="0" w:space="0" w:color="auto"/>
                <w:bottom w:val="none" w:sz="0" w:space="0" w:color="auto"/>
                <w:right w:val="none" w:sz="0" w:space="0" w:color="auto"/>
              </w:divBdr>
            </w:div>
            <w:div w:id="1568413433">
              <w:marLeft w:val="0"/>
              <w:marRight w:val="0"/>
              <w:marTop w:val="0"/>
              <w:marBottom w:val="0"/>
              <w:divBdr>
                <w:top w:val="none" w:sz="0" w:space="0" w:color="auto"/>
                <w:left w:val="none" w:sz="0" w:space="0" w:color="auto"/>
                <w:bottom w:val="none" w:sz="0" w:space="0" w:color="auto"/>
                <w:right w:val="none" w:sz="0" w:space="0" w:color="auto"/>
              </w:divBdr>
            </w:div>
            <w:div w:id="1729037280">
              <w:marLeft w:val="0"/>
              <w:marRight w:val="0"/>
              <w:marTop w:val="0"/>
              <w:marBottom w:val="0"/>
              <w:divBdr>
                <w:top w:val="none" w:sz="0" w:space="0" w:color="auto"/>
                <w:left w:val="none" w:sz="0" w:space="0" w:color="auto"/>
                <w:bottom w:val="none" w:sz="0" w:space="0" w:color="auto"/>
                <w:right w:val="none" w:sz="0" w:space="0" w:color="auto"/>
              </w:divBdr>
            </w:div>
            <w:div w:id="1851338139">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901869084">
              <w:marLeft w:val="0"/>
              <w:marRight w:val="0"/>
              <w:marTop w:val="0"/>
              <w:marBottom w:val="0"/>
              <w:divBdr>
                <w:top w:val="none" w:sz="0" w:space="0" w:color="auto"/>
                <w:left w:val="none" w:sz="0" w:space="0" w:color="auto"/>
                <w:bottom w:val="none" w:sz="0" w:space="0" w:color="auto"/>
                <w:right w:val="none" w:sz="0" w:space="0" w:color="auto"/>
              </w:divBdr>
            </w:div>
            <w:div w:id="2030910013">
              <w:marLeft w:val="0"/>
              <w:marRight w:val="0"/>
              <w:marTop w:val="0"/>
              <w:marBottom w:val="0"/>
              <w:divBdr>
                <w:top w:val="none" w:sz="0" w:space="0" w:color="auto"/>
                <w:left w:val="none" w:sz="0" w:space="0" w:color="auto"/>
                <w:bottom w:val="none" w:sz="0" w:space="0" w:color="auto"/>
                <w:right w:val="none" w:sz="0" w:space="0" w:color="auto"/>
              </w:divBdr>
            </w:div>
          </w:divsChild>
        </w:div>
        <w:div w:id="1317803831">
          <w:marLeft w:val="0"/>
          <w:marRight w:val="0"/>
          <w:marTop w:val="0"/>
          <w:marBottom w:val="0"/>
          <w:divBdr>
            <w:top w:val="none" w:sz="0" w:space="0" w:color="auto"/>
            <w:left w:val="none" w:sz="0" w:space="0" w:color="auto"/>
            <w:bottom w:val="none" w:sz="0" w:space="0" w:color="auto"/>
            <w:right w:val="none" w:sz="0" w:space="0" w:color="auto"/>
          </w:divBdr>
        </w:div>
        <w:div w:id="1328173798">
          <w:marLeft w:val="0"/>
          <w:marRight w:val="0"/>
          <w:marTop w:val="0"/>
          <w:marBottom w:val="0"/>
          <w:divBdr>
            <w:top w:val="none" w:sz="0" w:space="0" w:color="auto"/>
            <w:left w:val="none" w:sz="0" w:space="0" w:color="auto"/>
            <w:bottom w:val="none" w:sz="0" w:space="0" w:color="auto"/>
            <w:right w:val="none" w:sz="0" w:space="0" w:color="auto"/>
          </w:divBdr>
        </w:div>
        <w:div w:id="1346051924">
          <w:marLeft w:val="0"/>
          <w:marRight w:val="0"/>
          <w:marTop w:val="0"/>
          <w:marBottom w:val="0"/>
          <w:divBdr>
            <w:top w:val="none" w:sz="0" w:space="0" w:color="auto"/>
            <w:left w:val="none" w:sz="0" w:space="0" w:color="auto"/>
            <w:bottom w:val="none" w:sz="0" w:space="0" w:color="auto"/>
            <w:right w:val="none" w:sz="0" w:space="0" w:color="auto"/>
          </w:divBdr>
        </w:div>
        <w:div w:id="1370565060">
          <w:marLeft w:val="0"/>
          <w:marRight w:val="0"/>
          <w:marTop w:val="0"/>
          <w:marBottom w:val="0"/>
          <w:divBdr>
            <w:top w:val="none" w:sz="0" w:space="0" w:color="auto"/>
            <w:left w:val="none" w:sz="0" w:space="0" w:color="auto"/>
            <w:bottom w:val="none" w:sz="0" w:space="0" w:color="auto"/>
            <w:right w:val="none" w:sz="0" w:space="0" w:color="auto"/>
          </w:divBdr>
        </w:div>
        <w:div w:id="1376271075">
          <w:marLeft w:val="0"/>
          <w:marRight w:val="0"/>
          <w:marTop w:val="0"/>
          <w:marBottom w:val="0"/>
          <w:divBdr>
            <w:top w:val="none" w:sz="0" w:space="0" w:color="auto"/>
            <w:left w:val="none" w:sz="0" w:space="0" w:color="auto"/>
            <w:bottom w:val="none" w:sz="0" w:space="0" w:color="auto"/>
            <w:right w:val="none" w:sz="0" w:space="0" w:color="auto"/>
          </w:divBdr>
        </w:div>
        <w:div w:id="1379357082">
          <w:marLeft w:val="0"/>
          <w:marRight w:val="0"/>
          <w:marTop w:val="0"/>
          <w:marBottom w:val="0"/>
          <w:divBdr>
            <w:top w:val="none" w:sz="0" w:space="0" w:color="auto"/>
            <w:left w:val="none" w:sz="0" w:space="0" w:color="auto"/>
            <w:bottom w:val="none" w:sz="0" w:space="0" w:color="auto"/>
            <w:right w:val="none" w:sz="0" w:space="0" w:color="auto"/>
          </w:divBdr>
          <w:divsChild>
            <w:div w:id="234975826">
              <w:marLeft w:val="0"/>
              <w:marRight w:val="0"/>
              <w:marTop w:val="0"/>
              <w:marBottom w:val="0"/>
              <w:divBdr>
                <w:top w:val="none" w:sz="0" w:space="0" w:color="auto"/>
                <w:left w:val="none" w:sz="0" w:space="0" w:color="auto"/>
                <w:bottom w:val="none" w:sz="0" w:space="0" w:color="auto"/>
                <w:right w:val="none" w:sz="0" w:space="0" w:color="auto"/>
              </w:divBdr>
            </w:div>
            <w:div w:id="368457006">
              <w:marLeft w:val="0"/>
              <w:marRight w:val="0"/>
              <w:marTop w:val="0"/>
              <w:marBottom w:val="0"/>
              <w:divBdr>
                <w:top w:val="none" w:sz="0" w:space="0" w:color="auto"/>
                <w:left w:val="none" w:sz="0" w:space="0" w:color="auto"/>
                <w:bottom w:val="none" w:sz="0" w:space="0" w:color="auto"/>
                <w:right w:val="none" w:sz="0" w:space="0" w:color="auto"/>
              </w:divBdr>
            </w:div>
            <w:div w:id="683820439">
              <w:marLeft w:val="0"/>
              <w:marRight w:val="0"/>
              <w:marTop w:val="0"/>
              <w:marBottom w:val="0"/>
              <w:divBdr>
                <w:top w:val="none" w:sz="0" w:space="0" w:color="auto"/>
                <w:left w:val="none" w:sz="0" w:space="0" w:color="auto"/>
                <w:bottom w:val="none" w:sz="0" w:space="0" w:color="auto"/>
                <w:right w:val="none" w:sz="0" w:space="0" w:color="auto"/>
              </w:divBdr>
            </w:div>
            <w:div w:id="935331613">
              <w:marLeft w:val="0"/>
              <w:marRight w:val="0"/>
              <w:marTop w:val="0"/>
              <w:marBottom w:val="0"/>
              <w:divBdr>
                <w:top w:val="none" w:sz="0" w:space="0" w:color="auto"/>
                <w:left w:val="none" w:sz="0" w:space="0" w:color="auto"/>
                <w:bottom w:val="none" w:sz="0" w:space="0" w:color="auto"/>
                <w:right w:val="none" w:sz="0" w:space="0" w:color="auto"/>
              </w:divBdr>
            </w:div>
            <w:div w:id="987056135">
              <w:marLeft w:val="0"/>
              <w:marRight w:val="0"/>
              <w:marTop w:val="0"/>
              <w:marBottom w:val="0"/>
              <w:divBdr>
                <w:top w:val="none" w:sz="0" w:space="0" w:color="auto"/>
                <w:left w:val="none" w:sz="0" w:space="0" w:color="auto"/>
                <w:bottom w:val="none" w:sz="0" w:space="0" w:color="auto"/>
                <w:right w:val="none" w:sz="0" w:space="0" w:color="auto"/>
              </w:divBdr>
            </w:div>
            <w:div w:id="1098140284">
              <w:marLeft w:val="0"/>
              <w:marRight w:val="0"/>
              <w:marTop w:val="0"/>
              <w:marBottom w:val="0"/>
              <w:divBdr>
                <w:top w:val="none" w:sz="0" w:space="0" w:color="auto"/>
                <w:left w:val="none" w:sz="0" w:space="0" w:color="auto"/>
                <w:bottom w:val="none" w:sz="0" w:space="0" w:color="auto"/>
                <w:right w:val="none" w:sz="0" w:space="0" w:color="auto"/>
              </w:divBdr>
            </w:div>
            <w:div w:id="1169052859">
              <w:marLeft w:val="0"/>
              <w:marRight w:val="0"/>
              <w:marTop w:val="0"/>
              <w:marBottom w:val="0"/>
              <w:divBdr>
                <w:top w:val="none" w:sz="0" w:space="0" w:color="auto"/>
                <w:left w:val="none" w:sz="0" w:space="0" w:color="auto"/>
                <w:bottom w:val="none" w:sz="0" w:space="0" w:color="auto"/>
                <w:right w:val="none" w:sz="0" w:space="0" w:color="auto"/>
              </w:divBdr>
            </w:div>
            <w:div w:id="1276592457">
              <w:marLeft w:val="0"/>
              <w:marRight w:val="0"/>
              <w:marTop w:val="0"/>
              <w:marBottom w:val="0"/>
              <w:divBdr>
                <w:top w:val="none" w:sz="0" w:space="0" w:color="auto"/>
                <w:left w:val="none" w:sz="0" w:space="0" w:color="auto"/>
                <w:bottom w:val="none" w:sz="0" w:space="0" w:color="auto"/>
                <w:right w:val="none" w:sz="0" w:space="0" w:color="auto"/>
              </w:divBdr>
            </w:div>
            <w:div w:id="1420981297">
              <w:marLeft w:val="0"/>
              <w:marRight w:val="0"/>
              <w:marTop w:val="0"/>
              <w:marBottom w:val="0"/>
              <w:divBdr>
                <w:top w:val="none" w:sz="0" w:space="0" w:color="auto"/>
                <w:left w:val="none" w:sz="0" w:space="0" w:color="auto"/>
                <w:bottom w:val="none" w:sz="0" w:space="0" w:color="auto"/>
                <w:right w:val="none" w:sz="0" w:space="0" w:color="auto"/>
              </w:divBdr>
            </w:div>
            <w:div w:id="1449201758">
              <w:marLeft w:val="0"/>
              <w:marRight w:val="0"/>
              <w:marTop w:val="0"/>
              <w:marBottom w:val="0"/>
              <w:divBdr>
                <w:top w:val="none" w:sz="0" w:space="0" w:color="auto"/>
                <w:left w:val="none" w:sz="0" w:space="0" w:color="auto"/>
                <w:bottom w:val="none" w:sz="0" w:space="0" w:color="auto"/>
                <w:right w:val="none" w:sz="0" w:space="0" w:color="auto"/>
              </w:divBdr>
            </w:div>
            <w:div w:id="1466191636">
              <w:marLeft w:val="0"/>
              <w:marRight w:val="0"/>
              <w:marTop w:val="0"/>
              <w:marBottom w:val="0"/>
              <w:divBdr>
                <w:top w:val="none" w:sz="0" w:space="0" w:color="auto"/>
                <w:left w:val="none" w:sz="0" w:space="0" w:color="auto"/>
                <w:bottom w:val="none" w:sz="0" w:space="0" w:color="auto"/>
                <w:right w:val="none" w:sz="0" w:space="0" w:color="auto"/>
              </w:divBdr>
            </w:div>
            <w:div w:id="1466393615">
              <w:marLeft w:val="0"/>
              <w:marRight w:val="0"/>
              <w:marTop w:val="0"/>
              <w:marBottom w:val="0"/>
              <w:divBdr>
                <w:top w:val="none" w:sz="0" w:space="0" w:color="auto"/>
                <w:left w:val="none" w:sz="0" w:space="0" w:color="auto"/>
                <w:bottom w:val="none" w:sz="0" w:space="0" w:color="auto"/>
                <w:right w:val="none" w:sz="0" w:space="0" w:color="auto"/>
              </w:divBdr>
            </w:div>
            <w:div w:id="1586721590">
              <w:marLeft w:val="0"/>
              <w:marRight w:val="0"/>
              <w:marTop w:val="0"/>
              <w:marBottom w:val="0"/>
              <w:divBdr>
                <w:top w:val="none" w:sz="0" w:space="0" w:color="auto"/>
                <w:left w:val="none" w:sz="0" w:space="0" w:color="auto"/>
                <w:bottom w:val="none" w:sz="0" w:space="0" w:color="auto"/>
                <w:right w:val="none" w:sz="0" w:space="0" w:color="auto"/>
              </w:divBdr>
            </w:div>
            <w:div w:id="1735661356">
              <w:marLeft w:val="0"/>
              <w:marRight w:val="0"/>
              <w:marTop w:val="0"/>
              <w:marBottom w:val="0"/>
              <w:divBdr>
                <w:top w:val="none" w:sz="0" w:space="0" w:color="auto"/>
                <w:left w:val="none" w:sz="0" w:space="0" w:color="auto"/>
                <w:bottom w:val="none" w:sz="0" w:space="0" w:color="auto"/>
                <w:right w:val="none" w:sz="0" w:space="0" w:color="auto"/>
              </w:divBdr>
            </w:div>
            <w:div w:id="1809011803">
              <w:marLeft w:val="0"/>
              <w:marRight w:val="0"/>
              <w:marTop w:val="0"/>
              <w:marBottom w:val="0"/>
              <w:divBdr>
                <w:top w:val="none" w:sz="0" w:space="0" w:color="auto"/>
                <w:left w:val="none" w:sz="0" w:space="0" w:color="auto"/>
                <w:bottom w:val="none" w:sz="0" w:space="0" w:color="auto"/>
                <w:right w:val="none" w:sz="0" w:space="0" w:color="auto"/>
              </w:divBdr>
            </w:div>
            <w:div w:id="1996642829">
              <w:marLeft w:val="0"/>
              <w:marRight w:val="0"/>
              <w:marTop w:val="0"/>
              <w:marBottom w:val="0"/>
              <w:divBdr>
                <w:top w:val="none" w:sz="0" w:space="0" w:color="auto"/>
                <w:left w:val="none" w:sz="0" w:space="0" w:color="auto"/>
                <w:bottom w:val="none" w:sz="0" w:space="0" w:color="auto"/>
                <w:right w:val="none" w:sz="0" w:space="0" w:color="auto"/>
              </w:divBdr>
            </w:div>
            <w:div w:id="2006591422">
              <w:marLeft w:val="0"/>
              <w:marRight w:val="0"/>
              <w:marTop w:val="0"/>
              <w:marBottom w:val="0"/>
              <w:divBdr>
                <w:top w:val="none" w:sz="0" w:space="0" w:color="auto"/>
                <w:left w:val="none" w:sz="0" w:space="0" w:color="auto"/>
                <w:bottom w:val="none" w:sz="0" w:space="0" w:color="auto"/>
                <w:right w:val="none" w:sz="0" w:space="0" w:color="auto"/>
              </w:divBdr>
            </w:div>
            <w:div w:id="2043165579">
              <w:marLeft w:val="0"/>
              <w:marRight w:val="0"/>
              <w:marTop w:val="0"/>
              <w:marBottom w:val="0"/>
              <w:divBdr>
                <w:top w:val="none" w:sz="0" w:space="0" w:color="auto"/>
                <w:left w:val="none" w:sz="0" w:space="0" w:color="auto"/>
                <w:bottom w:val="none" w:sz="0" w:space="0" w:color="auto"/>
                <w:right w:val="none" w:sz="0" w:space="0" w:color="auto"/>
              </w:divBdr>
            </w:div>
            <w:div w:id="2077435340">
              <w:marLeft w:val="0"/>
              <w:marRight w:val="0"/>
              <w:marTop w:val="0"/>
              <w:marBottom w:val="0"/>
              <w:divBdr>
                <w:top w:val="none" w:sz="0" w:space="0" w:color="auto"/>
                <w:left w:val="none" w:sz="0" w:space="0" w:color="auto"/>
                <w:bottom w:val="none" w:sz="0" w:space="0" w:color="auto"/>
                <w:right w:val="none" w:sz="0" w:space="0" w:color="auto"/>
              </w:divBdr>
            </w:div>
            <w:div w:id="2098790468">
              <w:marLeft w:val="0"/>
              <w:marRight w:val="0"/>
              <w:marTop w:val="0"/>
              <w:marBottom w:val="0"/>
              <w:divBdr>
                <w:top w:val="none" w:sz="0" w:space="0" w:color="auto"/>
                <w:left w:val="none" w:sz="0" w:space="0" w:color="auto"/>
                <w:bottom w:val="none" w:sz="0" w:space="0" w:color="auto"/>
                <w:right w:val="none" w:sz="0" w:space="0" w:color="auto"/>
              </w:divBdr>
            </w:div>
          </w:divsChild>
        </w:div>
        <w:div w:id="1395347052">
          <w:marLeft w:val="0"/>
          <w:marRight w:val="0"/>
          <w:marTop w:val="0"/>
          <w:marBottom w:val="0"/>
          <w:divBdr>
            <w:top w:val="none" w:sz="0" w:space="0" w:color="auto"/>
            <w:left w:val="none" w:sz="0" w:space="0" w:color="auto"/>
            <w:bottom w:val="none" w:sz="0" w:space="0" w:color="auto"/>
            <w:right w:val="none" w:sz="0" w:space="0" w:color="auto"/>
          </w:divBdr>
        </w:div>
        <w:div w:id="1433168627">
          <w:marLeft w:val="0"/>
          <w:marRight w:val="0"/>
          <w:marTop w:val="0"/>
          <w:marBottom w:val="0"/>
          <w:divBdr>
            <w:top w:val="none" w:sz="0" w:space="0" w:color="auto"/>
            <w:left w:val="none" w:sz="0" w:space="0" w:color="auto"/>
            <w:bottom w:val="none" w:sz="0" w:space="0" w:color="auto"/>
            <w:right w:val="none" w:sz="0" w:space="0" w:color="auto"/>
          </w:divBdr>
        </w:div>
        <w:div w:id="1472479669">
          <w:marLeft w:val="0"/>
          <w:marRight w:val="0"/>
          <w:marTop w:val="0"/>
          <w:marBottom w:val="0"/>
          <w:divBdr>
            <w:top w:val="none" w:sz="0" w:space="0" w:color="auto"/>
            <w:left w:val="none" w:sz="0" w:space="0" w:color="auto"/>
            <w:bottom w:val="none" w:sz="0" w:space="0" w:color="auto"/>
            <w:right w:val="none" w:sz="0" w:space="0" w:color="auto"/>
          </w:divBdr>
        </w:div>
        <w:div w:id="1484661108">
          <w:marLeft w:val="0"/>
          <w:marRight w:val="0"/>
          <w:marTop w:val="0"/>
          <w:marBottom w:val="0"/>
          <w:divBdr>
            <w:top w:val="none" w:sz="0" w:space="0" w:color="auto"/>
            <w:left w:val="none" w:sz="0" w:space="0" w:color="auto"/>
            <w:bottom w:val="none" w:sz="0" w:space="0" w:color="auto"/>
            <w:right w:val="none" w:sz="0" w:space="0" w:color="auto"/>
          </w:divBdr>
        </w:div>
        <w:div w:id="1532837086">
          <w:marLeft w:val="0"/>
          <w:marRight w:val="0"/>
          <w:marTop w:val="0"/>
          <w:marBottom w:val="0"/>
          <w:divBdr>
            <w:top w:val="none" w:sz="0" w:space="0" w:color="auto"/>
            <w:left w:val="none" w:sz="0" w:space="0" w:color="auto"/>
            <w:bottom w:val="none" w:sz="0" w:space="0" w:color="auto"/>
            <w:right w:val="none" w:sz="0" w:space="0" w:color="auto"/>
          </w:divBdr>
        </w:div>
        <w:div w:id="1545212336">
          <w:marLeft w:val="0"/>
          <w:marRight w:val="0"/>
          <w:marTop w:val="0"/>
          <w:marBottom w:val="0"/>
          <w:divBdr>
            <w:top w:val="none" w:sz="0" w:space="0" w:color="auto"/>
            <w:left w:val="none" w:sz="0" w:space="0" w:color="auto"/>
            <w:bottom w:val="none" w:sz="0" w:space="0" w:color="auto"/>
            <w:right w:val="none" w:sz="0" w:space="0" w:color="auto"/>
          </w:divBdr>
        </w:div>
        <w:div w:id="1566723169">
          <w:marLeft w:val="0"/>
          <w:marRight w:val="0"/>
          <w:marTop w:val="0"/>
          <w:marBottom w:val="0"/>
          <w:divBdr>
            <w:top w:val="none" w:sz="0" w:space="0" w:color="auto"/>
            <w:left w:val="none" w:sz="0" w:space="0" w:color="auto"/>
            <w:bottom w:val="none" w:sz="0" w:space="0" w:color="auto"/>
            <w:right w:val="none" w:sz="0" w:space="0" w:color="auto"/>
          </w:divBdr>
        </w:div>
        <w:div w:id="1582451258">
          <w:marLeft w:val="0"/>
          <w:marRight w:val="0"/>
          <w:marTop w:val="0"/>
          <w:marBottom w:val="0"/>
          <w:divBdr>
            <w:top w:val="none" w:sz="0" w:space="0" w:color="auto"/>
            <w:left w:val="none" w:sz="0" w:space="0" w:color="auto"/>
            <w:bottom w:val="none" w:sz="0" w:space="0" w:color="auto"/>
            <w:right w:val="none" w:sz="0" w:space="0" w:color="auto"/>
          </w:divBdr>
        </w:div>
        <w:div w:id="1592395672">
          <w:marLeft w:val="0"/>
          <w:marRight w:val="0"/>
          <w:marTop w:val="0"/>
          <w:marBottom w:val="0"/>
          <w:divBdr>
            <w:top w:val="none" w:sz="0" w:space="0" w:color="auto"/>
            <w:left w:val="none" w:sz="0" w:space="0" w:color="auto"/>
            <w:bottom w:val="none" w:sz="0" w:space="0" w:color="auto"/>
            <w:right w:val="none" w:sz="0" w:space="0" w:color="auto"/>
          </w:divBdr>
        </w:div>
        <w:div w:id="1615214937">
          <w:marLeft w:val="0"/>
          <w:marRight w:val="0"/>
          <w:marTop w:val="0"/>
          <w:marBottom w:val="0"/>
          <w:divBdr>
            <w:top w:val="none" w:sz="0" w:space="0" w:color="auto"/>
            <w:left w:val="none" w:sz="0" w:space="0" w:color="auto"/>
            <w:bottom w:val="none" w:sz="0" w:space="0" w:color="auto"/>
            <w:right w:val="none" w:sz="0" w:space="0" w:color="auto"/>
          </w:divBdr>
        </w:div>
        <w:div w:id="1616018957">
          <w:marLeft w:val="0"/>
          <w:marRight w:val="0"/>
          <w:marTop w:val="0"/>
          <w:marBottom w:val="0"/>
          <w:divBdr>
            <w:top w:val="none" w:sz="0" w:space="0" w:color="auto"/>
            <w:left w:val="none" w:sz="0" w:space="0" w:color="auto"/>
            <w:bottom w:val="none" w:sz="0" w:space="0" w:color="auto"/>
            <w:right w:val="none" w:sz="0" w:space="0" w:color="auto"/>
          </w:divBdr>
        </w:div>
        <w:div w:id="1649282705">
          <w:marLeft w:val="0"/>
          <w:marRight w:val="0"/>
          <w:marTop w:val="0"/>
          <w:marBottom w:val="0"/>
          <w:divBdr>
            <w:top w:val="none" w:sz="0" w:space="0" w:color="auto"/>
            <w:left w:val="none" w:sz="0" w:space="0" w:color="auto"/>
            <w:bottom w:val="none" w:sz="0" w:space="0" w:color="auto"/>
            <w:right w:val="none" w:sz="0" w:space="0" w:color="auto"/>
          </w:divBdr>
        </w:div>
        <w:div w:id="1680887797">
          <w:marLeft w:val="0"/>
          <w:marRight w:val="0"/>
          <w:marTop w:val="0"/>
          <w:marBottom w:val="0"/>
          <w:divBdr>
            <w:top w:val="none" w:sz="0" w:space="0" w:color="auto"/>
            <w:left w:val="none" w:sz="0" w:space="0" w:color="auto"/>
            <w:bottom w:val="none" w:sz="0" w:space="0" w:color="auto"/>
            <w:right w:val="none" w:sz="0" w:space="0" w:color="auto"/>
          </w:divBdr>
          <w:divsChild>
            <w:div w:id="36054873">
              <w:marLeft w:val="0"/>
              <w:marRight w:val="0"/>
              <w:marTop w:val="0"/>
              <w:marBottom w:val="0"/>
              <w:divBdr>
                <w:top w:val="none" w:sz="0" w:space="0" w:color="auto"/>
                <w:left w:val="none" w:sz="0" w:space="0" w:color="auto"/>
                <w:bottom w:val="none" w:sz="0" w:space="0" w:color="auto"/>
                <w:right w:val="none" w:sz="0" w:space="0" w:color="auto"/>
              </w:divBdr>
            </w:div>
            <w:div w:id="113789947">
              <w:marLeft w:val="0"/>
              <w:marRight w:val="0"/>
              <w:marTop w:val="0"/>
              <w:marBottom w:val="0"/>
              <w:divBdr>
                <w:top w:val="none" w:sz="0" w:space="0" w:color="auto"/>
                <w:left w:val="none" w:sz="0" w:space="0" w:color="auto"/>
                <w:bottom w:val="none" w:sz="0" w:space="0" w:color="auto"/>
                <w:right w:val="none" w:sz="0" w:space="0" w:color="auto"/>
              </w:divBdr>
            </w:div>
            <w:div w:id="255790361">
              <w:marLeft w:val="0"/>
              <w:marRight w:val="0"/>
              <w:marTop w:val="0"/>
              <w:marBottom w:val="0"/>
              <w:divBdr>
                <w:top w:val="none" w:sz="0" w:space="0" w:color="auto"/>
                <w:left w:val="none" w:sz="0" w:space="0" w:color="auto"/>
                <w:bottom w:val="none" w:sz="0" w:space="0" w:color="auto"/>
                <w:right w:val="none" w:sz="0" w:space="0" w:color="auto"/>
              </w:divBdr>
            </w:div>
            <w:div w:id="556205582">
              <w:marLeft w:val="0"/>
              <w:marRight w:val="0"/>
              <w:marTop w:val="0"/>
              <w:marBottom w:val="0"/>
              <w:divBdr>
                <w:top w:val="none" w:sz="0" w:space="0" w:color="auto"/>
                <w:left w:val="none" w:sz="0" w:space="0" w:color="auto"/>
                <w:bottom w:val="none" w:sz="0" w:space="0" w:color="auto"/>
                <w:right w:val="none" w:sz="0" w:space="0" w:color="auto"/>
              </w:divBdr>
            </w:div>
            <w:div w:id="699354068">
              <w:marLeft w:val="0"/>
              <w:marRight w:val="0"/>
              <w:marTop w:val="0"/>
              <w:marBottom w:val="0"/>
              <w:divBdr>
                <w:top w:val="none" w:sz="0" w:space="0" w:color="auto"/>
                <w:left w:val="none" w:sz="0" w:space="0" w:color="auto"/>
                <w:bottom w:val="none" w:sz="0" w:space="0" w:color="auto"/>
                <w:right w:val="none" w:sz="0" w:space="0" w:color="auto"/>
              </w:divBdr>
            </w:div>
            <w:div w:id="740255728">
              <w:marLeft w:val="0"/>
              <w:marRight w:val="0"/>
              <w:marTop w:val="0"/>
              <w:marBottom w:val="0"/>
              <w:divBdr>
                <w:top w:val="none" w:sz="0" w:space="0" w:color="auto"/>
                <w:left w:val="none" w:sz="0" w:space="0" w:color="auto"/>
                <w:bottom w:val="none" w:sz="0" w:space="0" w:color="auto"/>
                <w:right w:val="none" w:sz="0" w:space="0" w:color="auto"/>
              </w:divBdr>
            </w:div>
            <w:div w:id="750275842">
              <w:marLeft w:val="0"/>
              <w:marRight w:val="0"/>
              <w:marTop w:val="0"/>
              <w:marBottom w:val="0"/>
              <w:divBdr>
                <w:top w:val="none" w:sz="0" w:space="0" w:color="auto"/>
                <w:left w:val="none" w:sz="0" w:space="0" w:color="auto"/>
                <w:bottom w:val="none" w:sz="0" w:space="0" w:color="auto"/>
                <w:right w:val="none" w:sz="0" w:space="0" w:color="auto"/>
              </w:divBdr>
            </w:div>
            <w:div w:id="856894003">
              <w:marLeft w:val="0"/>
              <w:marRight w:val="0"/>
              <w:marTop w:val="0"/>
              <w:marBottom w:val="0"/>
              <w:divBdr>
                <w:top w:val="none" w:sz="0" w:space="0" w:color="auto"/>
                <w:left w:val="none" w:sz="0" w:space="0" w:color="auto"/>
                <w:bottom w:val="none" w:sz="0" w:space="0" w:color="auto"/>
                <w:right w:val="none" w:sz="0" w:space="0" w:color="auto"/>
              </w:divBdr>
            </w:div>
            <w:div w:id="969214400">
              <w:marLeft w:val="0"/>
              <w:marRight w:val="0"/>
              <w:marTop w:val="0"/>
              <w:marBottom w:val="0"/>
              <w:divBdr>
                <w:top w:val="none" w:sz="0" w:space="0" w:color="auto"/>
                <w:left w:val="none" w:sz="0" w:space="0" w:color="auto"/>
                <w:bottom w:val="none" w:sz="0" w:space="0" w:color="auto"/>
                <w:right w:val="none" w:sz="0" w:space="0" w:color="auto"/>
              </w:divBdr>
            </w:div>
            <w:div w:id="1282803862">
              <w:marLeft w:val="0"/>
              <w:marRight w:val="0"/>
              <w:marTop w:val="0"/>
              <w:marBottom w:val="0"/>
              <w:divBdr>
                <w:top w:val="none" w:sz="0" w:space="0" w:color="auto"/>
                <w:left w:val="none" w:sz="0" w:space="0" w:color="auto"/>
                <w:bottom w:val="none" w:sz="0" w:space="0" w:color="auto"/>
                <w:right w:val="none" w:sz="0" w:space="0" w:color="auto"/>
              </w:divBdr>
            </w:div>
            <w:div w:id="1366753552">
              <w:marLeft w:val="0"/>
              <w:marRight w:val="0"/>
              <w:marTop w:val="0"/>
              <w:marBottom w:val="0"/>
              <w:divBdr>
                <w:top w:val="none" w:sz="0" w:space="0" w:color="auto"/>
                <w:left w:val="none" w:sz="0" w:space="0" w:color="auto"/>
                <w:bottom w:val="none" w:sz="0" w:space="0" w:color="auto"/>
                <w:right w:val="none" w:sz="0" w:space="0" w:color="auto"/>
              </w:divBdr>
            </w:div>
            <w:div w:id="1367559646">
              <w:marLeft w:val="0"/>
              <w:marRight w:val="0"/>
              <w:marTop w:val="0"/>
              <w:marBottom w:val="0"/>
              <w:divBdr>
                <w:top w:val="none" w:sz="0" w:space="0" w:color="auto"/>
                <w:left w:val="none" w:sz="0" w:space="0" w:color="auto"/>
                <w:bottom w:val="none" w:sz="0" w:space="0" w:color="auto"/>
                <w:right w:val="none" w:sz="0" w:space="0" w:color="auto"/>
              </w:divBdr>
            </w:div>
            <w:div w:id="1385911163">
              <w:marLeft w:val="0"/>
              <w:marRight w:val="0"/>
              <w:marTop w:val="0"/>
              <w:marBottom w:val="0"/>
              <w:divBdr>
                <w:top w:val="none" w:sz="0" w:space="0" w:color="auto"/>
                <w:left w:val="none" w:sz="0" w:space="0" w:color="auto"/>
                <w:bottom w:val="none" w:sz="0" w:space="0" w:color="auto"/>
                <w:right w:val="none" w:sz="0" w:space="0" w:color="auto"/>
              </w:divBdr>
            </w:div>
            <w:div w:id="1534925181">
              <w:marLeft w:val="0"/>
              <w:marRight w:val="0"/>
              <w:marTop w:val="0"/>
              <w:marBottom w:val="0"/>
              <w:divBdr>
                <w:top w:val="none" w:sz="0" w:space="0" w:color="auto"/>
                <w:left w:val="none" w:sz="0" w:space="0" w:color="auto"/>
                <w:bottom w:val="none" w:sz="0" w:space="0" w:color="auto"/>
                <w:right w:val="none" w:sz="0" w:space="0" w:color="auto"/>
              </w:divBdr>
            </w:div>
            <w:div w:id="1585332984">
              <w:marLeft w:val="0"/>
              <w:marRight w:val="0"/>
              <w:marTop w:val="0"/>
              <w:marBottom w:val="0"/>
              <w:divBdr>
                <w:top w:val="none" w:sz="0" w:space="0" w:color="auto"/>
                <w:left w:val="none" w:sz="0" w:space="0" w:color="auto"/>
                <w:bottom w:val="none" w:sz="0" w:space="0" w:color="auto"/>
                <w:right w:val="none" w:sz="0" w:space="0" w:color="auto"/>
              </w:divBdr>
            </w:div>
            <w:div w:id="1625387482">
              <w:marLeft w:val="0"/>
              <w:marRight w:val="0"/>
              <w:marTop w:val="0"/>
              <w:marBottom w:val="0"/>
              <w:divBdr>
                <w:top w:val="none" w:sz="0" w:space="0" w:color="auto"/>
                <w:left w:val="none" w:sz="0" w:space="0" w:color="auto"/>
                <w:bottom w:val="none" w:sz="0" w:space="0" w:color="auto"/>
                <w:right w:val="none" w:sz="0" w:space="0" w:color="auto"/>
              </w:divBdr>
            </w:div>
            <w:div w:id="1721906403">
              <w:marLeft w:val="0"/>
              <w:marRight w:val="0"/>
              <w:marTop w:val="0"/>
              <w:marBottom w:val="0"/>
              <w:divBdr>
                <w:top w:val="none" w:sz="0" w:space="0" w:color="auto"/>
                <w:left w:val="none" w:sz="0" w:space="0" w:color="auto"/>
                <w:bottom w:val="none" w:sz="0" w:space="0" w:color="auto"/>
                <w:right w:val="none" w:sz="0" w:space="0" w:color="auto"/>
              </w:divBdr>
            </w:div>
            <w:div w:id="1776246708">
              <w:marLeft w:val="0"/>
              <w:marRight w:val="0"/>
              <w:marTop w:val="0"/>
              <w:marBottom w:val="0"/>
              <w:divBdr>
                <w:top w:val="none" w:sz="0" w:space="0" w:color="auto"/>
                <w:left w:val="none" w:sz="0" w:space="0" w:color="auto"/>
                <w:bottom w:val="none" w:sz="0" w:space="0" w:color="auto"/>
                <w:right w:val="none" w:sz="0" w:space="0" w:color="auto"/>
              </w:divBdr>
            </w:div>
            <w:div w:id="1822652303">
              <w:marLeft w:val="0"/>
              <w:marRight w:val="0"/>
              <w:marTop w:val="0"/>
              <w:marBottom w:val="0"/>
              <w:divBdr>
                <w:top w:val="none" w:sz="0" w:space="0" w:color="auto"/>
                <w:left w:val="none" w:sz="0" w:space="0" w:color="auto"/>
                <w:bottom w:val="none" w:sz="0" w:space="0" w:color="auto"/>
                <w:right w:val="none" w:sz="0" w:space="0" w:color="auto"/>
              </w:divBdr>
            </w:div>
            <w:div w:id="2109157857">
              <w:marLeft w:val="0"/>
              <w:marRight w:val="0"/>
              <w:marTop w:val="0"/>
              <w:marBottom w:val="0"/>
              <w:divBdr>
                <w:top w:val="none" w:sz="0" w:space="0" w:color="auto"/>
                <w:left w:val="none" w:sz="0" w:space="0" w:color="auto"/>
                <w:bottom w:val="none" w:sz="0" w:space="0" w:color="auto"/>
                <w:right w:val="none" w:sz="0" w:space="0" w:color="auto"/>
              </w:divBdr>
            </w:div>
          </w:divsChild>
        </w:div>
        <w:div w:id="1698313248">
          <w:marLeft w:val="0"/>
          <w:marRight w:val="0"/>
          <w:marTop w:val="0"/>
          <w:marBottom w:val="0"/>
          <w:divBdr>
            <w:top w:val="none" w:sz="0" w:space="0" w:color="auto"/>
            <w:left w:val="none" w:sz="0" w:space="0" w:color="auto"/>
            <w:bottom w:val="none" w:sz="0" w:space="0" w:color="auto"/>
            <w:right w:val="none" w:sz="0" w:space="0" w:color="auto"/>
          </w:divBdr>
        </w:div>
        <w:div w:id="1708723390">
          <w:marLeft w:val="0"/>
          <w:marRight w:val="0"/>
          <w:marTop w:val="0"/>
          <w:marBottom w:val="0"/>
          <w:divBdr>
            <w:top w:val="none" w:sz="0" w:space="0" w:color="auto"/>
            <w:left w:val="none" w:sz="0" w:space="0" w:color="auto"/>
            <w:bottom w:val="none" w:sz="0" w:space="0" w:color="auto"/>
            <w:right w:val="none" w:sz="0" w:space="0" w:color="auto"/>
          </w:divBdr>
        </w:div>
        <w:div w:id="1796631478">
          <w:marLeft w:val="0"/>
          <w:marRight w:val="0"/>
          <w:marTop w:val="0"/>
          <w:marBottom w:val="0"/>
          <w:divBdr>
            <w:top w:val="none" w:sz="0" w:space="0" w:color="auto"/>
            <w:left w:val="none" w:sz="0" w:space="0" w:color="auto"/>
            <w:bottom w:val="none" w:sz="0" w:space="0" w:color="auto"/>
            <w:right w:val="none" w:sz="0" w:space="0" w:color="auto"/>
          </w:divBdr>
        </w:div>
        <w:div w:id="1807626702">
          <w:marLeft w:val="0"/>
          <w:marRight w:val="0"/>
          <w:marTop w:val="0"/>
          <w:marBottom w:val="0"/>
          <w:divBdr>
            <w:top w:val="none" w:sz="0" w:space="0" w:color="auto"/>
            <w:left w:val="none" w:sz="0" w:space="0" w:color="auto"/>
            <w:bottom w:val="none" w:sz="0" w:space="0" w:color="auto"/>
            <w:right w:val="none" w:sz="0" w:space="0" w:color="auto"/>
          </w:divBdr>
        </w:div>
        <w:div w:id="1813478006">
          <w:marLeft w:val="0"/>
          <w:marRight w:val="0"/>
          <w:marTop w:val="0"/>
          <w:marBottom w:val="0"/>
          <w:divBdr>
            <w:top w:val="none" w:sz="0" w:space="0" w:color="auto"/>
            <w:left w:val="none" w:sz="0" w:space="0" w:color="auto"/>
            <w:bottom w:val="none" w:sz="0" w:space="0" w:color="auto"/>
            <w:right w:val="none" w:sz="0" w:space="0" w:color="auto"/>
          </w:divBdr>
        </w:div>
        <w:div w:id="1816022381">
          <w:marLeft w:val="0"/>
          <w:marRight w:val="0"/>
          <w:marTop w:val="0"/>
          <w:marBottom w:val="0"/>
          <w:divBdr>
            <w:top w:val="none" w:sz="0" w:space="0" w:color="auto"/>
            <w:left w:val="none" w:sz="0" w:space="0" w:color="auto"/>
            <w:bottom w:val="none" w:sz="0" w:space="0" w:color="auto"/>
            <w:right w:val="none" w:sz="0" w:space="0" w:color="auto"/>
          </w:divBdr>
        </w:div>
        <w:div w:id="1819103589">
          <w:marLeft w:val="0"/>
          <w:marRight w:val="0"/>
          <w:marTop w:val="0"/>
          <w:marBottom w:val="0"/>
          <w:divBdr>
            <w:top w:val="none" w:sz="0" w:space="0" w:color="auto"/>
            <w:left w:val="none" w:sz="0" w:space="0" w:color="auto"/>
            <w:bottom w:val="none" w:sz="0" w:space="0" w:color="auto"/>
            <w:right w:val="none" w:sz="0" w:space="0" w:color="auto"/>
          </w:divBdr>
        </w:div>
        <w:div w:id="1896433364">
          <w:marLeft w:val="0"/>
          <w:marRight w:val="0"/>
          <w:marTop w:val="0"/>
          <w:marBottom w:val="0"/>
          <w:divBdr>
            <w:top w:val="none" w:sz="0" w:space="0" w:color="auto"/>
            <w:left w:val="none" w:sz="0" w:space="0" w:color="auto"/>
            <w:bottom w:val="none" w:sz="0" w:space="0" w:color="auto"/>
            <w:right w:val="none" w:sz="0" w:space="0" w:color="auto"/>
          </w:divBdr>
        </w:div>
        <w:div w:id="1902331161">
          <w:marLeft w:val="0"/>
          <w:marRight w:val="0"/>
          <w:marTop w:val="0"/>
          <w:marBottom w:val="0"/>
          <w:divBdr>
            <w:top w:val="none" w:sz="0" w:space="0" w:color="auto"/>
            <w:left w:val="none" w:sz="0" w:space="0" w:color="auto"/>
            <w:bottom w:val="none" w:sz="0" w:space="0" w:color="auto"/>
            <w:right w:val="none" w:sz="0" w:space="0" w:color="auto"/>
          </w:divBdr>
        </w:div>
        <w:div w:id="1902786423">
          <w:marLeft w:val="0"/>
          <w:marRight w:val="0"/>
          <w:marTop w:val="0"/>
          <w:marBottom w:val="0"/>
          <w:divBdr>
            <w:top w:val="none" w:sz="0" w:space="0" w:color="auto"/>
            <w:left w:val="none" w:sz="0" w:space="0" w:color="auto"/>
            <w:bottom w:val="none" w:sz="0" w:space="0" w:color="auto"/>
            <w:right w:val="none" w:sz="0" w:space="0" w:color="auto"/>
          </w:divBdr>
          <w:divsChild>
            <w:div w:id="57365254">
              <w:marLeft w:val="0"/>
              <w:marRight w:val="0"/>
              <w:marTop w:val="0"/>
              <w:marBottom w:val="0"/>
              <w:divBdr>
                <w:top w:val="none" w:sz="0" w:space="0" w:color="auto"/>
                <w:left w:val="none" w:sz="0" w:space="0" w:color="auto"/>
                <w:bottom w:val="none" w:sz="0" w:space="0" w:color="auto"/>
                <w:right w:val="none" w:sz="0" w:space="0" w:color="auto"/>
              </w:divBdr>
            </w:div>
            <w:div w:id="122312818">
              <w:marLeft w:val="0"/>
              <w:marRight w:val="0"/>
              <w:marTop w:val="0"/>
              <w:marBottom w:val="0"/>
              <w:divBdr>
                <w:top w:val="none" w:sz="0" w:space="0" w:color="auto"/>
                <w:left w:val="none" w:sz="0" w:space="0" w:color="auto"/>
                <w:bottom w:val="none" w:sz="0" w:space="0" w:color="auto"/>
                <w:right w:val="none" w:sz="0" w:space="0" w:color="auto"/>
              </w:divBdr>
            </w:div>
            <w:div w:id="448014891">
              <w:marLeft w:val="0"/>
              <w:marRight w:val="0"/>
              <w:marTop w:val="0"/>
              <w:marBottom w:val="0"/>
              <w:divBdr>
                <w:top w:val="none" w:sz="0" w:space="0" w:color="auto"/>
                <w:left w:val="none" w:sz="0" w:space="0" w:color="auto"/>
                <w:bottom w:val="none" w:sz="0" w:space="0" w:color="auto"/>
                <w:right w:val="none" w:sz="0" w:space="0" w:color="auto"/>
              </w:divBdr>
            </w:div>
            <w:div w:id="490945102">
              <w:marLeft w:val="0"/>
              <w:marRight w:val="0"/>
              <w:marTop w:val="0"/>
              <w:marBottom w:val="0"/>
              <w:divBdr>
                <w:top w:val="none" w:sz="0" w:space="0" w:color="auto"/>
                <w:left w:val="none" w:sz="0" w:space="0" w:color="auto"/>
                <w:bottom w:val="none" w:sz="0" w:space="0" w:color="auto"/>
                <w:right w:val="none" w:sz="0" w:space="0" w:color="auto"/>
              </w:divBdr>
            </w:div>
            <w:div w:id="600722926">
              <w:marLeft w:val="0"/>
              <w:marRight w:val="0"/>
              <w:marTop w:val="0"/>
              <w:marBottom w:val="0"/>
              <w:divBdr>
                <w:top w:val="none" w:sz="0" w:space="0" w:color="auto"/>
                <w:left w:val="none" w:sz="0" w:space="0" w:color="auto"/>
                <w:bottom w:val="none" w:sz="0" w:space="0" w:color="auto"/>
                <w:right w:val="none" w:sz="0" w:space="0" w:color="auto"/>
              </w:divBdr>
            </w:div>
            <w:div w:id="910850422">
              <w:marLeft w:val="0"/>
              <w:marRight w:val="0"/>
              <w:marTop w:val="0"/>
              <w:marBottom w:val="0"/>
              <w:divBdr>
                <w:top w:val="none" w:sz="0" w:space="0" w:color="auto"/>
                <w:left w:val="none" w:sz="0" w:space="0" w:color="auto"/>
                <w:bottom w:val="none" w:sz="0" w:space="0" w:color="auto"/>
                <w:right w:val="none" w:sz="0" w:space="0" w:color="auto"/>
              </w:divBdr>
            </w:div>
            <w:div w:id="1014460053">
              <w:marLeft w:val="0"/>
              <w:marRight w:val="0"/>
              <w:marTop w:val="0"/>
              <w:marBottom w:val="0"/>
              <w:divBdr>
                <w:top w:val="none" w:sz="0" w:space="0" w:color="auto"/>
                <w:left w:val="none" w:sz="0" w:space="0" w:color="auto"/>
                <w:bottom w:val="none" w:sz="0" w:space="0" w:color="auto"/>
                <w:right w:val="none" w:sz="0" w:space="0" w:color="auto"/>
              </w:divBdr>
            </w:div>
            <w:div w:id="1062368560">
              <w:marLeft w:val="0"/>
              <w:marRight w:val="0"/>
              <w:marTop w:val="0"/>
              <w:marBottom w:val="0"/>
              <w:divBdr>
                <w:top w:val="none" w:sz="0" w:space="0" w:color="auto"/>
                <w:left w:val="none" w:sz="0" w:space="0" w:color="auto"/>
                <w:bottom w:val="none" w:sz="0" w:space="0" w:color="auto"/>
                <w:right w:val="none" w:sz="0" w:space="0" w:color="auto"/>
              </w:divBdr>
            </w:div>
            <w:div w:id="1126923070">
              <w:marLeft w:val="0"/>
              <w:marRight w:val="0"/>
              <w:marTop w:val="0"/>
              <w:marBottom w:val="0"/>
              <w:divBdr>
                <w:top w:val="none" w:sz="0" w:space="0" w:color="auto"/>
                <w:left w:val="none" w:sz="0" w:space="0" w:color="auto"/>
                <w:bottom w:val="none" w:sz="0" w:space="0" w:color="auto"/>
                <w:right w:val="none" w:sz="0" w:space="0" w:color="auto"/>
              </w:divBdr>
            </w:div>
            <w:div w:id="1187211480">
              <w:marLeft w:val="0"/>
              <w:marRight w:val="0"/>
              <w:marTop w:val="0"/>
              <w:marBottom w:val="0"/>
              <w:divBdr>
                <w:top w:val="none" w:sz="0" w:space="0" w:color="auto"/>
                <w:left w:val="none" w:sz="0" w:space="0" w:color="auto"/>
                <w:bottom w:val="none" w:sz="0" w:space="0" w:color="auto"/>
                <w:right w:val="none" w:sz="0" w:space="0" w:color="auto"/>
              </w:divBdr>
            </w:div>
            <w:div w:id="1263535953">
              <w:marLeft w:val="0"/>
              <w:marRight w:val="0"/>
              <w:marTop w:val="0"/>
              <w:marBottom w:val="0"/>
              <w:divBdr>
                <w:top w:val="none" w:sz="0" w:space="0" w:color="auto"/>
                <w:left w:val="none" w:sz="0" w:space="0" w:color="auto"/>
                <w:bottom w:val="none" w:sz="0" w:space="0" w:color="auto"/>
                <w:right w:val="none" w:sz="0" w:space="0" w:color="auto"/>
              </w:divBdr>
            </w:div>
            <w:div w:id="1277716391">
              <w:marLeft w:val="0"/>
              <w:marRight w:val="0"/>
              <w:marTop w:val="0"/>
              <w:marBottom w:val="0"/>
              <w:divBdr>
                <w:top w:val="none" w:sz="0" w:space="0" w:color="auto"/>
                <w:left w:val="none" w:sz="0" w:space="0" w:color="auto"/>
                <w:bottom w:val="none" w:sz="0" w:space="0" w:color="auto"/>
                <w:right w:val="none" w:sz="0" w:space="0" w:color="auto"/>
              </w:divBdr>
            </w:div>
            <w:div w:id="1281377001">
              <w:marLeft w:val="0"/>
              <w:marRight w:val="0"/>
              <w:marTop w:val="0"/>
              <w:marBottom w:val="0"/>
              <w:divBdr>
                <w:top w:val="none" w:sz="0" w:space="0" w:color="auto"/>
                <w:left w:val="none" w:sz="0" w:space="0" w:color="auto"/>
                <w:bottom w:val="none" w:sz="0" w:space="0" w:color="auto"/>
                <w:right w:val="none" w:sz="0" w:space="0" w:color="auto"/>
              </w:divBdr>
            </w:div>
            <w:div w:id="1501896181">
              <w:marLeft w:val="0"/>
              <w:marRight w:val="0"/>
              <w:marTop w:val="0"/>
              <w:marBottom w:val="0"/>
              <w:divBdr>
                <w:top w:val="none" w:sz="0" w:space="0" w:color="auto"/>
                <w:left w:val="none" w:sz="0" w:space="0" w:color="auto"/>
                <w:bottom w:val="none" w:sz="0" w:space="0" w:color="auto"/>
                <w:right w:val="none" w:sz="0" w:space="0" w:color="auto"/>
              </w:divBdr>
            </w:div>
            <w:div w:id="1660110294">
              <w:marLeft w:val="0"/>
              <w:marRight w:val="0"/>
              <w:marTop w:val="0"/>
              <w:marBottom w:val="0"/>
              <w:divBdr>
                <w:top w:val="none" w:sz="0" w:space="0" w:color="auto"/>
                <w:left w:val="none" w:sz="0" w:space="0" w:color="auto"/>
                <w:bottom w:val="none" w:sz="0" w:space="0" w:color="auto"/>
                <w:right w:val="none" w:sz="0" w:space="0" w:color="auto"/>
              </w:divBdr>
            </w:div>
            <w:div w:id="1782871711">
              <w:marLeft w:val="0"/>
              <w:marRight w:val="0"/>
              <w:marTop w:val="0"/>
              <w:marBottom w:val="0"/>
              <w:divBdr>
                <w:top w:val="none" w:sz="0" w:space="0" w:color="auto"/>
                <w:left w:val="none" w:sz="0" w:space="0" w:color="auto"/>
                <w:bottom w:val="none" w:sz="0" w:space="0" w:color="auto"/>
                <w:right w:val="none" w:sz="0" w:space="0" w:color="auto"/>
              </w:divBdr>
            </w:div>
            <w:div w:id="1799452927">
              <w:marLeft w:val="0"/>
              <w:marRight w:val="0"/>
              <w:marTop w:val="0"/>
              <w:marBottom w:val="0"/>
              <w:divBdr>
                <w:top w:val="none" w:sz="0" w:space="0" w:color="auto"/>
                <w:left w:val="none" w:sz="0" w:space="0" w:color="auto"/>
                <w:bottom w:val="none" w:sz="0" w:space="0" w:color="auto"/>
                <w:right w:val="none" w:sz="0" w:space="0" w:color="auto"/>
              </w:divBdr>
            </w:div>
            <w:div w:id="1836337609">
              <w:marLeft w:val="0"/>
              <w:marRight w:val="0"/>
              <w:marTop w:val="0"/>
              <w:marBottom w:val="0"/>
              <w:divBdr>
                <w:top w:val="none" w:sz="0" w:space="0" w:color="auto"/>
                <w:left w:val="none" w:sz="0" w:space="0" w:color="auto"/>
                <w:bottom w:val="none" w:sz="0" w:space="0" w:color="auto"/>
                <w:right w:val="none" w:sz="0" w:space="0" w:color="auto"/>
              </w:divBdr>
            </w:div>
            <w:div w:id="1839152596">
              <w:marLeft w:val="0"/>
              <w:marRight w:val="0"/>
              <w:marTop w:val="0"/>
              <w:marBottom w:val="0"/>
              <w:divBdr>
                <w:top w:val="none" w:sz="0" w:space="0" w:color="auto"/>
                <w:left w:val="none" w:sz="0" w:space="0" w:color="auto"/>
                <w:bottom w:val="none" w:sz="0" w:space="0" w:color="auto"/>
                <w:right w:val="none" w:sz="0" w:space="0" w:color="auto"/>
              </w:divBdr>
            </w:div>
            <w:div w:id="2050521934">
              <w:marLeft w:val="0"/>
              <w:marRight w:val="0"/>
              <w:marTop w:val="0"/>
              <w:marBottom w:val="0"/>
              <w:divBdr>
                <w:top w:val="none" w:sz="0" w:space="0" w:color="auto"/>
                <w:left w:val="none" w:sz="0" w:space="0" w:color="auto"/>
                <w:bottom w:val="none" w:sz="0" w:space="0" w:color="auto"/>
                <w:right w:val="none" w:sz="0" w:space="0" w:color="auto"/>
              </w:divBdr>
            </w:div>
          </w:divsChild>
        </w:div>
        <w:div w:id="1915620696">
          <w:marLeft w:val="0"/>
          <w:marRight w:val="0"/>
          <w:marTop w:val="0"/>
          <w:marBottom w:val="0"/>
          <w:divBdr>
            <w:top w:val="none" w:sz="0" w:space="0" w:color="auto"/>
            <w:left w:val="none" w:sz="0" w:space="0" w:color="auto"/>
            <w:bottom w:val="none" w:sz="0" w:space="0" w:color="auto"/>
            <w:right w:val="none" w:sz="0" w:space="0" w:color="auto"/>
          </w:divBdr>
        </w:div>
        <w:div w:id="1917394499">
          <w:marLeft w:val="0"/>
          <w:marRight w:val="0"/>
          <w:marTop w:val="0"/>
          <w:marBottom w:val="0"/>
          <w:divBdr>
            <w:top w:val="none" w:sz="0" w:space="0" w:color="auto"/>
            <w:left w:val="none" w:sz="0" w:space="0" w:color="auto"/>
            <w:bottom w:val="none" w:sz="0" w:space="0" w:color="auto"/>
            <w:right w:val="none" w:sz="0" w:space="0" w:color="auto"/>
          </w:divBdr>
        </w:div>
        <w:div w:id="1921089234">
          <w:marLeft w:val="0"/>
          <w:marRight w:val="0"/>
          <w:marTop w:val="0"/>
          <w:marBottom w:val="0"/>
          <w:divBdr>
            <w:top w:val="none" w:sz="0" w:space="0" w:color="auto"/>
            <w:left w:val="none" w:sz="0" w:space="0" w:color="auto"/>
            <w:bottom w:val="none" w:sz="0" w:space="0" w:color="auto"/>
            <w:right w:val="none" w:sz="0" w:space="0" w:color="auto"/>
          </w:divBdr>
        </w:div>
        <w:div w:id="2036955867">
          <w:marLeft w:val="0"/>
          <w:marRight w:val="0"/>
          <w:marTop w:val="0"/>
          <w:marBottom w:val="0"/>
          <w:divBdr>
            <w:top w:val="none" w:sz="0" w:space="0" w:color="auto"/>
            <w:left w:val="none" w:sz="0" w:space="0" w:color="auto"/>
            <w:bottom w:val="none" w:sz="0" w:space="0" w:color="auto"/>
            <w:right w:val="none" w:sz="0" w:space="0" w:color="auto"/>
          </w:divBdr>
        </w:div>
        <w:div w:id="2059472787">
          <w:marLeft w:val="0"/>
          <w:marRight w:val="0"/>
          <w:marTop w:val="0"/>
          <w:marBottom w:val="0"/>
          <w:divBdr>
            <w:top w:val="none" w:sz="0" w:space="0" w:color="auto"/>
            <w:left w:val="none" w:sz="0" w:space="0" w:color="auto"/>
            <w:bottom w:val="none" w:sz="0" w:space="0" w:color="auto"/>
            <w:right w:val="none" w:sz="0" w:space="0" w:color="auto"/>
          </w:divBdr>
        </w:div>
        <w:div w:id="2063096983">
          <w:marLeft w:val="0"/>
          <w:marRight w:val="0"/>
          <w:marTop w:val="0"/>
          <w:marBottom w:val="0"/>
          <w:divBdr>
            <w:top w:val="none" w:sz="0" w:space="0" w:color="auto"/>
            <w:left w:val="none" w:sz="0" w:space="0" w:color="auto"/>
            <w:bottom w:val="none" w:sz="0" w:space="0" w:color="auto"/>
            <w:right w:val="none" w:sz="0" w:space="0" w:color="auto"/>
          </w:divBdr>
        </w:div>
        <w:div w:id="2064017885">
          <w:marLeft w:val="0"/>
          <w:marRight w:val="0"/>
          <w:marTop w:val="0"/>
          <w:marBottom w:val="0"/>
          <w:divBdr>
            <w:top w:val="none" w:sz="0" w:space="0" w:color="auto"/>
            <w:left w:val="none" w:sz="0" w:space="0" w:color="auto"/>
            <w:bottom w:val="none" w:sz="0" w:space="0" w:color="auto"/>
            <w:right w:val="none" w:sz="0" w:space="0" w:color="auto"/>
          </w:divBdr>
        </w:div>
        <w:div w:id="2106880794">
          <w:marLeft w:val="0"/>
          <w:marRight w:val="0"/>
          <w:marTop w:val="0"/>
          <w:marBottom w:val="0"/>
          <w:divBdr>
            <w:top w:val="none" w:sz="0" w:space="0" w:color="auto"/>
            <w:left w:val="none" w:sz="0" w:space="0" w:color="auto"/>
            <w:bottom w:val="none" w:sz="0" w:space="0" w:color="auto"/>
            <w:right w:val="none" w:sz="0" w:space="0" w:color="auto"/>
          </w:divBdr>
        </w:div>
        <w:div w:id="2139906692">
          <w:marLeft w:val="0"/>
          <w:marRight w:val="0"/>
          <w:marTop w:val="0"/>
          <w:marBottom w:val="0"/>
          <w:divBdr>
            <w:top w:val="none" w:sz="0" w:space="0" w:color="auto"/>
            <w:left w:val="none" w:sz="0" w:space="0" w:color="auto"/>
            <w:bottom w:val="none" w:sz="0" w:space="0" w:color="auto"/>
            <w:right w:val="none" w:sz="0" w:space="0" w:color="auto"/>
          </w:divBdr>
        </w:div>
      </w:divsChild>
    </w:div>
    <w:div w:id="1391608283">
      <w:bodyDiv w:val="1"/>
      <w:marLeft w:val="0"/>
      <w:marRight w:val="0"/>
      <w:marTop w:val="0"/>
      <w:marBottom w:val="0"/>
      <w:divBdr>
        <w:top w:val="none" w:sz="0" w:space="0" w:color="auto"/>
        <w:left w:val="none" w:sz="0" w:space="0" w:color="auto"/>
        <w:bottom w:val="none" w:sz="0" w:space="0" w:color="auto"/>
        <w:right w:val="none" w:sz="0" w:space="0" w:color="auto"/>
      </w:divBdr>
      <w:divsChild>
        <w:div w:id="459808038">
          <w:marLeft w:val="0"/>
          <w:marRight w:val="0"/>
          <w:marTop w:val="0"/>
          <w:marBottom w:val="0"/>
          <w:divBdr>
            <w:top w:val="none" w:sz="0" w:space="0" w:color="auto"/>
            <w:left w:val="none" w:sz="0" w:space="0" w:color="auto"/>
            <w:bottom w:val="none" w:sz="0" w:space="0" w:color="auto"/>
            <w:right w:val="none" w:sz="0" w:space="0" w:color="auto"/>
          </w:divBdr>
        </w:div>
        <w:div w:id="1009405280">
          <w:marLeft w:val="0"/>
          <w:marRight w:val="0"/>
          <w:marTop w:val="0"/>
          <w:marBottom w:val="0"/>
          <w:divBdr>
            <w:top w:val="none" w:sz="0" w:space="0" w:color="auto"/>
            <w:left w:val="none" w:sz="0" w:space="0" w:color="auto"/>
            <w:bottom w:val="none" w:sz="0" w:space="0" w:color="auto"/>
            <w:right w:val="none" w:sz="0" w:space="0" w:color="auto"/>
          </w:divBdr>
        </w:div>
        <w:div w:id="1801486036">
          <w:marLeft w:val="0"/>
          <w:marRight w:val="0"/>
          <w:marTop w:val="0"/>
          <w:marBottom w:val="0"/>
          <w:divBdr>
            <w:top w:val="none" w:sz="0" w:space="0" w:color="auto"/>
            <w:left w:val="none" w:sz="0" w:space="0" w:color="auto"/>
            <w:bottom w:val="none" w:sz="0" w:space="0" w:color="auto"/>
            <w:right w:val="none" w:sz="0" w:space="0" w:color="auto"/>
          </w:divBdr>
        </w:div>
        <w:div w:id="1956519457">
          <w:marLeft w:val="0"/>
          <w:marRight w:val="0"/>
          <w:marTop w:val="0"/>
          <w:marBottom w:val="0"/>
          <w:divBdr>
            <w:top w:val="none" w:sz="0" w:space="0" w:color="auto"/>
            <w:left w:val="none" w:sz="0" w:space="0" w:color="auto"/>
            <w:bottom w:val="none" w:sz="0" w:space="0" w:color="auto"/>
            <w:right w:val="none" w:sz="0" w:space="0" w:color="auto"/>
          </w:divBdr>
        </w:div>
        <w:div w:id="1972469416">
          <w:marLeft w:val="0"/>
          <w:marRight w:val="0"/>
          <w:marTop w:val="0"/>
          <w:marBottom w:val="0"/>
          <w:divBdr>
            <w:top w:val="none" w:sz="0" w:space="0" w:color="auto"/>
            <w:left w:val="none" w:sz="0" w:space="0" w:color="auto"/>
            <w:bottom w:val="none" w:sz="0" w:space="0" w:color="auto"/>
            <w:right w:val="none" w:sz="0" w:space="0" w:color="auto"/>
          </w:divBdr>
        </w:div>
      </w:divsChild>
    </w:div>
    <w:div w:id="1454516643">
      <w:bodyDiv w:val="1"/>
      <w:marLeft w:val="0"/>
      <w:marRight w:val="0"/>
      <w:marTop w:val="0"/>
      <w:marBottom w:val="0"/>
      <w:divBdr>
        <w:top w:val="none" w:sz="0" w:space="0" w:color="auto"/>
        <w:left w:val="none" w:sz="0" w:space="0" w:color="auto"/>
        <w:bottom w:val="none" w:sz="0" w:space="0" w:color="auto"/>
        <w:right w:val="none" w:sz="0" w:space="0" w:color="auto"/>
      </w:divBdr>
      <w:divsChild>
        <w:div w:id="193620246">
          <w:marLeft w:val="0"/>
          <w:marRight w:val="0"/>
          <w:marTop w:val="0"/>
          <w:marBottom w:val="0"/>
          <w:divBdr>
            <w:top w:val="none" w:sz="0" w:space="0" w:color="auto"/>
            <w:left w:val="none" w:sz="0" w:space="0" w:color="auto"/>
            <w:bottom w:val="none" w:sz="0" w:space="0" w:color="auto"/>
            <w:right w:val="none" w:sz="0" w:space="0" w:color="auto"/>
          </w:divBdr>
          <w:divsChild>
            <w:div w:id="202596283">
              <w:marLeft w:val="0"/>
              <w:marRight w:val="0"/>
              <w:marTop w:val="0"/>
              <w:marBottom w:val="0"/>
              <w:divBdr>
                <w:top w:val="none" w:sz="0" w:space="0" w:color="auto"/>
                <w:left w:val="none" w:sz="0" w:space="0" w:color="auto"/>
                <w:bottom w:val="none" w:sz="0" w:space="0" w:color="auto"/>
                <w:right w:val="none" w:sz="0" w:space="0" w:color="auto"/>
              </w:divBdr>
            </w:div>
            <w:div w:id="515509807">
              <w:marLeft w:val="0"/>
              <w:marRight w:val="0"/>
              <w:marTop w:val="0"/>
              <w:marBottom w:val="0"/>
              <w:divBdr>
                <w:top w:val="none" w:sz="0" w:space="0" w:color="auto"/>
                <w:left w:val="none" w:sz="0" w:space="0" w:color="auto"/>
                <w:bottom w:val="none" w:sz="0" w:space="0" w:color="auto"/>
                <w:right w:val="none" w:sz="0" w:space="0" w:color="auto"/>
              </w:divBdr>
            </w:div>
            <w:div w:id="565073939">
              <w:marLeft w:val="0"/>
              <w:marRight w:val="0"/>
              <w:marTop w:val="0"/>
              <w:marBottom w:val="0"/>
              <w:divBdr>
                <w:top w:val="none" w:sz="0" w:space="0" w:color="auto"/>
                <w:left w:val="none" w:sz="0" w:space="0" w:color="auto"/>
                <w:bottom w:val="none" w:sz="0" w:space="0" w:color="auto"/>
                <w:right w:val="none" w:sz="0" w:space="0" w:color="auto"/>
              </w:divBdr>
            </w:div>
            <w:div w:id="621691282">
              <w:marLeft w:val="0"/>
              <w:marRight w:val="0"/>
              <w:marTop w:val="0"/>
              <w:marBottom w:val="0"/>
              <w:divBdr>
                <w:top w:val="none" w:sz="0" w:space="0" w:color="auto"/>
                <w:left w:val="none" w:sz="0" w:space="0" w:color="auto"/>
                <w:bottom w:val="none" w:sz="0" w:space="0" w:color="auto"/>
                <w:right w:val="none" w:sz="0" w:space="0" w:color="auto"/>
              </w:divBdr>
            </w:div>
            <w:div w:id="643001148">
              <w:marLeft w:val="0"/>
              <w:marRight w:val="0"/>
              <w:marTop w:val="0"/>
              <w:marBottom w:val="0"/>
              <w:divBdr>
                <w:top w:val="none" w:sz="0" w:space="0" w:color="auto"/>
                <w:left w:val="none" w:sz="0" w:space="0" w:color="auto"/>
                <w:bottom w:val="none" w:sz="0" w:space="0" w:color="auto"/>
                <w:right w:val="none" w:sz="0" w:space="0" w:color="auto"/>
              </w:divBdr>
            </w:div>
            <w:div w:id="777142011">
              <w:marLeft w:val="0"/>
              <w:marRight w:val="0"/>
              <w:marTop w:val="0"/>
              <w:marBottom w:val="0"/>
              <w:divBdr>
                <w:top w:val="none" w:sz="0" w:space="0" w:color="auto"/>
                <w:left w:val="none" w:sz="0" w:space="0" w:color="auto"/>
                <w:bottom w:val="none" w:sz="0" w:space="0" w:color="auto"/>
                <w:right w:val="none" w:sz="0" w:space="0" w:color="auto"/>
              </w:divBdr>
            </w:div>
            <w:div w:id="899436763">
              <w:marLeft w:val="0"/>
              <w:marRight w:val="0"/>
              <w:marTop w:val="0"/>
              <w:marBottom w:val="0"/>
              <w:divBdr>
                <w:top w:val="none" w:sz="0" w:space="0" w:color="auto"/>
                <w:left w:val="none" w:sz="0" w:space="0" w:color="auto"/>
                <w:bottom w:val="none" w:sz="0" w:space="0" w:color="auto"/>
                <w:right w:val="none" w:sz="0" w:space="0" w:color="auto"/>
              </w:divBdr>
            </w:div>
            <w:div w:id="989790673">
              <w:marLeft w:val="0"/>
              <w:marRight w:val="0"/>
              <w:marTop w:val="0"/>
              <w:marBottom w:val="0"/>
              <w:divBdr>
                <w:top w:val="none" w:sz="0" w:space="0" w:color="auto"/>
                <w:left w:val="none" w:sz="0" w:space="0" w:color="auto"/>
                <w:bottom w:val="none" w:sz="0" w:space="0" w:color="auto"/>
                <w:right w:val="none" w:sz="0" w:space="0" w:color="auto"/>
              </w:divBdr>
            </w:div>
            <w:div w:id="1018846697">
              <w:marLeft w:val="0"/>
              <w:marRight w:val="0"/>
              <w:marTop w:val="0"/>
              <w:marBottom w:val="0"/>
              <w:divBdr>
                <w:top w:val="none" w:sz="0" w:space="0" w:color="auto"/>
                <w:left w:val="none" w:sz="0" w:space="0" w:color="auto"/>
                <w:bottom w:val="none" w:sz="0" w:space="0" w:color="auto"/>
                <w:right w:val="none" w:sz="0" w:space="0" w:color="auto"/>
              </w:divBdr>
            </w:div>
            <w:div w:id="1034888185">
              <w:marLeft w:val="0"/>
              <w:marRight w:val="0"/>
              <w:marTop w:val="0"/>
              <w:marBottom w:val="0"/>
              <w:divBdr>
                <w:top w:val="none" w:sz="0" w:space="0" w:color="auto"/>
                <w:left w:val="none" w:sz="0" w:space="0" w:color="auto"/>
                <w:bottom w:val="none" w:sz="0" w:space="0" w:color="auto"/>
                <w:right w:val="none" w:sz="0" w:space="0" w:color="auto"/>
              </w:divBdr>
            </w:div>
            <w:div w:id="1082065095">
              <w:marLeft w:val="0"/>
              <w:marRight w:val="0"/>
              <w:marTop w:val="0"/>
              <w:marBottom w:val="0"/>
              <w:divBdr>
                <w:top w:val="none" w:sz="0" w:space="0" w:color="auto"/>
                <w:left w:val="none" w:sz="0" w:space="0" w:color="auto"/>
                <w:bottom w:val="none" w:sz="0" w:space="0" w:color="auto"/>
                <w:right w:val="none" w:sz="0" w:space="0" w:color="auto"/>
              </w:divBdr>
            </w:div>
            <w:div w:id="1196234481">
              <w:marLeft w:val="0"/>
              <w:marRight w:val="0"/>
              <w:marTop w:val="0"/>
              <w:marBottom w:val="0"/>
              <w:divBdr>
                <w:top w:val="none" w:sz="0" w:space="0" w:color="auto"/>
                <w:left w:val="none" w:sz="0" w:space="0" w:color="auto"/>
                <w:bottom w:val="none" w:sz="0" w:space="0" w:color="auto"/>
                <w:right w:val="none" w:sz="0" w:space="0" w:color="auto"/>
              </w:divBdr>
            </w:div>
            <w:div w:id="1298298300">
              <w:marLeft w:val="0"/>
              <w:marRight w:val="0"/>
              <w:marTop w:val="0"/>
              <w:marBottom w:val="0"/>
              <w:divBdr>
                <w:top w:val="none" w:sz="0" w:space="0" w:color="auto"/>
                <w:left w:val="none" w:sz="0" w:space="0" w:color="auto"/>
                <w:bottom w:val="none" w:sz="0" w:space="0" w:color="auto"/>
                <w:right w:val="none" w:sz="0" w:space="0" w:color="auto"/>
              </w:divBdr>
            </w:div>
            <w:div w:id="1576434400">
              <w:marLeft w:val="0"/>
              <w:marRight w:val="0"/>
              <w:marTop w:val="0"/>
              <w:marBottom w:val="0"/>
              <w:divBdr>
                <w:top w:val="none" w:sz="0" w:space="0" w:color="auto"/>
                <w:left w:val="none" w:sz="0" w:space="0" w:color="auto"/>
                <w:bottom w:val="none" w:sz="0" w:space="0" w:color="auto"/>
                <w:right w:val="none" w:sz="0" w:space="0" w:color="auto"/>
              </w:divBdr>
            </w:div>
            <w:div w:id="1643343122">
              <w:marLeft w:val="0"/>
              <w:marRight w:val="0"/>
              <w:marTop w:val="0"/>
              <w:marBottom w:val="0"/>
              <w:divBdr>
                <w:top w:val="none" w:sz="0" w:space="0" w:color="auto"/>
                <w:left w:val="none" w:sz="0" w:space="0" w:color="auto"/>
                <w:bottom w:val="none" w:sz="0" w:space="0" w:color="auto"/>
                <w:right w:val="none" w:sz="0" w:space="0" w:color="auto"/>
              </w:divBdr>
            </w:div>
            <w:div w:id="1662585853">
              <w:marLeft w:val="0"/>
              <w:marRight w:val="0"/>
              <w:marTop w:val="0"/>
              <w:marBottom w:val="0"/>
              <w:divBdr>
                <w:top w:val="none" w:sz="0" w:space="0" w:color="auto"/>
                <w:left w:val="none" w:sz="0" w:space="0" w:color="auto"/>
                <w:bottom w:val="none" w:sz="0" w:space="0" w:color="auto"/>
                <w:right w:val="none" w:sz="0" w:space="0" w:color="auto"/>
              </w:divBdr>
            </w:div>
            <w:div w:id="1865820926">
              <w:marLeft w:val="0"/>
              <w:marRight w:val="0"/>
              <w:marTop w:val="0"/>
              <w:marBottom w:val="0"/>
              <w:divBdr>
                <w:top w:val="none" w:sz="0" w:space="0" w:color="auto"/>
                <w:left w:val="none" w:sz="0" w:space="0" w:color="auto"/>
                <w:bottom w:val="none" w:sz="0" w:space="0" w:color="auto"/>
                <w:right w:val="none" w:sz="0" w:space="0" w:color="auto"/>
              </w:divBdr>
            </w:div>
            <w:div w:id="1935741356">
              <w:marLeft w:val="0"/>
              <w:marRight w:val="0"/>
              <w:marTop w:val="0"/>
              <w:marBottom w:val="0"/>
              <w:divBdr>
                <w:top w:val="none" w:sz="0" w:space="0" w:color="auto"/>
                <w:left w:val="none" w:sz="0" w:space="0" w:color="auto"/>
                <w:bottom w:val="none" w:sz="0" w:space="0" w:color="auto"/>
                <w:right w:val="none" w:sz="0" w:space="0" w:color="auto"/>
              </w:divBdr>
            </w:div>
            <w:div w:id="1942254382">
              <w:marLeft w:val="0"/>
              <w:marRight w:val="0"/>
              <w:marTop w:val="0"/>
              <w:marBottom w:val="0"/>
              <w:divBdr>
                <w:top w:val="none" w:sz="0" w:space="0" w:color="auto"/>
                <w:left w:val="none" w:sz="0" w:space="0" w:color="auto"/>
                <w:bottom w:val="none" w:sz="0" w:space="0" w:color="auto"/>
                <w:right w:val="none" w:sz="0" w:space="0" w:color="auto"/>
              </w:divBdr>
            </w:div>
            <w:div w:id="2001077266">
              <w:marLeft w:val="0"/>
              <w:marRight w:val="0"/>
              <w:marTop w:val="0"/>
              <w:marBottom w:val="0"/>
              <w:divBdr>
                <w:top w:val="none" w:sz="0" w:space="0" w:color="auto"/>
                <w:left w:val="none" w:sz="0" w:space="0" w:color="auto"/>
                <w:bottom w:val="none" w:sz="0" w:space="0" w:color="auto"/>
                <w:right w:val="none" w:sz="0" w:space="0" w:color="auto"/>
              </w:divBdr>
            </w:div>
          </w:divsChild>
        </w:div>
        <w:div w:id="420881149">
          <w:marLeft w:val="0"/>
          <w:marRight w:val="0"/>
          <w:marTop w:val="0"/>
          <w:marBottom w:val="0"/>
          <w:divBdr>
            <w:top w:val="none" w:sz="0" w:space="0" w:color="auto"/>
            <w:left w:val="none" w:sz="0" w:space="0" w:color="auto"/>
            <w:bottom w:val="none" w:sz="0" w:space="0" w:color="auto"/>
            <w:right w:val="none" w:sz="0" w:space="0" w:color="auto"/>
          </w:divBdr>
          <w:divsChild>
            <w:div w:id="73551789">
              <w:marLeft w:val="0"/>
              <w:marRight w:val="0"/>
              <w:marTop w:val="0"/>
              <w:marBottom w:val="0"/>
              <w:divBdr>
                <w:top w:val="none" w:sz="0" w:space="0" w:color="auto"/>
                <w:left w:val="none" w:sz="0" w:space="0" w:color="auto"/>
                <w:bottom w:val="none" w:sz="0" w:space="0" w:color="auto"/>
                <w:right w:val="none" w:sz="0" w:space="0" w:color="auto"/>
              </w:divBdr>
            </w:div>
            <w:div w:id="297489301">
              <w:marLeft w:val="0"/>
              <w:marRight w:val="0"/>
              <w:marTop w:val="0"/>
              <w:marBottom w:val="0"/>
              <w:divBdr>
                <w:top w:val="none" w:sz="0" w:space="0" w:color="auto"/>
                <w:left w:val="none" w:sz="0" w:space="0" w:color="auto"/>
                <w:bottom w:val="none" w:sz="0" w:space="0" w:color="auto"/>
                <w:right w:val="none" w:sz="0" w:space="0" w:color="auto"/>
              </w:divBdr>
            </w:div>
            <w:div w:id="403140435">
              <w:marLeft w:val="0"/>
              <w:marRight w:val="0"/>
              <w:marTop w:val="0"/>
              <w:marBottom w:val="0"/>
              <w:divBdr>
                <w:top w:val="none" w:sz="0" w:space="0" w:color="auto"/>
                <w:left w:val="none" w:sz="0" w:space="0" w:color="auto"/>
                <w:bottom w:val="none" w:sz="0" w:space="0" w:color="auto"/>
                <w:right w:val="none" w:sz="0" w:space="0" w:color="auto"/>
              </w:divBdr>
            </w:div>
            <w:div w:id="426119820">
              <w:marLeft w:val="0"/>
              <w:marRight w:val="0"/>
              <w:marTop w:val="0"/>
              <w:marBottom w:val="0"/>
              <w:divBdr>
                <w:top w:val="none" w:sz="0" w:space="0" w:color="auto"/>
                <w:left w:val="none" w:sz="0" w:space="0" w:color="auto"/>
                <w:bottom w:val="none" w:sz="0" w:space="0" w:color="auto"/>
                <w:right w:val="none" w:sz="0" w:space="0" w:color="auto"/>
              </w:divBdr>
            </w:div>
            <w:div w:id="528301717">
              <w:marLeft w:val="0"/>
              <w:marRight w:val="0"/>
              <w:marTop w:val="0"/>
              <w:marBottom w:val="0"/>
              <w:divBdr>
                <w:top w:val="none" w:sz="0" w:space="0" w:color="auto"/>
                <w:left w:val="none" w:sz="0" w:space="0" w:color="auto"/>
                <w:bottom w:val="none" w:sz="0" w:space="0" w:color="auto"/>
                <w:right w:val="none" w:sz="0" w:space="0" w:color="auto"/>
              </w:divBdr>
            </w:div>
            <w:div w:id="698287358">
              <w:marLeft w:val="0"/>
              <w:marRight w:val="0"/>
              <w:marTop w:val="0"/>
              <w:marBottom w:val="0"/>
              <w:divBdr>
                <w:top w:val="none" w:sz="0" w:space="0" w:color="auto"/>
                <w:left w:val="none" w:sz="0" w:space="0" w:color="auto"/>
                <w:bottom w:val="none" w:sz="0" w:space="0" w:color="auto"/>
                <w:right w:val="none" w:sz="0" w:space="0" w:color="auto"/>
              </w:divBdr>
            </w:div>
            <w:div w:id="794130907">
              <w:marLeft w:val="0"/>
              <w:marRight w:val="0"/>
              <w:marTop w:val="0"/>
              <w:marBottom w:val="0"/>
              <w:divBdr>
                <w:top w:val="none" w:sz="0" w:space="0" w:color="auto"/>
                <w:left w:val="none" w:sz="0" w:space="0" w:color="auto"/>
                <w:bottom w:val="none" w:sz="0" w:space="0" w:color="auto"/>
                <w:right w:val="none" w:sz="0" w:space="0" w:color="auto"/>
              </w:divBdr>
            </w:div>
            <w:div w:id="815955466">
              <w:marLeft w:val="0"/>
              <w:marRight w:val="0"/>
              <w:marTop w:val="0"/>
              <w:marBottom w:val="0"/>
              <w:divBdr>
                <w:top w:val="none" w:sz="0" w:space="0" w:color="auto"/>
                <w:left w:val="none" w:sz="0" w:space="0" w:color="auto"/>
                <w:bottom w:val="none" w:sz="0" w:space="0" w:color="auto"/>
                <w:right w:val="none" w:sz="0" w:space="0" w:color="auto"/>
              </w:divBdr>
            </w:div>
            <w:div w:id="962079767">
              <w:marLeft w:val="0"/>
              <w:marRight w:val="0"/>
              <w:marTop w:val="0"/>
              <w:marBottom w:val="0"/>
              <w:divBdr>
                <w:top w:val="none" w:sz="0" w:space="0" w:color="auto"/>
                <w:left w:val="none" w:sz="0" w:space="0" w:color="auto"/>
                <w:bottom w:val="none" w:sz="0" w:space="0" w:color="auto"/>
                <w:right w:val="none" w:sz="0" w:space="0" w:color="auto"/>
              </w:divBdr>
            </w:div>
            <w:div w:id="1091395512">
              <w:marLeft w:val="0"/>
              <w:marRight w:val="0"/>
              <w:marTop w:val="0"/>
              <w:marBottom w:val="0"/>
              <w:divBdr>
                <w:top w:val="none" w:sz="0" w:space="0" w:color="auto"/>
                <w:left w:val="none" w:sz="0" w:space="0" w:color="auto"/>
                <w:bottom w:val="none" w:sz="0" w:space="0" w:color="auto"/>
                <w:right w:val="none" w:sz="0" w:space="0" w:color="auto"/>
              </w:divBdr>
            </w:div>
            <w:div w:id="1141768333">
              <w:marLeft w:val="0"/>
              <w:marRight w:val="0"/>
              <w:marTop w:val="0"/>
              <w:marBottom w:val="0"/>
              <w:divBdr>
                <w:top w:val="none" w:sz="0" w:space="0" w:color="auto"/>
                <w:left w:val="none" w:sz="0" w:space="0" w:color="auto"/>
                <w:bottom w:val="none" w:sz="0" w:space="0" w:color="auto"/>
                <w:right w:val="none" w:sz="0" w:space="0" w:color="auto"/>
              </w:divBdr>
            </w:div>
            <w:div w:id="1234702271">
              <w:marLeft w:val="0"/>
              <w:marRight w:val="0"/>
              <w:marTop w:val="0"/>
              <w:marBottom w:val="0"/>
              <w:divBdr>
                <w:top w:val="none" w:sz="0" w:space="0" w:color="auto"/>
                <w:left w:val="none" w:sz="0" w:space="0" w:color="auto"/>
                <w:bottom w:val="none" w:sz="0" w:space="0" w:color="auto"/>
                <w:right w:val="none" w:sz="0" w:space="0" w:color="auto"/>
              </w:divBdr>
            </w:div>
            <w:div w:id="1255165014">
              <w:marLeft w:val="0"/>
              <w:marRight w:val="0"/>
              <w:marTop w:val="0"/>
              <w:marBottom w:val="0"/>
              <w:divBdr>
                <w:top w:val="none" w:sz="0" w:space="0" w:color="auto"/>
                <w:left w:val="none" w:sz="0" w:space="0" w:color="auto"/>
                <w:bottom w:val="none" w:sz="0" w:space="0" w:color="auto"/>
                <w:right w:val="none" w:sz="0" w:space="0" w:color="auto"/>
              </w:divBdr>
            </w:div>
            <w:div w:id="1633362868">
              <w:marLeft w:val="0"/>
              <w:marRight w:val="0"/>
              <w:marTop w:val="0"/>
              <w:marBottom w:val="0"/>
              <w:divBdr>
                <w:top w:val="none" w:sz="0" w:space="0" w:color="auto"/>
                <w:left w:val="none" w:sz="0" w:space="0" w:color="auto"/>
                <w:bottom w:val="none" w:sz="0" w:space="0" w:color="auto"/>
                <w:right w:val="none" w:sz="0" w:space="0" w:color="auto"/>
              </w:divBdr>
            </w:div>
            <w:div w:id="2059813703">
              <w:marLeft w:val="0"/>
              <w:marRight w:val="0"/>
              <w:marTop w:val="0"/>
              <w:marBottom w:val="0"/>
              <w:divBdr>
                <w:top w:val="none" w:sz="0" w:space="0" w:color="auto"/>
                <w:left w:val="none" w:sz="0" w:space="0" w:color="auto"/>
                <w:bottom w:val="none" w:sz="0" w:space="0" w:color="auto"/>
                <w:right w:val="none" w:sz="0" w:space="0" w:color="auto"/>
              </w:divBdr>
            </w:div>
          </w:divsChild>
        </w:div>
        <w:div w:id="938683959">
          <w:marLeft w:val="0"/>
          <w:marRight w:val="0"/>
          <w:marTop w:val="0"/>
          <w:marBottom w:val="0"/>
          <w:divBdr>
            <w:top w:val="none" w:sz="0" w:space="0" w:color="auto"/>
            <w:left w:val="none" w:sz="0" w:space="0" w:color="auto"/>
            <w:bottom w:val="none" w:sz="0" w:space="0" w:color="auto"/>
            <w:right w:val="none" w:sz="0" w:space="0" w:color="auto"/>
          </w:divBdr>
          <w:divsChild>
            <w:div w:id="49036025">
              <w:marLeft w:val="0"/>
              <w:marRight w:val="0"/>
              <w:marTop w:val="0"/>
              <w:marBottom w:val="0"/>
              <w:divBdr>
                <w:top w:val="none" w:sz="0" w:space="0" w:color="auto"/>
                <w:left w:val="none" w:sz="0" w:space="0" w:color="auto"/>
                <w:bottom w:val="none" w:sz="0" w:space="0" w:color="auto"/>
                <w:right w:val="none" w:sz="0" w:space="0" w:color="auto"/>
              </w:divBdr>
            </w:div>
            <w:div w:id="83459486">
              <w:marLeft w:val="0"/>
              <w:marRight w:val="0"/>
              <w:marTop w:val="0"/>
              <w:marBottom w:val="0"/>
              <w:divBdr>
                <w:top w:val="none" w:sz="0" w:space="0" w:color="auto"/>
                <w:left w:val="none" w:sz="0" w:space="0" w:color="auto"/>
                <w:bottom w:val="none" w:sz="0" w:space="0" w:color="auto"/>
                <w:right w:val="none" w:sz="0" w:space="0" w:color="auto"/>
              </w:divBdr>
            </w:div>
            <w:div w:id="98531468">
              <w:marLeft w:val="0"/>
              <w:marRight w:val="0"/>
              <w:marTop w:val="0"/>
              <w:marBottom w:val="0"/>
              <w:divBdr>
                <w:top w:val="none" w:sz="0" w:space="0" w:color="auto"/>
                <w:left w:val="none" w:sz="0" w:space="0" w:color="auto"/>
                <w:bottom w:val="none" w:sz="0" w:space="0" w:color="auto"/>
                <w:right w:val="none" w:sz="0" w:space="0" w:color="auto"/>
              </w:divBdr>
            </w:div>
            <w:div w:id="225454846">
              <w:marLeft w:val="0"/>
              <w:marRight w:val="0"/>
              <w:marTop w:val="0"/>
              <w:marBottom w:val="0"/>
              <w:divBdr>
                <w:top w:val="none" w:sz="0" w:space="0" w:color="auto"/>
                <w:left w:val="none" w:sz="0" w:space="0" w:color="auto"/>
                <w:bottom w:val="none" w:sz="0" w:space="0" w:color="auto"/>
                <w:right w:val="none" w:sz="0" w:space="0" w:color="auto"/>
              </w:divBdr>
            </w:div>
            <w:div w:id="269241724">
              <w:marLeft w:val="0"/>
              <w:marRight w:val="0"/>
              <w:marTop w:val="0"/>
              <w:marBottom w:val="0"/>
              <w:divBdr>
                <w:top w:val="none" w:sz="0" w:space="0" w:color="auto"/>
                <w:left w:val="none" w:sz="0" w:space="0" w:color="auto"/>
                <w:bottom w:val="none" w:sz="0" w:space="0" w:color="auto"/>
                <w:right w:val="none" w:sz="0" w:space="0" w:color="auto"/>
              </w:divBdr>
            </w:div>
            <w:div w:id="352076313">
              <w:marLeft w:val="0"/>
              <w:marRight w:val="0"/>
              <w:marTop w:val="0"/>
              <w:marBottom w:val="0"/>
              <w:divBdr>
                <w:top w:val="none" w:sz="0" w:space="0" w:color="auto"/>
                <w:left w:val="none" w:sz="0" w:space="0" w:color="auto"/>
                <w:bottom w:val="none" w:sz="0" w:space="0" w:color="auto"/>
                <w:right w:val="none" w:sz="0" w:space="0" w:color="auto"/>
              </w:divBdr>
            </w:div>
            <w:div w:id="383019075">
              <w:marLeft w:val="0"/>
              <w:marRight w:val="0"/>
              <w:marTop w:val="0"/>
              <w:marBottom w:val="0"/>
              <w:divBdr>
                <w:top w:val="none" w:sz="0" w:space="0" w:color="auto"/>
                <w:left w:val="none" w:sz="0" w:space="0" w:color="auto"/>
                <w:bottom w:val="none" w:sz="0" w:space="0" w:color="auto"/>
                <w:right w:val="none" w:sz="0" w:space="0" w:color="auto"/>
              </w:divBdr>
            </w:div>
            <w:div w:id="396324999">
              <w:marLeft w:val="0"/>
              <w:marRight w:val="0"/>
              <w:marTop w:val="0"/>
              <w:marBottom w:val="0"/>
              <w:divBdr>
                <w:top w:val="none" w:sz="0" w:space="0" w:color="auto"/>
                <w:left w:val="none" w:sz="0" w:space="0" w:color="auto"/>
                <w:bottom w:val="none" w:sz="0" w:space="0" w:color="auto"/>
                <w:right w:val="none" w:sz="0" w:space="0" w:color="auto"/>
              </w:divBdr>
            </w:div>
            <w:div w:id="525750419">
              <w:marLeft w:val="0"/>
              <w:marRight w:val="0"/>
              <w:marTop w:val="0"/>
              <w:marBottom w:val="0"/>
              <w:divBdr>
                <w:top w:val="none" w:sz="0" w:space="0" w:color="auto"/>
                <w:left w:val="none" w:sz="0" w:space="0" w:color="auto"/>
                <w:bottom w:val="none" w:sz="0" w:space="0" w:color="auto"/>
                <w:right w:val="none" w:sz="0" w:space="0" w:color="auto"/>
              </w:divBdr>
            </w:div>
            <w:div w:id="930625042">
              <w:marLeft w:val="0"/>
              <w:marRight w:val="0"/>
              <w:marTop w:val="0"/>
              <w:marBottom w:val="0"/>
              <w:divBdr>
                <w:top w:val="none" w:sz="0" w:space="0" w:color="auto"/>
                <w:left w:val="none" w:sz="0" w:space="0" w:color="auto"/>
                <w:bottom w:val="none" w:sz="0" w:space="0" w:color="auto"/>
                <w:right w:val="none" w:sz="0" w:space="0" w:color="auto"/>
              </w:divBdr>
            </w:div>
            <w:div w:id="930969497">
              <w:marLeft w:val="0"/>
              <w:marRight w:val="0"/>
              <w:marTop w:val="0"/>
              <w:marBottom w:val="0"/>
              <w:divBdr>
                <w:top w:val="none" w:sz="0" w:space="0" w:color="auto"/>
                <w:left w:val="none" w:sz="0" w:space="0" w:color="auto"/>
                <w:bottom w:val="none" w:sz="0" w:space="0" w:color="auto"/>
                <w:right w:val="none" w:sz="0" w:space="0" w:color="auto"/>
              </w:divBdr>
            </w:div>
            <w:div w:id="962032808">
              <w:marLeft w:val="0"/>
              <w:marRight w:val="0"/>
              <w:marTop w:val="0"/>
              <w:marBottom w:val="0"/>
              <w:divBdr>
                <w:top w:val="none" w:sz="0" w:space="0" w:color="auto"/>
                <w:left w:val="none" w:sz="0" w:space="0" w:color="auto"/>
                <w:bottom w:val="none" w:sz="0" w:space="0" w:color="auto"/>
                <w:right w:val="none" w:sz="0" w:space="0" w:color="auto"/>
              </w:divBdr>
            </w:div>
            <w:div w:id="1170296024">
              <w:marLeft w:val="0"/>
              <w:marRight w:val="0"/>
              <w:marTop w:val="0"/>
              <w:marBottom w:val="0"/>
              <w:divBdr>
                <w:top w:val="none" w:sz="0" w:space="0" w:color="auto"/>
                <w:left w:val="none" w:sz="0" w:space="0" w:color="auto"/>
                <w:bottom w:val="none" w:sz="0" w:space="0" w:color="auto"/>
                <w:right w:val="none" w:sz="0" w:space="0" w:color="auto"/>
              </w:divBdr>
            </w:div>
            <w:div w:id="1240092099">
              <w:marLeft w:val="0"/>
              <w:marRight w:val="0"/>
              <w:marTop w:val="0"/>
              <w:marBottom w:val="0"/>
              <w:divBdr>
                <w:top w:val="none" w:sz="0" w:space="0" w:color="auto"/>
                <w:left w:val="none" w:sz="0" w:space="0" w:color="auto"/>
                <w:bottom w:val="none" w:sz="0" w:space="0" w:color="auto"/>
                <w:right w:val="none" w:sz="0" w:space="0" w:color="auto"/>
              </w:divBdr>
            </w:div>
            <w:div w:id="1403024530">
              <w:marLeft w:val="0"/>
              <w:marRight w:val="0"/>
              <w:marTop w:val="0"/>
              <w:marBottom w:val="0"/>
              <w:divBdr>
                <w:top w:val="none" w:sz="0" w:space="0" w:color="auto"/>
                <w:left w:val="none" w:sz="0" w:space="0" w:color="auto"/>
                <w:bottom w:val="none" w:sz="0" w:space="0" w:color="auto"/>
                <w:right w:val="none" w:sz="0" w:space="0" w:color="auto"/>
              </w:divBdr>
            </w:div>
            <w:div w:id="1610501163">
              <w:marLeft w:val="0"/>
              <w:marRight w:val="0"/>
              <w:marTop w:val="0"/>
              <w:marBottom w:val="0"/>
              <w:divBdr>
                <w:top w:val="none" w:sz="0" w:space="0" w:color="auto"/>
                <w:left w:val="none" w:sz="0" w:space="0" w:color="auto"/>
                <w:bottom w:val="none" w:sz="0" w:space="0" w:color="auto"/>
                <w:right w:val="none" w:sz="0" w:space="0" w:color="auto"/>
              </w:divBdr>
            </w:div>
            <w:div w:id="1773475090">
              <w:marLeft w:val="0"/>
              <w:marRight w:val="0"/>
              <w:marTop w:val="0"/>
              <w:marBottom w:val="0"/>
              <w:divBdr>
                <w:top w:val="none" w:sz="0" w:space="0" w:color="auto"/>
                <w:left w:val="none" w:sz="0" w:space="0" w:color="auto"/>
                <w:bottom w:val="none" w:sz="0" w:space="0" w:color="auto"/>
                <w:right w:val="none" w:sz="0" w:space="0" w:color="auto"/>
              </w:divBdr>
            </w:div>
            <w:div w:id="1797483822">
              <w:marLeft w:val="0"/>
              <w:marRight w:val="0"/>
              <w:marTop w:val="0"/>
              <w:marBottom w:val="0"/>
              <w:divBdr>
                <w:top w:val="none" w:sz="0" w:space="0" w:color="auto"/>
                <w:left w:val="none" w:sz="0" w:space="0" w:color="auto"/>
                <w:bottom w:val="none" w:sz="0" w:space="0" w:color="auto"/>
                <w:right w:val="none" w:sz="0" w:space="0" w:color="auto"/>
              </w:divBdr>
            </w:div>
            <w:div w:id="2028749426">
              <w:marLeft w:val="0"/>
              <w:marRight w:val="0"/>
              <w:marTop w:val="0"/>
              <w:marBottom w:val="0"/>
              <w:divBdr>
                <w:top w:val="none" w:sz="0" w:space="0" w:color="auto"/>
                <w:left w:val="none" w:sz="0" w:space="0" w:color="auto"/>
                <w:bottom w:val="none" w:sz="0" w:space="0" w:color="auto"/>
                <w:right w:val="none" w:sz="0" w:space="0" w:color="auto"/>
              </w:divBdr>
            </w:div>
            <w:div w:id="2119060549">
              <w:marLeft w:val="0"/>
              <w:marRight w:val="0"/>
              <w:marTop w:val="0"/>
              <w:marBottom w:val="0"/>
              <w:divBdr>
                <w:top w:val="none" w:sz="0" w:space="0" w:color="auto"/>
                <w:left w:val="none" w:sz="0" w:space="0" w:color="auto"/>
                <w:bottom w:val="none" w:sz="0" w:space="0" w:color="auto"/>
                <w:right w:val="none" w:sz="0" w:space="0" w:color="auto"/>
              </w:divBdr>
            </w:div>
          </w:divsChild>
        </w:div>
        <w:div w:id="1698315273">
          <w:marLeft w:val="0"/>
          <w:marRight w:val="0"/>
          <w:marTop w:val="0"/>
          <w:marBottom w:val="0"/>
          <w:divBdr>
            <w:top w:val="none" w:sz="0" w:space="0" w:color="auto"/>
            <w:left w:val="none" w:sz="0" w:space="0" w:color="auto"/>
            <w:bottom w:val="none" w:sz="0" w:space="0" w:color="auto"/>
            <w:right w:val="none" w:sz="0" w:space="0" w:color="auto"/>
          </w:divBdr>
          <w:divsChild>
            <w:div w:id="121314122">
              <w:marLeft w:val="0"/>
              <w:marRight w:val="0"/>
              <w:marTop w:val="0"/>
              <w:marBottom w:val="0"/>
              <w:divBdr>
                <w:top w:val="none" w:sz="0" w:space="0" w:color="auto"/>
                <w:left w:val="none" w:sz="0" w:space="0" w:color="auto"/>
                <w:bottom w:val="none" w:sz="0" w:space="0" w:color="auto"/>
                <w:right w:val="none" w:sz="0" w:space="0" w:color="auto"/>
              </w:divBdr>
            </w:div>
            <w:div w:id="180363337">
              <w:marLeft w:val="0"/>
              <w:marRight w:val="0"/>
              <w:marTop w:val="0"/>
              <w:marBottom w:val="0"/>
              <w:divBdr>
                <w:top w:val="none" w:sz="0" w:space="0" w:color="auto"/>
                <w:left w:val="none" w:sz="0" w:space="0" w:color="auto"/>
                <w:bottom w:val="none" w:sz="0" w:space="0" w:color="auto"/>
                <w:right w:val="none" w:sz="0" w:space="0" w:color="auto"/>
              </w:divBdr>
            </w:div>
            <w:div w:id="202836308">
              <w:marLeft w:val="0"/>
              <w:marRight w:val="0"/>
              <w:marTop w:val="0"/>
              <w:marBottom w:val="0"/>
              <w:divBdr>
                <w:top w:val="none" w:sz="0" w:space="0" w:color="auto"/>
                <w:left w:val="none" w:sz="0" w:space="0" w:color="auto"/>
                <w:bottom w:val="none" w:sz="0" w:space="0" w:color="auto"/>
                <w:right w:val="none" w:sz="0" w:space="0" w:color="auto"/>
              </w:divBdr>
            </w:div>
            <w:div w:id="245699199">
              <w:marLeft w:val="0"/>
              <w:marRight w:val="0"/>
              <w:marTop w:val="0"/>
              <w:marBottom w:val="0"/>
              <w:divBdr>
                <w:top w:val="none" w:sz="0" w:space="0" w:color="auto"/>
                <w:left w:val="none" w:sz="0" w:space="0" w:color="auto"/>
                <w:bottom w:val="none" w:sz="0" w:space="0" w:color="auto"/>
                <w:right w:val="none" w:sz="0" w:space="0" w:color="auto"/>
              </w:divBdr>
            </w:div>
            <w:div w:id="335689421">
              <w:marLeft w:val="0"/>
              <w:marRight w:val="0"/>
              <w:marTop w:val="0"/>
              <w:marBottom w:val="0"/>
              <w:divBdr>
                <w:top w:val="none" w:sz="0" w:space="0" w:color="auto"/>
                <w:left w:val="none" w:sz="0" w:space="0" w:color="auto"/>
                <w:bottom w:val="none" w:sz="0" w:space="0" w:color="auto"/>
                <w:right w:val="none" w:sz="0" w:space="0" w:color="auto"/>
              </w:divBdr>
            </w:div>
            <w:div w:id="393890709">
              <w:marLeft w:val="0"/>
              <w:marRight w:val="0"/>
              <w:marTop w:val="0"/>
              <w:marBottom w:val="0"/>
              <w:divBdr>
                <w:top w:val="none" w:sz="0" w:space="0" w:color="auto"/>
                <w:left w:val="none" w:sz="0" w:space="0" w:color="auto"/>
                <w:bottom w:val="none" w:sz="0" w:space="0" w:color="auto"/>
                <w:right w:val="none" w:sz="0" w:space="0" w:color="auto"/>
              </w:divBdr>
            </w:div>
            <w:div w:id="539049883">
              <w:marLeft w:val="0"/>
              <w:marRight w:val="0"/>
              <w:marTop w:val="0"/>
              <w:marBottom w:val="0"/>
              <w:divBdr>
                <w:top w:val="none" w:sz="0" w:space="0" w:color="auto"/>
                <w:left w:val="none" w:sz="0" w:space="0" w:color="auto"/>
                <w:bottom w:val="none" w:sz="0" w:space="0" w:color="auto"/>
                <w:right w:val="none" w:sz="0" w:space="0" w:color="auto"/>
              </w:divBdr>
            </w:div>
            <w:div w:id="542250339">
              <w:marLeft w:val="0"/>
              <w:marRight w:val="0"/>
              <w:marTop w:val="0"/>
              <w:marBottom w:val="0"/>
              <w:divBdr>
                <w:top w:val="none" w:sz="0" w:space="0" w:color="auto"/>
                <w:left w:val="none" w:sz="0" w:space="0" w:color="auto"/>
                <w:bottom w:val="none" w:sz="0" w:space="0" w:color="auto"/>
                <w:right w:val="none" w:sz="0" w:space="0" w:color="auto"/>
              </w:divBdr>
            </w:div>
            <w:div w:id="785470265">
              <w:marLeft w:val="0"/>
              <w:marRight w:val="0"/>
              <w:marTop w:val="0"/>
              <w:marBottom w:val="0"/>
              <w:divBdr>
                <w:top w:val="none" w:sz="0" w:space="0" w:color="auto"/>
                <w:left w:val="none" w:sz="0" w:space="0" w:color="auto"/>
                <w:bottom w:val="none" w:sz="0" w:space="0" w:color="auto"/>
                <w:right w:val="none" w:sz="0" w:space="0" w:color="auto"/>
              </w:divBdr>
            </w:div>
            <w:div w:id="786856030">
              <w:marLeft w:val="0"/>
              <w:marRight w:val="0"/>
              <w:marTop w:val="0"/>
              <w:marBottom w:val="0"/>
              <w:divBdr>
                <w:top w:val="none" w:sz="0" w:space="0" w:color="auto"/>
                <w:left w:val="none" w:sz="0" w:space="0" w:color="auto"/>
                <w:bottom w:val="none" w:sz="0" w:space="0" w:color="auto"/>
                <w:right w:val="none" w:sz="0" w:space="0" w:color="auto"/>
              </w:divBdr>
            </w:div>
            <w:div w:id="1112702246">
              <w:marLeft w:val="0"/>
              <w:marRight w:val="0"/>
              <w:marTop w:val="0"/>
              <w:marBottom w:val="0"/>
              <w:divBdr>
                <w:top w:val="none" w:sz="0" w:space="0" w:color="auto"/>
                <w:left w:val="none" w:sz="0" w:space="0" w:color="auto"/>
                <w:bottom w:val="none" w:sz="0" w:space="0" w:color="auto"/>
                <w:right w:val="none" w:sz="0" w:space="0" w:color="auto"/>
              </w:divBdr>
            </w:div>
            <w:div w:id="1217862400">
              <w:marLeft w:val="0"/>
              <w:marRight w:val="0"/>
              <w:marTop w:val="0"/>
              <w:marBottom w:val="0"/>
              <w:divBdr>
                <w:top w:val="none" w:sz="0" w:space="0" w:color="auto"/>
                <w:left w:val="none" w:sz="0" w:space="0" w:color="auto"/>
                <w:bottom w:val="none" w:sz="0" w:space="0" w:color="auto"/>
                <w:right w:val="none" w:sz="0" w:space="0" w:color="auto"/>
              </w:divBdr>
            </w:div>
            <w:div w:id="1289891065">
              <w:marLeft w:val="0"/>
              <w:marRight w:val="0"/>
              <w:marTop w:val="0"/>
              <w:marBottom w:val="0"/>
              <w:divBdr>
                <w:top w:val="none" w:sz="0" w:space="0" w:color="auto"/>
                <w:left w:val="none" w:sz="0" w:space="0" w:color="auto"/>
                <w:bottom w:val="none" w:sz="0" w:space="0" w:color="auto"/>
                <w:right w:val="none" w:sz="0" w:space="0" w:color="auto"/>
              </w:divBdr>
            </w:div>
            <w:div w:id="1449621869">
              <w:marLeft w:val="0"/>
              <w:marRight w:val="0"/>
              <w:marTop w:val="0"/>
              <w:marBottom w:val="0"/>
              <w:divBdr>
                <w:top w:val="none" w:sz="0" w:space="0" w:color="auto"/>
                <w:left w:val="none" w:sz="0" w:space="0" w:color="auto"/>
                <w:bottom w:val="none" w:sz="0" w:space="0" w:color="auto"/>
                <w:right w:val="none" w:sz="0" w:space="0" w:color="auto"/>
              </w:divBdr>
            </w:div>
            <w:div w:id="1461798028">
              <w:marLeft w:val="0"/>
              <w:marRight w:val="0"/>
              <w:marTop w:val="0"/>
              <w:marBottom w:val="0"/>
              <w:divBdr>
                <w:top w:val="none" w:sz="0" w:space="0" w:color="auto"/>
                <w:left w:val="none" w:sz="0" w:space="0" w:color="auto"/>
                <w:bottom w:val="none" w:sz="0" w:space="0" w:color="auto"/>
                <w:right w:val="none" w:sz="0" w:space="0" w:color="auto"/>
              </w:divBdr>
            </w:div>
            <w:div w:id="1629554078">
              <w:marLeft w:val="0"/>
              <w:marRight w:val="0"/>
              <w:marTop w:val="0"/>
              <w:marBottom w:val="0"/>
              <w:divBdr>
                <w:top w:val="none" w:sz="0" w:space="0" w:color="auto"/>
                <w:left w:val="none" w:sz="0" w:space="0" w:color="auto"/>
                <w:bottom w:val="none" w:sz="0" w:space="0" w:color="auto"/>
                <w:right w:val="none" w:sz="0" w:space="0" w:color="auto"/>
              </w:divBdr>
            </w:div>
            <w:div w:id="1870408147">
              <w:marLeft w:val="0"/>
              <w:marRight w:val="0"/>
              <w:marTop w:val="0"/>
              <w:marBottom w:val="0"/>
              <w:divBdr>
                <w:top w:val="none" w:sz="0" w:space="0" w:color="auto"/>
                <w:left w:val="none" w:sz="0" w:space="0" w:color="auto"/>
                <w:bottom w:val="none" w:sz="0" w:space="0" w:color="auto"/>
                <w:right w:val="none" w:sz="0" w:space="0" w:color="auto"/>
              </w:divBdr>
            </w:div>
            <w:div w:id="1937977179">
              <w:marLeft w:val="0"/>
              <w:marRight w:val="0"/>
              <w:marTop w:val="0"/>
              <w:marBottom w:val="0"/>
              <w:divBdr>
                <w:top w:val="none" w:sz="0" w:space="0" w:color="auto"/>
                <w:left w:val="none" w:sz="0" w:space="0" w:color="auto"/>
                <w:bottom w:val="none" w:sz="0" w:space="0" w:color="auto"/>
                <w:right w:val="none" w:sz="0" w:space="0" w:color="auto"/>
              </w:divBdr>
            </w:div>
            <w:div w:id="2039575014">
              <w:marLeft w:val="0"/>
              <w:marRight w:val="0"/>
              <w:marTop w:val="0"/>
              <w:marBottom w:val="0"/>
              <w:divBdr>
                <w:top w:val="none" w:sz="0" w:space="0" w:color="auto"/>
                <w:left w:val="none" w:sz="0" w:space="0" w:color="auto"/>
                <w:bottom w:val="none" w:sz="0" w:space="0" w:color="auto"/>
                <w:right w:val="none" w:sz="0" w:space="0" w:color="auto"/>
              </w:divBdr>
            </w:div>
            <w:div w:id="2118134610">
              <w:marLeft w:val="0"/>
              <w:marRight w:val="0"/>
              <w:marTop w:val="0"/>
              <w:marBottom w:val="0"/>
              <w:divBdr>
                <w:top w:val="none" w:sz="0" w:space="0" w:color="auto"/>
                <w:left w:val="none" w:sz="0" w:space="0" w:color="auto"/>
                <w:bottom w:val="none" w:sz="0" w:space="0" w:color="auto"/>
                <w:right w:val="none" w:sz="0" w:space="0" w:color="auto"/>
              </w:divBdr>
            </w:div>
          </w:divsChild>
        </w:div>
        <w:div w:id="1719352447">
          <w:marLeft w:val="0"/>
          <w:marRight w:val="0"/>
          <w:marTop w:val="0"/>
          <w:marBottom w:val="0"/>
          <w:divBdr>
            <w:top w:val="none" w:sz="0" w:space="0" w:color="auto"/>
            <w:left w:val="none" w:sz="0" w:space="0" w:color="auto"/>
            <w:bottom w:val="none" w:sz="0" w:space="0" w:color="auto"/>
            <w:right w:val="none" w:sz="0" w:space="0" w:color="auto"/>
          </w:divBdr>
          <w:divsChild>
            <w:div w:id="61567092">
              <w:marLeft w:val="0"/>
              <w:marRight w:val="0"/>
              <w:marTop w:val="0"/>
              <w:marBottom w:val="0"/>
              <w:divBdr>
                <w:top w:val="none" w:sz="0" w:space="0" w:color="auto"/>
                <w:left w:val="none" w:sz="0" w:space="0" w:color="auto"/>
                <w:bottom w:val="none" w:sz="0" w:space="0" w:color="auto"/>
                <w:right w:val="none" w:sz="0" w:space="0" w:color="auto"/>
              </w:divBdr>
            </w:div>
            <w:div w:id="283313335">
              <w:marLeft w:val="0"/>
              <w:marRight w:val="0"/>
              <w:marTop w:val="0"/>
              <w:marBottom w:val="0"/>
              <w:divBdr>
                <w:top w:val="none" w:sz="0" w:space="0" w:color="auto"/>
                <w:left w:val="none" w:sz="0" w:space="0" w:color="auto"/>
                <w:bottom w:val="none" w:sz="0" w:space="0" w:color="auto"/>
                <w:right w:val="none" w:sz="0" w:space="0" w:color="auto"/>
              </w:divBdr>
            </w:div>
            <w:div w:id="297222758">
              <w:marLeft w:val="0"/>
              <w:marRight w:val="0"/>
              <w:marTop w:val="0"/>
              <w:marBottom w:val="0"/>
              <w:divBdr>
                <w:top w:val="none" w:sz="0" w:space="0" w:color="auto"/>
                <w:left w:val="none" w:sz="0" w:space="0" w:color="auto"/>
                <w:bottom w:val="none" w:sz="0" w:space="0" w:color="auto"/>
                <w:right w:val="none" w:sz="0" w:space="0" w:color="auto"/>
              </w:divBdr>
            </w:div>
            <w:div w:id="345399405">
              <w:marLeft w:val="0"/>
              <w:marRight w:val="0"/>
              <w:marTop w:val="0"/>
              <w:marBottom w:val="0"/>
              <w:divBdr>
                <w:top w:val="none" w:sz="0" w:space="0" w:color="auto"/>
                <w:left w:val="none" w:sz="0" w:space="0" w:color="auto"/>
                <w:bottom w:val="none" w:sz="0" w:space="0" w:color="auto"/>
                <w:right w:val="none" w:sz="0" w:space="0" w:color="auto"/>
              </w:divBdr>
            </w:div>
            <w:div w:id="550118751">
              <w:marLeft w:val="0"/>
              <w:marRight w:val="0"/>
              <w:marTop w:val="0"/>
              <w:marBottom w:val="0"/>
              <w:divBdr>
                <w:top w:val="none" w:sz="0" w:space="0" w:color="auto"/>
                <w:left w:val="none" w:sz="0" w:space="0" w:color="auto"/>
                <w:bottom w:val="none" w:sz="0" w:space="0" w:color="auto"/>
                <w:right w:val="none" w:sz="0" w:space="0" w:color="auto"/>
              </w:divBdr>
            </w:div>
            <w:div w:id="647706112">
              <w:marLeft w:val="0"/>
              <w:marRight w:val="0"/>
              <w:marTop w:val="0"/>
              <w:marBottom w:val="0"/>
              <w:divBdr>
                <w:top w:val="none" w:sz="0" w:space="0" w:color="auto"/>
                <w:left w:val="none" w:sz="0" w:space="0" w:color="auto"/>
                <w:bottom w:val="none" w:sz="0" w:space="0" w:color="auto"/>
                <w:right w:val="none" w:sz="0" w:space="0" w:color="auto"/>
              </w:divBdr>
            </w:div>
            <w:div w:id="1025060681">
              <w:marLeft w:val="0"/>
              <w:marRight w:val="0"/>
              <w:marTop w:val="0"/>
              <w:marBottom w:val="0"/>
              <w:divBdr>
                <w:top w:val="none" w:sz="0" w:space="0" w:color="auto"/>
                <w:left w:val="none" w:sz="0" w:space="0" w:color="auto"/>
                <w:bottom w:val="none" w:sz="0" w:space="0" w:color="auto"/>
                <w:right w:val="none" w:sz="0" w:space="0" w:color="auto"/>
              </w:divBdr>
            </w:div>
            <w:div w:id="1550873572">
              <w:marLeft w:val="0"/>
              <w:marRight w:val="0"/>
              <w:marTop w:val="0"/>
              <w:marBottom w:val="0"/>
              <w:divBdr>
                <w:top w:val="none" w:sz="0" w:space="0" w:color="auto"/>
                <w:left w:val="none" w:sz="0" w:space="0" w:color="auto"/>
                <w:bottom w:val="none" w:sz="0" w:space="0" w:color="auto"/>
                <w:right w:val="none" w:sz="0" w:space="0" w:color="auto"/>
              </w:divBdr>
            </w:div>
            <w:div w:id="1700543222">
              <w:marLeft w:val="0"/>
              <w:marRight w:val="0"/>
              <w:marTop w:val="0"/>
              <w:marBottom w:val="0"/>
              <w:divBdr>
                <w:top w:val="none" w:sz="0" w:space="0" w:color="auto"/>
                <w:left w:val="none" w:sz="0" w:space="0" w:color="auto"/>
                <w:bottom w:val="none" w:sz="0" w:space="0" w:color="auto"/>
                <w:right w:val="none" w:sz="0" w:space="0" w:color="auto"/>
              </w:divBdr>
            </w:div>
            <w:div w:id="1921057016">
              <w:marLeft w:val="0"/>
              <w:marRight w:val="0"/>
              <w:marTop w:val="0"/>
              <w:marBottom w:val="0"/>
              <w:divBdr>
                <w:top w:val="none" w:sz="0" w:space="0" w:color="auto"/>
                <w:left w:val="none" w:sz="0" w:space="0" w:color="auto"/>
                <w:bottom w:val="none" w:sz="0" w:space="0" w:color="auto"/>
                <w:right w:val="none" w:sz="0" w:space="0" w:color="auto"/>
              </w:divBdr>
            </w:div>
            <w:div w:id="2092892505">
              <w:marLeft w:val="0"/>
              <w:marRight w:val="0"/>
              <w:marTop w:val="0"/>
              <w:marBottom w:val="0"/>
              <w:divBdr>
                <w:top w:val="none" w:sz="0" w:space="0" w:color="auto"/>
                <w:left w:val="none" w:sz="0" w:space="0" w:color="auto"/>
                <w:bottom w:val="none" w:sz="0" w:space="0" w:color="auto"/>
                <w:right w:val="none" w:sz="0" w:space="0" w:color="auto"/>
              </w:divBdr>
            </w:div>
          </w:divsChild>
        </w:div>
        <w:div w:id="1837264491">
          <w:marLeft w:val="0"/>
          <w:marRight w:val="0"/>
          <w:marTop w:val="0"/>
          <w:marBottom w:val="0"/>
          <w:divBdr>
            <w:top w:val="none" w:sz="0" w:space="0" w:color="auto"/>
            <w:left w:val="none" w:sz="0" w:space="0" w:color="auto"/>
            <w:bottom w:val="none" w:sz="0" w:space="0" w:color="auto"/>
            <w:right w:val="none" w:sz="0" w:space="0" w:color="auto"/>
          </w:divBdr>
          <w:divsChild>
            <w:div w:id="190917281">
              <w:marLeft w:val="0"/>
              <w:marRight w:val="0"/>
              <w:marTop w:val="0"/>
              <w:marBottom w:val="0"/>
              <w:divBdr>
                <w:top w:val="none" w:sz="0" w:space="0" w:color="auto"/>
                <w:left w:val="none" w:sz="0" w:space="0" w:color="auto"/>
                <w:bottom w:val="none" w:sz="0" w:space="0" w:color="auto"/>
                <w:right w:val="none" w:sz="0" w:space="0" w:color="auto"/>
              </w:divBdr>
            </w:div>
            <w:div w:id="390546878">
              <w:marLeft w:val="0"/>
              <w:marRight w:val="0"/>
              <w:marTop w:val="0"/>
              <w:marBottom w:val="0"/>
              <w:divBdr>
                <w:top w:val="none" w:sz="0" w:space="0" w:color="auto"/>
                <w:left w:val="none" w:sz="0" w:space="0" w:color="auto"/>
                <w:bottom w:val="none" w:sz="0" w:space="0" w:color="auto"/>
                <w:right w:val="none" w:sz="0" w:space="0" w:color="auto"/>
              </w:divBdr>
            </w:div>
            <w:div w:id="446122094">
              <w:marLeft w:val="0"/>
              <w:marRight w:val="0"/>
              <w:marTop w:val="0"/>
              <w:marBottom w:val="0"/>
              <w:divBdr>
                <w:top w:val="none" w:sz="0" w:space="0" w:color="auto"/>
                <w:left w:val="none" w:sz="0" w:space="0" w:color="auto"/>
                <w:bottom w:val="none" w:sz="0" w:space="0" w:color="auto"/>
                <w:right w:val="none" w:sz="0" w:space="0" w:color="auto"/>
              </w:divBdr>
            </w:div>
            <w:div w:id="611941736">
              <w:marLeft w:val="0"/>
              <w:marRight w:val="0"/>
              <w:marTop w:val="0"/>
              <w:marBottom w:val="0"/>
              <w:divBdr>
                <w:top w:val="none" w:sz="0" w:space="0" w:color="auto"/>
                <w:left w:val="none" w:sz="0" w:space="0" w:color="auto"/>
                <w:bottom w:val="none" w:sz="0" w:space="0" w:color="auto"/>
                <w:right w:val="none" w:sz="0" w:space="0" w:color="auto"/>
              </w:divBdr>
            </w:div>
            <w:div w:id="683165813">
              <w:marLeft w:val="0"/>
              <w:marRight w:val="0"/>
              <w:marTop w:val="0"/>
              <w:marBottom w:val="0"/>
              <w:divBdr>
                <w:top w:val="none" w:sz="0" w:space="0" w:color="auto"/>
                <w:left w:val="none" w:sz="0" w:space="0" w:color="auto"/>
                <w:bottom w:val="none" w:sz="0" w:space="0" w:color="auto"/>
                <w:right w:val="none" w:sz="0" w:space="0" w:color="auto"/>
              </w:divBdr>
            </w:div>
            <w:div w:id="721633218">
              <w:marLeft w:val="0"/>
              <w:marRight w:val="0"/>
              <w:marTop w:val="0"/>
              <w:marBottom w:val="0"/>
              <w:divBdr>
                <w:top w:val="none" w:sz="0" w:space="0" w:color="auto"/>
                <w:left w:val="none" w:sz="0" w:space="0" w:color="auto"/>
                <w:bottom w:val="none" w:sz="0" w:space="0" w:color="auto"/>
                <w:right w:val="none" w:sz="0" w:space="0" w:color="auto"/>
              </w:divBdr>
            </w:div>
            <w:div w:id="766072420">
              <w:marLeft w:val="0"/>
              <w:marRight w:val="0"/>
              <w:marTop w:val="0"/>
              <w:marBottom w:val="0"/>
              <w:divBdr>
                <w:top w:val="none" w:sz="0" w:space="0" w:color="auto"/>
                <w:left w:val="none" w:sz="0" w:space="0" w:color="auto"/>
                <w:bottom w:val="none" w:sz="0" w:space="0" w:color="auto"/>
                <w:right w:val="none" w:sz="0" w:space="0" w:color="auto"/>
              </w:divBdr>
            </w:div>
            <w:div w:id="884415002">
              <w:marLeft w:val="0"/>
              <w:marRight w:val="0"/>
              <w:marTop w:val="0"/>
              <w:marBottom w:val="0"/>
              <w:divBdr>
                <w:top w:val="none" w:sz="0" w:space="0" w:color="auto"/>
                <w:left w:val="none" w:sz="0" w:space="0" w:color="auto"/>
                <w:bottom w:val="none" w:sz="0" w:space="0" w:color="auto"/>
                <w:right w:val="none" w:sz="0" w:space="0" w:color="auto"/>
              </w:divBdr>
            </w:div>
            <w:div w:id="956528704">
              <w:marLeft w:val="0"/>
              <w:marRight w:val="0"/>
              <w:marTop w:val="0"/>
              <w:marBottom w:val="0"/>
              <w:divBdr>
                <w:top w:val="none" w:sz="0" w:space="0" w:color="auto"/>
                <w:left w:val="none" w:sz="0" w:space="0" w:color="auto"/>
                <w:bottom w:val="none" w:sz="0" w:space="0" w:color="auto"/>
                <w:right w:val="none" w:sz="0" w:space="0" w:color="auto"/>
              </w:divBdr>
            </w:div>
            <w:div w:id="1060716838">
              <w:marLeft w:val="0"/>
              <w:marRight w:val="0"/>
              <w:marTop w:val="0"/>
              <w:marBottom w:val="0"/>
              <w:divBdr>
                <w:top w:val="none" w:sz="0" w:space="0" w:color="auto"/>
                <w:left w:val="none" w:sz="0" w:space="0" w:color="auto"/>
                <w:bottom w:val="none" w:sz="0" w:space="0" w:color="auto"/>
                <w:right w:val="none" w:sz="0" w:space="0" w:color="auto"/>
              </w:divBdr>
            </w:div>
            <w:div w:id="1110586378">
              <w:marLeft w:val="0"/>
              <w:marRight w:val="0"/>
              <w:marTop w:val="0"/>
              <w:marBottom w:val="0"/>
              <w:divBdr>
                <w:top w:val="none" w:sz="0" w:space="0" w:color="auto"/>
                <w:left w:val="none" w:sz="0" w:space="0" w:color="auto"/>
                <w:bottom w:val="none" w:sz="0" w:space="0" w:color="auto"/>
                <w:right w:val="none" w:sz="0" w:space="0" w:color="auto"/>
              </w:divBdr>
            </w:div>
            <w:div w:id="1313290428">
              <w:marLeft w:val="0"/>
              <w:marRight w:val="0"/>
              <w:marTop w:val="0"/>
              <w:marBottom w:val="0"/>
              <w:divBdr>
                <w:top w:val="none" w:sz="0" w:space="0" w:color="auto"/>
                <w:left w:val="none" w:sz="0" w:space="0" w:color="auto"/>
                <w:bottom w:val="none" w:sz="0" w:space="0" w:color="auto"/>
                <w:right w:val="none" w:sz="0" w:space="0" w:color="auto"/>
              </w:divBdr>
            </w:div>
            <w:div w:id="1407613121">
              <w:marLeft w:val="0"/>
              <w:marRight w:val="0"/>
              <w:marTop w:val="0"/>
              <w:marBottom w:val="0"/>
              <w:divBdr>
                <w:top w:val="none" w:sz="0" w:space="0" w:color="auto"/>
                <w:left w:val="none" w:sz="0" w:space="0" w:color="auto"/>
                <w:bottom w:val="none" w:sz="0" w:space="0" w:color="auto"/>
                <w:right w:val="none" w:sz="0" w:space="0" w:color="auto"/>
              </w:divBdr>
            </w:div>
            <w:div w:id="1527283211">
              <w:marLeft w:val="0"/>
              <w:marRight w:val="0"/>
              <w:marTop w:val="0"/>
              <w:marBottom w:val="0"/>
              <w:divBdr>
                <w:top w:val="none" w:sz="0" w:space="0" w:color="auto"/>
                <w:left w:val="none" w:sz="0" w:space="0" w:color="auto"/>
                <w:bottom w:val="none" w:sz="0" w:space="0" w:color="auto"/>
                <w:right w:val="none" w:sz="0" w:space="0" w:color="auto"/>
              </w:divBdr>
            </w:div>
            <w:div w:id="1720130184">
              <w:marLeft w:val="0"/>
              <w:marRight w:val="0"/>
              <w:marTop w:val="0"/>
              <w:marBottom w:val="0"/>
              <w:divBdr>
                <w:top w:val="none" w:sz="0" w:space="0" w:color="auto"/>
                <w:left w:val="none" w:sz="0" w:space="0" w:color="auto"/>
                <w:bottom w:val="none" w:sz="0" w:space="0" w:color="auto"/>
                <w:right w:val="none" w:sz="0" w:space="0" w:color="auto"/>
              </w:divBdr>
            </w:div>
            <w:div w:id="1740513239">
              <w:marLeft w:val="0"/>
              <w:marRight w:val="0"/>
              <w:marTop w:val="0"/>
              <w:marBottom w:val="0"/>
              <w:divBdr>
                <w:top w:val="none" w:sz="0" w:space="0" w:color="auto"/>
                <w:left w:val="none" w:sz="0" w:space="0" w:color="auto"/>
                <w:bottom w:val="none" w:sz="0" w:space="0" w:color="auto"/>
                <w:right w:val="none" w:sz="0" w:space="0" w:color="auto"/>
              </w:divBdr>
            </w:div>
            <w:div w:id="1936284051">
              <w:marLeft w:val="0"/>
              <w:marRight w:val="0"/>
              <w:marTop w:val="0"/>
              <w:marBottom w:val="0"/>
              <w:divBdr>
                <w:top w:val="none" w:sz="0" w:space="0" w:color="auto"/>
                <w:left w:val="none" w:sz="0" w:space="0" w:color="auto"/>
                <w:bottom w:val="none" w:sz="0" w:space="0" w:color="auto"/>
                <w:right w:val="none" w:sz="0" w:space="0" w:color="auto"/>
              </w:divBdr>
            </w:div>
            <w:div w:id="1967615955">
              <w:marLeft w:val="0"/>
              <w:marRight w:val="0"/>
              <w:marTop w:val="0"/>
              <w:marBottom w:val="0"/>
              <w:divBdr>
                <w:top w:val="none" w:sz="0" w:space="0" w:color="auto"/>
                <w:left w:val="none" w:sz="0" w:space="0" w:color="auto"/>
                <w:bottom w:val="none" w:sz="0" w:space="0" w:color="auto"/>
                <w:right w:val="none" w:sz="0" w:space="0" w:color="auto"/>
              </w:divBdr>
            </w:div>
            <w:div w:id="1990747510">
              <w:marLeft w:val="0"/>
              <w:marRight w:val="0"/>
              <w:marTop w:val="0"/>
              <w:marBottom w:val="0"/>
              <w:divBdr>
                <w:top w:val="none" w:sz="0" w:space="0" w:color="auto"/>
                <w:left w:val="none" w:sz="0" w:space="0" w:color="auto"/>
                <w:bottom w:val="none" w:sz="0" w:space="0" w:color="auto"/>
                <w:right w:val="none" w:sz="0" w:space="0" w:color="auto"/>
              </w:divBdr>
            </w:div>
            <w:div w:id="2015303359">
              <w:marLeft w:val="0"/>
              <w:marRight w:val="0"/>
              <w:marTop w:val="0"/>
              <w:marBottom w:val="0"/>
              <w:divBdr>
                <w:top w:val="none" w:sz="0" w:space="0" w:color="auto"/>
                <w:left w:val="none" w:sz="0" w:space="0" w:color="auto"/>
                <w:bottom w:val="none" w:sz="0" w:space="0" w:color="auto"/>
                <w:right w:val="none" w:sz="0" w:space="0" w:color="auto"/>
              </w:divBdr>
            </w:div>
          </w:divsChild>
        </w:div>
        <w:div w:id="1857304723">
          <w:marLeft w:val="0"/>
          <w:marRight w:val="0"/>
          <w:marTop w:val="0"/>
          <w:marBottom w:val="0"/>
          <w:divBdr>
            <w:top w:val="none" w:sz="0" w:space="0" w:color="auto"/>
            <w:left w:val="none" w:sz="0" w:space="0" w:color="auto"/>
            <w:bottom w:val="none" w:sz="0" w:space="0" w:color="auto"/>
            <w:right w:val="none" w:sz="0" w:space="0" w:color="auto"/>
          </w:divBdr>
          <w:divsChild>
            <w:div w:id="60101319">
              <w:marLeft w:val="0"/>
              <w:marRight w:val="0"/>
              <w:marTop w:val="0"/>
              <w:marBottom w:val="0"/>
              <w:divBdr>
                <w:top w:val="none" w:sz="0" w:space="0" w:color="auto"/>
                <w:left w:val="none" w:sz="0" w:space="0" w:color="auto"/>
                <w:bottom w:val="none" w:sz="0" w:space="0" w:color="auto"/>
                <w:right w:val="none" w:sz="0" w:space="0" w:color="auto"/>
              </w:divBdr>
            </w:div>
            <w:div w:id="126708467">
              <w:marLeft w:val="0"/>
              <w:marRight w:val="0"/>
              <w:marTop w:val="0"/>
              <w:marBottom w:val="0"/>
              <w:divBdr>
                <w:top w:val="none" w:sz="0" w:space="0" w:color="auto"/>
                <w:left w:val="none" w:sz="0" w:space="0" w:color="auto"/>
                <w:bottom w:val="none" w:sz="0" w:space="0" w:color="auto"/>
                <w:right w:val="none" w:sz="0" w:space="0" w:color="auto"/>
              </w:divBdr>
            </w:div>
            <w:div w:id="188498093">
              <w:marLeft w:val="0"/>
              <w:marRight w:val="0"/>
              <w:marTop w:val="0"/>
              <w:marBottom w:val="0"/>
              <w:divBdr>
                <w:top w:val="none" w:sz="0" w:space="0" w:color="auto"/>
                <w:left w:val="none" w:sz="0" w:space="0" w:color="auto"/>
                <w:bottom w:val="none" w:sz="0" w:space="0" w:color="auto"/>
                <w:right w:val="none" w:sz="0" w:space="0" w:color="auto"/>
              </w:divBdr>
            </w:div>
            <w:div w:id="284386548">
              <w:marLeft w:val="0"/>
              <w:marRight w:val="0"/>
              <w:marTop w:val="0"/>
              <w:marBottom w:val="0"/>
              <w:divBdr>
                <w:top w:val="none" w:sz="0" w:space="0" w:color="auto"/>
                <w:left w:val="none" w:sz="0" w:space="0" w:color="auto"/>
                <w:bottom w:val="none" w:sz="0" w:space="0" w:color="auto"/>
                <w:right w:val="none" w:sz="0" w:space="0" w:color="auto"/>
              </w:divBdr>
            </w:div>
            <w:div w:id="509104940">
              <w:marLeft w:val="0"/>
              <w:marRight w:val="0"/>
              <w:marTop w:val="0"/>
              <w:marBottom w:val="0"/>
              <w:divBdr>
                <w:top w:val="none" w:sz="0" w:space="0" w:color="auto"/>
                <w:left w:val="none" w:sz="0" w:space="0" w:color="auto"/>
                <w:bottom w:val="none" w:sz="0" w:space="0" w:color="auto"/>
                <w:right w:val="none" w:sz="0" w:space="0" w:color="auto"/>
              </w:divBdr>
            </w:div>
            <w:div w:id="583804216">
              <w:marLeft w:val="0"/>
              <w:marRight w:val="0"/>
              <w:marTop w:val="0"/>
              <w:marBottom w:val="0"/>
              <w:divBdr>
                <w:top w:val="none" w:sz="0" w:space="0" w:color="auto"/>
                <w:left w:val="none" w:sz="0" w:space="0" w:color="auto"/>
                <w:bottom w:val="none" w:sz="0" w:space="0" w:color="auto"/>
                <w:right w:val="none" w:sz="0" w:space="0" w:color="auto"/>
              </w:divBdr>
            </w:div>
            <w:div w:id="617642491">
              <w:marLeft w:val="0"/>
              <w:marRight w:val="0"/>
              <w:marTop w:val="0"/>
              <w:marBottom w:val="0"/>
              <w:divBdr>
                <w:top w:val="none" w:sz="0" w:space="0" w:color="auto"/>
                <w:left w:val="none" w:sz="0" w:space="0" w:color="auto"/>
                <w:bottom w:val="none" w:sz="0" w:space="0" w:color="auto"/>
                <w:right w:val="none" w:sz="0" w:space="0" w:color="auto"/>
              </w:divBdr>
            </w:div>
            <w:div w:id="690299901">
              <w:marLeft w:val="0"/>
              <w:marRight w:val="0"/>
              <w:marTop w:val="0"/>
              <w:marBottom w:val="0"/>
              <w:divBdr>
                <w:top w:val="none" w:sz="0" w:space="0" w:color="auto"/>
                <w:left w:val="none" w:sz="0" w:space="0" w:color="auto"/>
                <w:bottom w:val="none" w:sz="0" w:space="0" w:color="auto"/>
                <w:right w:val="none" w:sz="0" w:space="0" w:color="auto"/>
              </w:divBdr>
            </w:div>
            <w:div w:id="758064105">
              <w:marLeft w:val="0"/>
              <w:marRight w:val="0"/>
              <w:marTop w:val="0"/>
              <w:marBottom w:val="0"/>
              <w:divBdr>
                <w:top w:val="none" w:sz="0" w:space="0" w:color="auto"/>
                <w:left w:val="none" w:sz="0" w:space="0" w:color="auto"/>
                <w:bottom w:val="none" w:sz="0" w:space="0" w:color="auto"/>
                <w:right w:val="none" w:sz="0" w:space="0" w:color="auto"/>
              </w:divBdr>
            </w:div>
            <w:div w:id="839658771">
              <w:marLeft w:val="0"/>
              <w:marRight w:val="0"/>
              <w:marTop w:val="0"/>
              <w:marBottom w:val="0"/>
              <w:divBdr>
                <w:top w:val="none" w:sz="0" w:space="0" w:color="auto"/>
                <w:left w:val="none" w:sz="0" w:space="0" w:color="auto"/>
                <w:bottom w:val="none" w:sz="0" w:space="0" w:color="auto"/>
                <w:right w:val="none" w:sz="0" w:space="0" w:color="auto"/>
              </w:divBdr>
            </w:div>
            <w:div w:id="892539608">
              <w:marLeft w:val="0"/>
              <w:marRight w:val="0"/>
              <w:marTop w:val="0"/>
              <w:marBottom w:val="0"/>
              <w:divBdr>
                <w:top w:val="none" w:sz="0" w:space="0" w:color="auto"/>
                <w:left w:val="none" w:sz="0" w:space="0" w:color="auto"/>
                <w:bottom w:val="none" w:sz="0" w:space="0" w:color="auto"/>
                <w:right w:val="none" w:sz="0" w:space="0" w:color="auto"/>
              </w:divBdr>
            </w:div>
            <w:div w:id="902567840">
              <w:marLeft w:val="0"/>
              <w:marRight w:val="0"/>
              <w:marTop w:val="0"/>
              <w:marBottom w:val="0"/>
              <w:divBdr>
                <w:top w:val="none" w:sz="0" w:space="0" w:color="auto"/>
                <w:left w:val="none" w:sz="0" w:space="0" w:color="auto"/>
                <w:bottom w:val="none" w:sz="0" w:space="0" w:color="auto"/>
                <w:right w:val="none" w:sz="0" w:space="0" w:color="auto"/>
              </w:divBdr>
            </w:div>
            <w:div w:id="961569599">
              <w:marLeft w:val="0"/>
              <w:marRight w:val="0"/>
              <w:marTop w:val="0"/>
              <w:marBottom w:val="0"/>
              <w:divBdr>
                <w:top w:val="none" w:sz="0" w:space="0" w:color="auto"/>
                <w:left w:val="none" w:sz="0" w:space="0" w:color="auto"/>
                <w:bottom w:val="none" w:sz="0" w:space="0" w:color="auto"/>
                <w:right w:val="none" w:sz="0" w:space="0" w:color="auto"/>
              </w:divBdr>
            </w:div>
            <w:div w:id="1020355464">
              <w:marLeft w:val="0"/>
              <w:marRight w:val="0"/>
              <w:marTop w:val="0"/>
              <w:marBottom w:val="0"/>
              <w:divBdr>
                <w:top w:val="none" w:sz="0" w:space="0" w:color="auto"/>
                <w:left w:val="none" w:sz="0" w:space="0" w:color="auto"/>
                <w:bottom w:val="none" w:sz="0" w:space="0" w:color="auto"/>
                <w:right w:val="none" w:sz="0" w:space="0" w:color="auto"/>
              </w:divBdr>
            </w:div>
            <w:div w:id="1573660497">
              <w:marLeft w:val="0"/>
              <w:marRight w:val="0"/>
              <w:marTop w:val="0"/>
              <w:marBottom w:val="0"/>
              <w:divBdr>
                <w:top w:val="none" w:sz="0" w:space="0" w:color="auto"/>
                <w:left w:val="none" w:sz="0" w:space="0" w:color="auto"/>
                <w:bottom w:val="none" w:sz="0" w:space="0" w:color="auto"/>
                <w:right w:val="none" w:sz="0" w:space="0" w:color="auto"/>
              </w:divBdr>
            </w:div>
            <w:div w:id="1579830160">
              <w:marLeft w:val="0"/>
              <w:marRight w:val="0"/>
              <w:marTop w:val="0"/>
              <w:marBottom w:val="0"/>
              <w:divBdr>
                <w:top w:val="none" w:sz="0" w:space="0" w:color="auto"/>
                <w:left w:val="none" w:sz="0" w:space="0" w:color="auto"/>
                <w:bottom w:val="none" w:sz="0" w:space="0" w:color="auto"/>
                <w:right w:val="none" w:sz="0" w:space="0" w:color="auto"/>
              </w:divBdr>
            </w:div>
            <w:div w:id="1586567609">
              <w:marLeft w:val="0"/>
              <w:marRight w:val="0"/>
              <w:marTop w:val="0"/>
              <w:marBottom w:val="0"/>
              <w:divBdr>
                <w:top w:val="none" w:sz="0" w:space="0" w:color="auto"/>
                <w:left w:val="none" w:sz="0" w:space="0" w:color="auto"/>
                <w:bottom w:val="none" w:sz="0" w:space="0" w:color="auto"/>
                <w:right w:val="none" w:sz="0" w:space="0" w:color="auto"/>
              </w:divBdr>
            </w:div>
            <w:div w:id="1592619297">
              <w:marLeft w:val="0"/>
              <w:marRight w:val="0"/>
              <w:marTop w:val="0"/>
              <w:marBottom w:val="0"/>
              <w:divBdr>
                <w:top w:val="none" w:sz="0" w:space="0" w:color="auto"/>
                <w:left w:val="none" w:sz="0" w:space="0" w:color="auto"/>
                <w:bottom w:val="none" w:sz="0" w:space="0" w:color="auto"/>
                <w:right w:val="none" w:sz="0" w:space="0" w:color="auto"/>
              </w:divBdr>
            </w:div>
            <w:div w:id="1807897006">
              <w:marLeft w:val="0"/>
              <w:marRight w:val="0"/>
              <w:marTop w:val="0"/>
              <w:marBottom w:val="0"/>
              <w:divBdr>
                <w:top w:val="none" w:sz="0" w:space="0" w:color="auto"/>
                <w:left w:val="none" w:sz="0" w:space="0" w:color="auto"/>
                <w:bottom w:val="none" w:sz="0" w:space="0" w:color="auto"/>
                <w:right w:val="none" w:sz="0" w:space="0" w:color="auto"/>
              </w:divBdr>
            </w:div>
            <w:div w:id="192276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30061">
      <w:bodyDiv w:val="1"/>
      <w:marLeft w:val="0"/>
      <w:marRight w:val="0"/>
      <w:marTop w:val="0"/>
      <w:marBottom w:val="0"/>
      <w:divBdr>
        <w:top w:val="none" w:sz="0" w:space="0" w:color="auto"/>
        <w:left w:val="none" w:sz="0" w:space="0" w:color="auto"/>
        <w:bottom w:val="none" w:sz="0" w:space="0" w:color="auto"/>
        <w:right w:val="none" w:sz="0" w:space="0" w:color="auto"/>
      </w:divBdr>
      <w:divsChild>
        <w:div w:id="40911184">
          <w:marLeft w:val="0"/>
          <w:marRight w:val="0"/>
          <w:marTop w:val="0"/>
          <w:marBottom w:val="0"/>
          <w:divBdr>
            <w:top w:val="none" w:sz="0" w:space="0" w:color="auto"/>
            <w:left w:val="none" w:sz="0" w:space="0" w:color="auto"/>
            <w:bottom w:val="none" w:sz="0" w:space="0" w:color="auto"/>
            <w:right w:val="none" w:sz="0" w:space="0" w:color="auto"/>
          </w:divBdr>
        </w:div>
        <w:div w:id="368721390">
          <w:marLeft w:val="0"/>
          <w:marRight w:val="0"/>
          <w:marTop w:val="0"/>
          <w:marBottom w:val="0"/>
          <w:divBdr>
            <w:top w:val="none" w:sz="0" w:space="0" w:color="auto"/>
            <w:left w:val="none" w:sz="0" w:space="0" w:color="auto"/>
            <w:bottom w:val="none" w:sz="0" w:space="0" w:color="auto"/>
            <w:right w:val="none" w:sz="0" w:space="0" w:color="auto"/>
          </w:divBdr>
        </w:div>
        <w:div w:id="411972436">
          <w:marLeft w:val="0"/>
          <w:marRight w:val="0"/>
          <w:marTop w:val="0"/>
          <w:marBottom w:val="0"/>
          <w:divBdr>
            <w:top w:val="none" w:sz="0" w:space="0" w:color="auto"/>
            <w:left w:val="none" w:sz="0" w:space="0" w:color="auto"/>
            <w:bottom w:val="none" w:sz="0" w:space="0" w:color="auto"/>
            <w:right w:val="none" w:sz="0" w:space="0" w:color="auto"/>
          </w:divBdr>
        </w:div>
        <w:div w:id="829559652">
          <w:marLeft w:val="0"/>
          <w:marRight w:val="0"/>
          <w:marTop w:val="0"/>
          <w:marBottom w:val="0"/>
          <w:divBdr>
            <w:top w:val="none" w:sz="0" w:space="0" w:color="auto"/>
            <w:left w:val="none" w:sz="0" w:space="0" w:color="auto"/>
            <w:bottom w:val="none" w:sz="0" w:space="0" w:color="auto"/>
            <w:right w:val="none" w:sz="0" w:space="0" w:color="auto"/>
          </w:divBdr>
        </w:div>
        <w:div w:id="1094352533">
          <w:marLeft w:val="0"/>
          <w:marRight w:val="0"/>
          <w:marTop w:val="0"/>
          <w:marBottom w:val="0"/>
          <w:divBdr>
            <w:top w:val="none" w:sz="0" w:space="0" w:color="auto"/>
            <w:left w:val="none" w:sz="0" w:space="0" w:color="auto"/>
            <w:bottom w:val="none" w:sz="0" w:space="0" w:color="auto"/>
            <w:right w:val="none" w:sz="0" w:space="0" w:color="auto"/>
          </w:divBdr>
        </w:div>
        <w:div w:id="1192495449">
          <w:marLeft w:val="0"/>
          <w:marRight w:val="0"/>
          <w:marTop w:val="0"/>
          <w:marBottom w:val="0"/>
          <w:divBdr>
            <w:top w:val="none" w:sz="0" w:space="0" w:color="auto"/>
            <w:left w:val="none" w:sz="0" w:space="0" w:color="auto"/>
            <w:bottom w:val="none" w:sz="0" w:space="0" w:color="auto"/>
            <w:right w:val="none" w:sz="0" w:space="0" w:color="auto"/>
          </w:divBdr>
        </w:div>
        <w:div w:id="1434863440">
          <w:marLeft w:val="0"/>
          <w:marRight w:val="0"/>
          <w:marTop w:val="0"/>
          <w:marBottom w:val="0"/>
          <w:divBdr>
            <w:top w:val="none" w:sz="0" w:space="0" w:color="auto"/>
            <w:left w:val="none" w:sz="0" w:space="0" w:color="auto"/>
            <w:bottom w:val="none" w:sz="0" w:space="0" w:color="auto"/>
            <w:right w:val="none" w:sz="0" w:space="0" w:color="auto"/>
          </w:divBdr>
        </w:div>
        <w:div w:id="1797676467">
          <w:marLeft w:val="0"/>
          <w:marRight w:val="0"/>
          <w:marTop w:val="0"/>
          <w:marBottom w:val="0"/>
          <w:divBdr>
            <w:top w:val="none" w:sz="0" w:space="0" w:color="auto"/>
            <w:left w:val="none" w:sz="0" w:space="0" w:color="auto"/>
            <w:bottom w:val="none" w:sz="0" w:space="0" w:color="auto"/>
            <w:right w:val="none" w:sz="0" w:space="0" w:color="auto"/>
          </w:divBdr>
        </w:div>
        <w:div w:id="1825199251">
          <w:marLeft w:val="0"/>
          <w:marRight w:val="0"/>
          <w:marTop w:val="0"/>
          <w:marBottom w:val="0"/>
          <w:divBdr>
            <w:top w:val="none" w:sz="0" w:space="0" w:color="auto"/>
            <w:left w:val="none" w:sz="0" w:space="0" w:color="auto"/>
            <w:bottom w:val="none" w:sz="0" w:space="0" w:color="auto"/>
            <w:right w:val="none" w:sz="0" w:space="0" w:color="auto"/>
          </w:divBdr>
        </w:div>
        <w:div w:id="1902520552">
          <w:marLeft w:val="0"/>
          <w:marRight w:val="0"/>
          <w:marTop w:val="0"/>
          <w:marBottom w:val="0"/>
          <w:divBdr>
            <w:top w:val="none" w:sz="0" w:space="0" w:color="auto"/>
            <w:left w:val="none" w:sz="0" w:space="0" w:color="auto"/>
            <w:bottom w:val="none" w:sz="0" w:space="0" w:color="auto"/>
            <w:right w:val="none" w:sz="0" w:space="0" w:color="auto"/>
          </w:divBdr>
        </w:div>
      </w:divsChild>
    </w:div>
    <w:div w:id="1587768406">
      <w:bodyDiv w:val="1"/>
      <w:marLeft w:val="0"/>
      <w:marRight w:val="0"/>
      <w:marTop w:val="0"/>
      <w:marBottom w:val="0"/>
      <w:divBdr>
        <w:top w:val="none" w:sz="0" w:space="0" w:color="auto"/>
        <w:left w:val="none" w:sz="0" w:space="0" w:color="auto"/>
        <w:bottom w:val="none" w:sz="0" w:space="0" w:color="auto"/>
        <w:right w:val="none" w:sz="0" w:space="0" w:color="auto"/>
      </w:divBdr>
    </w:div>
    <w:div w:id="1740328977">
      <w:bodyDiv w:val="1"/>
      <w:marLeft w:val="0"/>
      <w:marRight w:val="0"/>
      <w:marTop w:val="0"/>
      <w:marBottom w:val="0"/>
      <w:divBdr>
        <w:top w:val="none" w:sz="0" w:space="0" w:color="auto"/>
        <w:left w:val="none" w:sz="0" w:space="0" w:color="auto"/>
        <w:bottom w:val="none" w:sz="0" w:space="0" w:color="auto"/>
        <w:right w:val="none" w:sz="0" w:space="0" w:color="auto"/>
      </w:divBdr>
      <w:divsChild>
        <w:div w:id="37971117">
          <w:marLeft w:val="0"/>
          <w:marRight w:val="0"/>
          <w:marTop w:val="0"/>
          <w:marBottom w:val="0"/>
          <w:divBdr>
            <w:top w:val="none" w:sz="0" w:space="0" w:color="auto"/>
            <w:left w:val="none" w:sz="0" w:space="0" w:color="auto"/>
            <w:bottom w:val="none" w:sz="0" w:space="0" w:color="auto"/>
            <w:right w:val="none" w:sz="0" w:space="0" w:color="auto"/>
          </w:divBdr>
        </w:div>
        <w:div w:id="177430334">
          <w:marLeft w:val="0"/>
          <w:marRight w:val="0"/>
          <w:marTop w:val="0"/>
          <w:marBottom w:val="0"/>
          <w:divBdr>
            <w:top w:val="none" w:sz="0" w:space="0" w:color="auto"/>
            <w:left w:val="none" w:sz="0" w:space="0" w:color="auto"/>
            <w:bottom w:val="none" w:sz="0" w:space="0" w:color="auto"/>
            <w:right w:val="none" w:sz="0" w:space="0" w:color="auto"/>
          </w:divBdr>
        </w:div>
        <w:div w:id="239170661">
          <w:marLeft w:val="0"/>
          <w:marRight w:val="0"/>
          <w:marTop w:val="0"/>
          <w:marBottom w:val="0"/>
          <w:divBdr>
            <w:top w:val="none" w:sz="0" w:space="0" w:color="auto"/>
            <w:left w:val="none" w:sz="0" w:space="0" w:color="auto"/>
            <w:bottom w:val="none" w:sz="0" w:space="0" w:color="auto"/>
            <w:right w:val="none" w:sz="0" w:space="0" w:color="auto"/>
          </w:divBdr>
        </w:div>
        <w:div w:id="329600710">
          <w:marLeft w:val="0"/>
          <w:marRight w:val="0"/>
          <w:marTop w:val="0"/>
          <w:marBottom w:val="0"/>
          <w:divBdr>
            <w:top w:val="none" w:sz="0" w:space="0" w:color="auto"/>
            <w:left w:val="none" w:sz="0" w:space="0" w:color="auto"/>
            <w:bottom w:val="none" w:sz="0" w:space="0" w:color="auto"/>
            <w:right w:val="none" w:sz="0" w:space="0" w:color="auto"/>
          </w:divBdr>
        </w:div>
        <w:div w:id="769081305">
          <w:marLeft w:val="0"/>
          <w:marRight w:val="0"/>
          <w:marTop w:val="0"/>
          <w:marBottom w:val="0"/>
          <w:divBdr>
            <w:top w:val="none" w:sz="0" w:space="0" w:color="auto"/>
            <w:left w:val="none" w:sz="0" w:space="0" w:color="auto"/>
            <w:bottom w:val="none" w:sz="0" w:space="0" w:color="auto"/>
            <w:right w:val="none" w:sz="0" w:space="0" w:color="auto"/>
          </w:divBdr>
        </w:div>
        <w:div w:id="926617549">
          <w:marLeft w:val="0"/>
          <w:marRight w:val="0"/>
          <w:marTop w:val="0"/>
          <w:marBottom w:val="0"/>
          <w:divBdr>
            <w:top w:val="none" w:sz="0" w:space="0" w:color="auto"/>
            <w:left w:val="none" w:sz="0" w:space="0" w:color="auto"/>
            <w:bottom w:val="none" w:sz="0" w:space="0" w:color="auto"/>
            <w:right w:val="none" w:sz="0" w:space="0" w:color="auto"/>
          </w:divBdr>
        </w:div>
        <w:div w:id="1244878427">
          <w:marLeft w:val="0"/>
          <w:marRight w:val="0"/>
          <w:marTop w:val="0"/>
          <w:marBottom w:val="0"/>
          <w:divBdr>
            <w:top w:val="none" w:sz="0" w:space="0" w:color="auto"/>
            <w:left w:val="none" w:sz="0" w:space="0" w:color="auto"/>
            <w:bottom w:val="none" w:sz="0" w:space="0" w:color="auto"/>
            <w:right w:val="none" w:sz="0" w:space="0" w:color="auto"/>
          </w:divBdr>
        </w:div>
        <w:div w:id="1677615041">
          <w:marLeft w:val="0"/>
          <w:marRight w:val="0"/>
          <w:marTop w:val="0"/>
          <w:marBottom w:val="0"/>
          <w:divBdr>
            <w:top w:val="none" w:sz="0" w:space="0" w:color="auto"/>
            <w:left w:val="none" w:sz="0" w:space="0" w:color="auto"/>
            <w:bottom w:val="none" w:sz="0" w:space="0" w:color="auto"/>
            <w:right w:val="none" w:sz="0" w:space="0" w:color="auto"/>
          </w:divBdr>
        </w:div>
        <w:div w:id="2022857438">
          <w:marLeft w:val="0"/>
          <w:marRight w:val="0"/>
          <w:marTop w:val="0"/>
          <w:marBottom w:val="0"/>
          <w:divBdr>
            <w:top w:val="none" w:sz="0" w:space="0" w:color="auto"/>
            <w:left w:val="none" w:sz="0" w:space="0" w:color="auto"/>
            <w:bottom w:val="none" w:sz="0" w:space="0" w:color="auto"/>
            <w:right w:val="none" w:sz="0" w:space="0" w:color="auto"/>
          </w:divBdr>
        </w:div>
        <w:div w:id="2109547178">
          <w:marLeft w:val="0"/>
          <w:marRight w:val="0"/>
          <w:marTop w:val="0"/>
          <w:marBottom w:val="0"/>
          <w:divBdr>
            <w:top w:val="none" w:sz="0" w:space="0" w:color="auto"/>
            <w:left w:val="none" w:sz="0" w:space="0" w:color="auto"/>
            <w:bottom w:val="none" w:sz="0" w:space="0" w:color="auto"/>
            <w:right w:val="none" w:sz="0" w:space="0" w:color="auto"/>
          </w:divBdr>
        </w:div>
      </w:divsChild>
    </w:div>
    <w:div w:id="1812551112">
      <w:bodyDiv w:val="1"/>
      <w:marLeft w:val="0"/>
      <w:marRight w:val="0"/>
      <w:marTop w:val="0"/>
      <w:marBottom w:val="0"/>
      <w:divBdr>
        <w:top w:val="none" w:sz="0" w:space="0" w:color="auto"/>
        <w:left w:val="none" w:sz="0" w:space="0" w:color="auto"/>
        <w:bottom w:val="none" w:sz="0" w:space="0" w:color="auto"/>
        <w:right w:val="none" w:sz="0" w:space="0" w:color="auto"/>
      </w:divBdr>
    </w:div>
    <w:div w:id="1897818850">
      <w:bodyDiv w:val="1"/>
      <w:marLeft w:val="0"/>
      <w:marRight w:val="0"/>
      <w:marTop w:val="0"/>
      <w:marBottom w:val="0"/>
      <w:divBdr>
        <w:top w:val="none" w:sz="0" w:space="0" w:color="auto"/>
        <w:left w:val="none" w:sz="0" w:space="0" w:color="auto"/>
        <w:bottom w:val="none" w:sz="0" w:space="0" w:color="auto"/>
        <w:right w:val="none" w:sz="0" w:space="0" w:color="auto"/>
      </w:divBdr>
      <w:divsChild>
        <w:div w:id="60449440">
          <w:marLeft w:val="0"/>
          <w:marRight w:val="0"/>
          <w:marTop w:val="0"/>
          <w:marBottom w:val="0"/>
          <w:divBdr>
            <w:top w:val="none" w:sz="0" w:space="0" w:color="auto"/>
            <w:left w:val="none" w:sz="0" w:space="0" w:color="auto"/>
            <w:bottom w:val="none" w:sz="0" w:space="0" w:color="auto"/>
            <w:right w:val="none" w:sz="0" w:space="0" w:color="auto"/>
          </w:divBdr>
        </w:div>
        <w:div w:id="72436449">
          <w:marLeft w:val="0"/>
          <w:marRight w:val="0"/>
          <w:marTop w:val="0"/>
          <w:marBottom w:val="0"/>
          <w:divBdr>
            <w:top w:val="none" w:sz="0" w:space="0" w:color="auto"/>
            <w:left w:val="none" w:sz="0" w:space="0" w:color="auto"/>
            <w:bottom w:val="none" w:sz="0" w:space="0" w:color="auto"/>
            <w:right w:val="none" w:sz="0" w:space="0" w:color="auto"/>
          </w:divBdr>
        </w:div>
        <w:div w:id="102577388">
          <w:marLeft w:val="0"/>
          <w:marRight w:val="0"/>
          <w:marTop w:val="0"/>
          <w:marBottom w:val="0"/>
          <w:divBdr>
            <w:top w:val="none" w:sz="0" w:space="0" w:color="auto"/>
            <w:left w:val="none" w:sz="0" w:space="0" w:color="auto"/>
            <w:bottom w:val="none" w:sz="0" w:space="0" w:color="auto"/>
            <w:right w:val="none" w:sz="0" w:space="0" w:color="auto"/>
          </w:divBdr>
        </w:div>
        <w:div w:id="110785727">
          <w:marLeft w:val="0"/>
          <w:marRight w:val="0"/>
          <w:marTop w:val="0"/>
          <w:marBottom w:val="0"/>
          <w:divBdr>
            <w:top w:val="none" w:sz="0" w:space="0" w:color="auto"/>
            <w:left w:val="none" w:sz="0" w:space="0" w:color="auto"/>
            <w:bottom w:val="none" w:sz="0" w:space="0" w:color="auto"/>
            <w:right w:val="none" w:sz="0" w:space="0" w:color="auto"/>
          </w:divBdr>
        </w:div>
        <w:div w:id="322321680">
          <w:marLeft w:val="0"/>
          <w:marRight w:val="0"/>
          <w:marTop w:val="0"/>
          <w:marBottom w:val="0"/>
          <w:divBdr>
            <w:top w:val="none" w:sz="0" w:space="0" w:color="auto"/>
            <w:left w:val="none" w:sz="0" w:space="0" w:color="auto"/>
            <w:bottom w:val="none" w:sz="0" w:space="0" w:color="auto"/>
            <w:right w:val="none" w:sz="0" w:space="0" w:color="auto"/>
          </w:divBdr>
        </w:div>
        <w:div w:id="424882470">
          <w:marLeft w:val="0"/>
          <w:marRight w:val="0"/>
          <w:marTop w:val="0"/>
          <w:marBottom w:val="0"/>
          <w:divBdr>
            <w:top w:val="none" w:sz="0" w:space="0" w:color="auto"/>
            <w:left w:val="none" w:sz="0" w:space="0" w:color="auto"/>
            <w:bottom w:val="none" w:sz="0" w:space="0" w:color="auto"/>
            <w:right w:val="none" w:sz="0" w:space="0" w:color="auto"/>
          </w:divBdr>
        </w:div>
        <w:div w:id="730350467">
          <w:marLeft w:val="0"/>
          <w:marRight w:val="0"/>
          <w:marTop w:val="0"/>
          <w:marBottom w:val="0"/>
          <w:divBdr>
            <w:top w:val="none" w:sz="0" w:space="0" w:color="auto"/>
            <w:left w:val="none" w:sz="0" w:space="0" w:color="auto"/>
            <w:bottom w:val="none" w:sz="0" w:space="0" w:color="auto"/>
            <w:right w:val="none" w:sz="0" w:space="0" w:color="auto"/>
          </w:divBdr>
        </w:div>
        <w:div w:id="834033080">
          <w:marLeft w:val="0"/>
          <w:marRight w:val="0"/>
          <w:marTop w:val="0"/>
          <w:marBottom w:val="0"/>
          <w:divBdr>
            <w:top w:val="none" w:sz="0" w:space="0" w:color="auto"/>
            <w:left w:val="none" w:sz="0" w:space="0" w:color="auto"/>
            <w:bottom w:val="none" w:sz="0" w:space="0" w:color="auto"/>
            <w:right w:val="none" w:sz="0" w:space="0" w:color="auto"/>
          </w:divBdr>
        </w:div>
        <w:div w:id="1143889735">
          <w:marLeft w:val="0"/>
          <w:marRight w:val="0"/>
          <w:marTop w:val="0"/>
          <w:marBottom w:val="0"/>
          <w:divBdr>
            <w:top w:val="none" w:sz="0" w:space="0" w:color="auto"/>
            <w:left w:val="none" w:sz="0" w:space="0" w:color="auto"/>
            <w:bottom w:val="none" w:sz="0" w:space="0" w:color="auto"/>
            <w:right w:val="none" w:sz="0" w:space="0" w:color="auto"/>
          </w:divBdr>
        </w:div>
        <w:div w:id="1197739258">
          <w:marLeft w:val="0"/>
          <w:marRight w:val="0"/>
          <w:marTop w:val="0"/>
          <w:marBottom w:val="0"/>
          <w:divBdr>
            <w:top w:val="none" w:sz="0" w:space="0" w:color="auto"/>
            <w:left w:val="none" w:sz="0" w:space="0" w:color="auto"/>
            <w:bottom w:val="none" w:sz="0" w:space="0" w:color="auto"/>
            <w:right w:val="none" w:sz="0" w:space="0" w:color="auto"/>
          </w:divBdr>
        </w:div>
        <w:div w:id="1283920403">
          <w:marLeft w:val="0"/>
          <w:marRight w:val="0"/>
          <w:marTop w:val="0"/>
          <w:marBottom w:val="0"/>
          <w:divBdr>
            <w:top w:val="none" w:sz="0" w:space="0" w:color="auto"/>
            <w:left w:val="none" w:sz="0" w:space="0" w:color="auto"/>
            <w:bottom w:val="none" w:sz="0" w:space="0" w:color="auto"/>
            <w:right w:val="none" w:sz="0" w:space="0" w:color="auto"/>
          </w:divBdr>
        </w:div>
        <w:div w:id="1447188740">
          <w:marLeft w:val="0"/>
          <w:marRight w:val="0"/>
          <w:marTop w:val="0"/>
          <w:marBottom w:val="0"/>
          <w:divBdr>
            <w:top w:val="none" w:sz="0" w:space="0" w:color="auto"/>
            <w:left w:val="none" w:sz="0" w:space="0" w:color="auto"/>
            <w:bottom w:val="none" w:sz="0" w:space="0" w:color="auto"/>
            <w:right w:val="none" w:sz="0" w:space="0" w:color="auto"/>
          </w:divBdr>
        </w:div>
        <w:div w:id="1478913034">
          <w:marLeft w:val="0"/>
          <w:marRight w:val="0"/>
          <w:marTop w:val="0"/>
          <w:marBottom w:val="0"/>
          <w:divBdr>
            <w:top w:val="none" w:sz="0" w:space="0" w:color="auto"/>
            <w:left w:val="none" w:sz="0" w:space="0" w:color="auto"/>
            <w:bottom w:val="none" w:sz="0" w:space="0" w:color="auto"/>
            <w:right w:val="none" w:sz="0" w:space="0" w:color="auto"/>
          </w:divBdr>
        </w:div>
        <w:div w:id="1541087630">
          <w:marLeft w:val="0"/>
          <w:marRight w:val="0"/>
          <w:marTop w:val="0"/>
          <w:marBottom w:val="0"/>
          <w:divBdr>
            <w:top w:val="none" w:sz="0" w:space="0" w:color="auto"/>
            <w:left w:val="none" w:sz="0" w:space="0" w:color="auto"/>
            <w:bottom w:val="none" w:sz="0" w:space="0" w:color="auto"/>
            <w:right w:val="none" w:sz="0" w:space="0" w:color="auto"/>
          </w:divBdr>
        </w:div>
        <w:div w:id="1698966748">
          <w:marLeft w:val="0"/>
          <w:marRight w:val="0"/>
          <w:marTop w:val="0"/>
          <w:marBottom w:val="0"/>
          <w:divBdr>
            <w:top w:val="none" w:sz="0" w:space="0" w:color="auto"/>
            <w:left w:val="none" w:sz="0" w:space="0" w:color="auto"/>
            <w:bottom w:val="none" w:sz="0" w:space="0" w:color="auto"/>
            <w:right w:val="none" w:sz="0" w:space="0" w:color="auto"/>
          </w:divBdr>
        </w:div>
        <w:div w:id="1730616031">
          <w:marLeft w:val="0"/>
          <w:marRight w:val="0"/>
          <w:marTop w:val="0"/>
          <w:marBottom w:val="0"/>
          <w:divBdr>
            <w:top w:val="none" w:sz="0" w:space="0" w:color="auto"/>
            <w:left w:val="none" w:sz="0" w:space="0" w:color="auto"/>
            <w:bottom w:val="none" w:sz="0" w:space="0" w:color="auto"/>
            <w:right w:val="none" w:sz="0" w:space="0" w:color="auto"/>
          </w:divBdr>
        </w:div>
        <w:div w:id="2002389365">
          <w:marLeft w:val="0"/>
          <w:marRight w:val="0"/>
          <w:marTop w:val="0"/>
          <w:marBottom w:val="0"/>
          <w:divBdr>
            <w:top w:val="none" w:sz="0" w:space="0" w:color="auto"/>
            <w:left w:val="none" w:sz="0" w:space="0" w:color="auto"/>
            <w:bottom w:val="none" w:sz="0" w:space="0" w:color="auto"/>
            <w:right w:val="none" w:sz="0" w:space="0" w:color="auto"/>
          </w:divBdr>
        </w:div>
      </w:divsChild>
    </w:div>
    <w:div w:id="2052729812">
      <w:bodyDiv w:val="1"/>
      <w:marLeft w:val="0"/>
      <w:marRight w:val="0"/>
      <w:marTop w:val="0"/>
      <w:marBottom w:val="0"/>
      <w:divBdr>
        <w:top w:val="none" w:sz="0" w:space="0" w:color="auto"/>
        <w:left w:val="none" w:sz="0" w:space="0" w:color="auto"/>
        <w:bottom w:val="none" w:sz="0" w:space="0" w:color="auto"/>
        <w:right w:val="none" w:sz="0" w:space="0" w:color="auto"/>
      </w:divBdr>
    </w:div>
    <w:div w:id="2112241807">
      <w:bodyDiv w:val="1"/>
      <w:marLeft w:val="0"/>
      <w:marRight w:val="0"/>
      <w:marTop w:val="0"/>
      <w:marBottom w:val="0"/>
      <w:divBdr>
        <w:top w:val="none" w:sz="0" w:space="0" w:color="auto"/>
        <w:left w:val="none" w:sz="0" w:space="0" w:color="auto"/>
        <w:bottom w:val="none" w:sz="0" w:space="0" w:color="auto"/>
        <w:right w:val="none" w:sz="0" w:space="0" w:color="auto"/>
      </w:divBdr>
      <w:divsChild>
        <w:div w:id="169833376">
          <w:marLeft w:val="0"/>
          <w:marRight w:val="0"/>
          <w:marTop w:val="0"/>
          <w:marBottom w:val="0"/>
          <w:divBdr>
            <w:top w:val="none" w:sz="0" w:space="0" w:color="auto"/>
            <w:left w:val="none" w:sz="0" w:space="0" w:color="auto"/>
            <w:bottom w:val="none" w:sz="0" w:space="0" w:color="auto"/>
            <w:right w:val="none" w:sz="0" w:space="0" w:color="auto"/>
          </w:divBdr>
        </w:div>
        <w:div w:id="286786482">
          <w:marLeft w:val="0"/>
          <w:marRight w:val="0"/>
          <w:marTop w:val="0"/>
          <w:marBottom w:val="0"/>
          <w:divBdr>
            <w:top w:val="none" w:sz="0" w:space="0" w:color="auto"/>
            <w:left w:val="none" w:sz="0" w:space="0" w:color="auto"/>
            <w:bottom w:val="none" w:sz="0" w:space="0" w:color="auto"/>
            <w:right w:val="none" w:sz="0" w:space="0" w:color="auto"/>
          </w:divBdr>
        </w:div>
        <w:div w:id="314797348">
          <w:marLeft w:val="0"/>
          <w:marRight w:val="0"/>
          <w:marTop w:val="0"/>
          <w:marBottom w:val="0"/>
          <w:divBdr>
            <w:top w:val="none" w:sz="0" w:space="0" w:color="auto"/>
            <w:left w:val="none" w:sz="0" w:space="0" w:color="auto"/>
            <w:bottom w:val="none" w:sz="0" w:space="0" w:color="auto"/>
            <w:right w:val="none" w:sz="0" w:space="0" w:color="auto"/>
          </w:divBdr>
        </w:div>
        <w:div w:id="315766581">
          <w:marLeft w:val="0"/>
          <w:marRight w:val="0"/>
          <w:marTop w:val="0"/>
          <w:marBottom w:val="0"/>
          <w:divBdr>
            <w:top w:val="none" w:sz="0" w:space="0" w:color="auto"/>
            <w:left w:val="none" w:sz="0" w:space="0" w:color="auto"/>
            <w:bottom w:val="none" w:sz="0" w:space="0" w:color="auto"/>
            <w:right w:val="none" w:sz="0" w:space="0" w:color="auto"/>
          </w:divBdr>
        </w:div>
        <w:div w:id="440228020">
          <w:marLeft w:val="0"/>
          <w:marRight w:val="0"/>
          <w:marTop w:val="0"/>
          <w:marBottom w:val="0"/>
          <w:divBdr>
            <w:top w:val="none" w:sz="0" w:space="0" w:color="auto"/>
            <w:left w:val="none" w:sz="0" w:space="0" w:color="auto"/>
            <w:bottom w:val="none" w:sz="0" w:space="0" w:color="auto"/>
            <w:right w:val="none" w:sz="0" w:space="0" w:color="auto"/>
          </w:divBdr>
        </w:div>
        <w:div w:id="452672544">
          <w:marLeft w:val="0"/>
          <w:marRight w:val="0"/>
          <w:marTop w:val="0"/>
          <w:marBottom w:val="0"/>
          <w:divBdr>
            <w:top w:val="none" w:sz="0" w:space="0" w:color="auto"/>
            <w:left w:val="none" w:sz="0" w:space="0" w:color="auto"/>
            <w:bottom w:val="none" w:sz="0" w:space="0" w:color="auto"/>
            <w:right w:val="none" w:sz="0" w:space="0" w:color="auto"/>
          </w:divBdr>
        </w:div>
        <w:div w:id="547837314">
          <w:marLeft w:val="0"/>
          <w:marRight w:val="0"/>
          <w:marTop w:val="0"/>
          <w:marBottom w:val="0"/>
          <w:divBdr>
            <w:top w:val="none" w:sz="0" w:space="0" w:color="auto"/>
            <w:left w:val="none" w:sz="0" w:space="0" w:color="auto"/>
            <w:bottom w:val="none" w:sz="0" w:space="0" w:color="auto"/>
            <w:right w:val="none" w:sz="0" w:space="0" w:color="auto"/>
          </w:divBdr>
        </w:div>
        <w:div w:id="565532460">
          <w:marLeft w:val="0"/>
          <w:marRight w:val="0"/>
          <w:marTop w:val="0"/>
          <w:marBottom w:val="0"/>
          <w:divBdr>
            <w:top w:val="none" w:sz="0" w:space="0" w:color="auto"/>
            <w:left w:val="none" w:sz="0" w:space="0" w:color="auto"/>
            <w:bottom w:val="none" w:sz="0" w:space="0" w:color="auto"/>
            <w:right w:val="none" w:sz="0" w:space="0" w:color="auto"/>
          </w:divBdr>
        </w:div>
        <w:div w:id="832377986">
          <w:marLeft w:val="0"/>
          <w:marRight w:val="0"/>
          <w:marTop w:val="0"/>
          <w:marBottom w:val="0"/>
          <w:divBdr>
            <w:top w:val="none" w:sz="0" w:space="0" w:color="auto"/>
            <w:left w:val="none" w:sz="0" w:space="0" w:color="auto"/>
            <w:bottom w:val="none" w:sz="0" w:space="0" w:color="auto"/>
            <w:right w:val="none" w:sz="0" w:space="0" w:color="auto"/>
          </w:divBdr>
        </w:div>
        <w:div w:id="911886074">
          <w:marLeft w:val="0"/>
          <w:marRight w:val="0"/>
          <w:marTop w:val="0"/>
          <w:marBottom w:val="0"/>
          <w:divBdr>
            <w:top w:val="none" w:sz="0" w:space="0" w:color="auto"/>
            <w:left w:val="none" w:sz="0" w:space="0" w:color="auto"/>
            <w:bottom w:val="none" w:sz="0" w:space="0" w:color="auto"/>
            <w:right w:val="none" w:sz="0" w:space="0" w:color="auto"/>
          </w:divBdr>
        </w:div>
        <w:div w:id="1145898141">
          <w:marLeft w:val="0"/>
          <w:marRight w:val="0"/>
          <w:marTop w:val="0"/>
          <w:marBottom w:val="0"/>
          <w:divBdr>
            <w:top w:val="none" w:sz="0" w:space="0" w:color="auto"/>
            <w:left w:val="none" w:sz="0" w:space="0" w:color="auto"/>
            <w:bottom w:val="none" w:sz="0" w:space="0" w:color="auto"/>
            <w:right w:val="none" w:sz="0" w:space="0" w:color="auto"/>
          </w:divBdr>
        </w:div>
        <w:div w:id="1341543187">
          <w:marLeft w:val="0"/>
          <w:marRight w:val="0"/>
          <w:marTop w:val="0"/>
          <w:marBottom w:val="0"/>
          <w:divBdr>
            <w:top w:val="none" w:sz="0" w:space="0" w:color="auto"/>
            <w:left w:val="none" w:sz="0" w:space="0" w:color="auto"/>
            <w:bottom w:val="none" w:sz="0" w:space="0" w:color="auto"/>
            <w:right w:val="none" w:sz="0" w:space="0" w:color="auto"/>
          </w:divBdr>
        </w:div>
        <w:div w:id="1363675923">
          <w:marLeft w:val="0"/>
          <w:marRight w:val="0"/>
          <w:marTop w:val="0"/>
          <w:marBottom w:val="0"/>
          <w:divBdr>
            <w:top w:val="none" w:sz="0" w:space="0" w:color="auto"/>
            <w:left w:val="none" w:sz="0" w:space="0" w:color="auto"/>
            <w:bottom w:val="none" w:sz="0" w:space="0" w:color="auto"/>
            <w:right w:val="none" w:sz="0" w:space="0" w:color="auto"/>
          </w:divBdr>
        </w:div>
        <w:div w:id="1379357886">
          <w:marLeft w:val="0"/>
          <w:marRight w:val="0"/>
          <w:marTop w:val="0"/>
          <w:marBottom w:val="0"/>
          <w:divBdr>
            <w:top w:val="none" w:sz="0" w:space="0" w:color="auto"/>
            <w:left w:val="none" w:sz="0" w:space="0" w:color="auto"/>
            <w:bottom w:val="none" w:sz="0" w:space="0" w:color="auto"/>
            <w:right w:val="none" w:sz="0" w:space="0" w:color="auto"/>
          </w:divBdr>
        </w:div>
        <w:div w:id="1410423078">
          <w:marLeft w:val="0"/>
          <w:marRight w:val="0"/>
          <w:marTop w:val="0"/>
          <w:marBottom w:val="0"/>
          <w:divBdr>
            <w:top w:val="none" w:sz="0" w:space="0" w:color="auto"/>
            <w:left w:val="none" w:sz="0" w:space="0" w:color="auto"/>
            <w:bottom w:val="none" w:sz="0" w:space="0" w:color="auto"/>
            <w:right w:val="none" w:sz="0" w:space="0" w:color="auto"/>
          </w:divBdr>
        </w:div>
        <w:div w:id="1585726300">
          <w:marLeft w:val="0"/>
          <w:marRight w:val="0"/>
          <w:marTop w:val="0"/>
          <w:marBottom w:val="0"/>
          <w:divBdr>
            <w:top w:val="none" w:sz="0" w:space="0" w:color="auto"/>
            <w:left w:val="none" w:sz="0" w:space="0" w:color="auto"/>
            <w:bottom w:val="none" w:sz="0" w:space="0" w:color="auto"/>
            <w:right w:val="none" w:sz="0" w:space="0" w:color="auto"/>
          </w:divBdr>
        </w:div>
        <w:div w:id="1601986889">
          <w:marLeft w:val="0"/>
          <w:marRight w:val="0"/>
          <w:marTop w:val="0"/>
          <w:marBottom w:val="0"/>
          <w:divBdr>
            <w:top w:val="none" w:sz="0" w:space="0" w:color="auto"/>
            <w:left w:val="none" w:sz="0" w:space="0" w:color="auto"/>
            <w:bottom w:val="none" w:sz="0" w:space="0" w:color="auto"/>
            <w:right w:val="none" w:sz="0" w:space="0" w:color="auto"/>
          </w:divBdr>
        </w:div>
        <w:div w:id="1613323880">
          <w:marLeft w:val="0"/>
          <w:marRight w:val="0"/>
          <w:marTop w:val="0"/>
          <w:marBottom w:val="0"/>
          <w:divBdr>
            <w:top w:val="none" w:sz="0" w:space="0" w:color="auto"/>
            <w:left w:val="none" w:sz="0" w:space="0" w:color="auto"/>
            <w:bottom w:val="none" w:sz="0" w:space="0" w:color="auto"/>
            <w:right w:val="none" w:sz="0" w:space="0" w:color="auto"/>
          </w:divBdr>
        </w:div>
        <w:div w:id="2010210875">
          <w:marLeft w:val="0"/>
          <w:marRight w:val="0"/>
          <w:marTop w:val="0"/>
          <w:marBottom w:val="0"/>
          <w:divBdr>
            <w:top w:val="none" w:sz="0" w:space="0" w:color="auto"/>
            <w:left w:val="none" w:sz="0" w:space="0" w:color="auto"/>
            <w:bottom w:val="none" w:sz="0" w:space="0" w:color="auto"/>
            <w:right w:val="none" w:sz="0" w:space="0" w:color="auto"/>
          </w:divBdr>
        </w:div>
        <w:div w:id="2060786155">
          <w:marLeft w:val="0"/>
          <w:marRight w:val="0"/>
          <w:marTop w:val="0"/>
          <w:marBottom w:val="0"/>
          <w:divBdr>
            <w:top w:val="none" w:sz="0" w:space="0" w:color="auto"/>
            <w:left w:val="none" w:sz="0" w:space="0" w:color="auto"/>
            <w:bottom w:val="none" w:sz="0" w:space="0" w:color="auto"/>
            <w:right w:val="none" w:sz="0" w:space="0" w:color="auto"/>
          </w:divBdr>
        </w:div>
      </w:divsChild>
    </w:div>
    <w:div w:id="2119443406">
      <w:bodyDiv w:val="1"/>
      <w:marLeft w:val="0"/>
      <w:marRight w:val="0"/>
      <w:marTop w:val="0"/>
      <w:marBottom w:val="0"/>
      <w:divBdr>
        <w:top w:val="none" w:sz="0" w:space="0" w:color="auto"/>
        <w:left w:val="none" w:sz="0" w:space="0" w:color="auto"/>
        <w:bottom w:val="none" w:sz="0" w:space="0" w:color="auto"/>
        <w:right w:val="none" w:sz="0" w:space="0" w:color="auto"/>
      </w:divBdr>
      <w:divsChild>
        <w:div w:id="406539468">
          <w:marLeft w:val="0"/>
          <w:marRight w:val="0"/>
          <w:marTop w:val="0"/>
          <w:marBottom w:val="0"/>
          <w:divBdr>
            <w:top w:val="none" w:sz="0" w:space="0" w:color="auto"/>
            <w:left w:val="none" w:sz="0" w:space="0" w:color="auto"/>
            <w:bottom w:val="none" w:sz="0" w:space="0" w:color="auto"/>
            <w:right w:val="none" w:sz="0" w:space="0" w:color="auto"/>
          </w:divBdr>
        </w:div>
        <w:div w:id="921376686">
          <w:marLeft w:val="0"/>
          <w:marRight w:val="0"/>
          <w:marTop w:val="0"/>
          <w:marBottom w:val="0"/>
          <w:divBdr>
            <w:top w:val="none" w:sz="0" w:space="0" w:color="auto"/>
            <w:left w:val="none" w:sz="0" w:space="0" w:color="auto"/>
            <w:bottom w:val="none" w:sz="0" w:space="0" w:color="auto"/>
            <w:right w:val="none" w:sz="0" w:space="0" w:color="auto"/>
          </w:divBdr>
          <w:divsChild>
            <w:div w:id="30764974">
              <w:marLeft w:val="0"/>
              <w:marRight w:val="0"/>
              <w:marTop w:val="0"/>
              <w:marBottom w:val="0"/>
              <w:divBdr>
                <w:top w:val="none" w:sz="0" w:space="0" w:color="auto"/>
                <w:left w:val="none" w:sz="0" w:space="0" w:color="auto"/>
                <w:bottom w:val="none" w:sz="0" w:space="0" w:color="auto"/>
                <w:right w:val="none" w:sz="0" w:space="0" w:color="auto"/>
              </w:divBdr>
            </w:div>
            <w:div w:id="87167013">
              <w:marLeft w:val="0"/>
              <w:marRight w:val="0"/>
              <w:marTop w:val="0"/>
              <w:marBottom w:val="0"/>
              <w:divBdr>
                <w:top w:val="none" w:sz="0" w:space="0" w:color="auto"/>
                <w:left w:val="none" w:sz="0" w:space="0" w:color="auto"/>
                <w:bottom w:val="none" w:sz="0" w:space="0" w:color="auto"/>
                <w:right w:val="none" w:sz="0" w:space="0" w:color="auto"/>
              </w:divBdr>
            </w:div>
            <w:div w:id="100808362">
              <w:marLeft w:val="0"/>
              <w:marRight w:val="0"/>
              <w:marTop w:val="0"/>
              <w:marBottom w:val="0"/>
              <w:divBdr>
                <w:top w:val="none" w:sz="0" w:space="0" w:color="auto"/>
                <w:left w:val="none" w:sz="0" w:space="0" w:color="auto"/>
                <w:bottom w:val="none" w:sz="0" w:space="0" w:color="auto"/>
                <w:right w:val="none" w:sz="0" w:space="0" w:color="auto"/>
              </w:divBdr>
            </w:div>
            <w:div w:id="112486818">
              <w:marLeft w:val="0"/>
              <w:marRight w:val="0"/>
              <w:marTop w:val="0"/>
              <w:marBottom w:val="0"/>
              <w:divBdr>
                <w:top w:val="none" w:sz="0" w:space="0" w:color="auto"/>
                <w:left w:val="none" w:sz="0" w:space="0" w:color="auto"/>
                <w:bottom w:val="none" w:sz="0" w:space="0" w:color="auto"/>
                <w:right w:val="none" w:sz="0" w:space="0" w:color="auto"/>
              </w:divBdr>
            </w:div>
            <w:div w:id="198200953">
              <w:marLeft w:val="0"/>
              <w:marRight w:val="0"/>
              <w:marTop w:val="0"/>
              <w:marBottom w:val="0"/>
              <w:divBdr>
                <w:top w:val="none" w:sz="0" w:space="0" w:color="auto"/>
                <w:left w:val="none" w:sz="0" w:space="0" w:color="auto"/>
                <w:bottom w:val="none" w:sz="0" w:space="0" w:color="auto"/>
                <w:right w:val="none" w:sz="0" w:space="0" w:color="auto"/>
              </w:divBdr>
            </w:div>
            <w:div w:id="323554722">
              <w:marLeft w:val="0"/>
              <w:marRight w:val="0"/>
              <w:marTop w:val="0"/>
              <w:marBottom w:val="0"/>
              <w:divBdr>
                <w:top w:val="none" w:sz="0" w:space="0" w:color="auto"/>
                <w:left w:val="none" w:sz="0" w:space="0" w:color="auto"/>
                <w:bottom w:val="none" w:sz="0" w:space="0" w:color="auto"/>
                <w:right w:val="none" w:sz="0" w:space="0" w:color="auto"/>
              </w:divBdr>
            </w:div>
            <w:div w:id="327366676">
              <w:marLeft w:val="0"/>
              <w:marRight w:val="0"/>
              <w:marTop w:val="0"/>
              <w:marBottom w:val="0"/>
              <w:divBdr>
                <w:top w:val="none" w:sz="0" w:space="0" w:color="auto"/>
                <w:left w:val="none" w:sz="0" w:space="0" w:color="auto"/>
                <w:bottom w:val="none" w:sz="0" w:space="0" w:color="auto"/>
                <w:right w:val="none" w:sz="0" w:space="0" w:color="auto"/>
              </w:divBdr>
            </w:div>
            <w:div w:id="342557219">
              <w:marLeft w:val="0"/>
              <w:marRight w:val="0"/>
              <w:marTop w:val="0"/>
              <w:marBottom w:val="0"/>
              <w:divBdr>
                <w:top w:val="none" w:sz="0" w:space="0" w:color="auto"/>
                <w:left w:val="none" w:sz="0" w:space="0" w:color="auto"/>
                <w:bottom w:val="none" w:sz="0" w:space="0" w:color="auto"/>
                <w:right w:val="none" w:sz="0" w:space="0" w:color="auto"/>
              </w:divBdr>
            </w:div>
            <w:div w:id="346836512">
              <w:marLeft w:val="0"/>
              <w:marRight w:val="0"/>
              <w:marTop w:val="0"/>
              <w:marBottom w:val="0"/>
              <w:divBdr>
                <w:top w:val="none" w:sz="0" w:space="0" w:color="auto"/>
                <w:left w:val="none" w:sz="0" w:space="0" w:color="auto"/>
                <w:bottom w:val="none" w:sz="0" w:space="0" w:color="auto"/>
                <w:right w:val="none" w:sz="0" w:space="0" w:color="auto"/>
              </w:divBdr>
            </w:div>
            <w:div w:id="405299187">
              <w:marLeft w:val="0"/>
              <w:marRight w:val="0"/>
              <w:marTop w:val="0"/>
              <w:marBottom w:val="0"/>
              <w:divBdr>
                <w:top w:val="none" w:sz="0" w:space="0" w:color="auto"/>
                <w:left w:val="none" w:sz="0" w:space="0" w:color="auto"/>
                <w:bottom w:val="none" w:sz="0" w:space="0" w:color="auto"/>
                <w:right w:val="none" w:sz="0" w:space="0" w:color="auto"/>
              </w:divBdr>
            </w:div>
            <w:div w:id="526528001">
              <w:marLeft w:val="0"/>
              <w:marRight w:val="0"/>
              <w:marTop w:val="0"/>
              <w:marBottom w:val="0"/>
              <w:divBdr>
                <w:top w:val="none" w:sz="0" w:space="0" w:color="auto"/>
                <w:left w:val="none" w:sz="0" w:space="0" w:color="auto"/>
                <w:bottom w:val="none" w:sz="0" w:space="0" w:color="auto"/>
                <w:right w:val="none" w:sz="0" w:space="0" w:color="auto"/>
              </w:divBdr>
            </w:div>
            <w:div w:id="555968125">
              <w:marLeft w:val="0"/>
              <w:marRight w:val="0"/>
              <w:marTop w:val="0"/>
              <w:marBottom w:val="0"/>
              <w:divBdr>
                <w:top w:val="none" w:sz="0" w:space="0" w:color="auto"/>
                <w:left w:val="none" w:sz="0" w:space="0" w:color="auto"/>
                <w:bottom w:val="none" w:sz="0" w:space="0" w:color="auto"/>
                <w:right w:val="none" w:sz="0" w:space="0" w:color="auto"/>
              </w:divBdr>
            </w:div>
            <w:div w:id="1262303318">
              <w:marLeft w:val="0"/>
              <w:marRight w:val="0"/>
              <w:marTop w:val="0"/>
              <w:marBottom w:val="0"/>
              <w:divBdr>
                <w:top w:val="none" w:sz="0" w:space="0" w:color="auto"/>
                <w:left w:val="none" w:sz="0" w:space="0" w:color="auto"/>
                <w:bottom w:val="none" w:sz="0" w:space="0" w:color="auto"/>
                <w:right w:val="none" w:sz="0" w:space="0" w:color="auto"/>
              </w:divBdr>
            </w:div>
            <w:div w:id="1439521012">
              <w:marLeft w:val="0"/>
              <w:marRight w:val="0"/>
              <w:marTop w:val="0"/>
              <w:marBottom w:val="0"/>
              <w:divBdr>
                <w:top w:val="none" w:sz="0" w:space="0" w:color="auto"/>
                <w:left w:val="none" w:sz="0" w:space="0" w:color="auto"/>
                <w:bottom w:val="none" w:sz="0" w:space="0" w:color="auto"/>
                <w:right w:val="none" w:sz="0" w:space="0" w:color="auto"/>
              </w:divBdr>
            </w:div>
            <w:div w:id="1772580600">
              <w:marLeft w:val="0"/>
              <w:marRight w:val="0"/>
              <w:marTop w:val="0"/>
              <w:marBottom w:val="0"/>
              <w:divBdr>
                <w:top w:val="none" w:sz="0" w:space="0" w:color="auto"/>
                <w:left w:val="none" w:sz="0" w:space="0" w:color="auto"/>
                <w:bottom w:val="none" w:sz="0" w:space="0" w:color="auto"/>
                <w:right w:val="none" w:sz="0" w:space="0" w:color="auto"/>
              </w:divBdr>
            </w:div>
            <w:div w:id="1861158295">
              <w:marLeft w:val="0"/>
              <w:marRight w:val="0"/>
              <w:marTop w:val="0"/>
              <w:marBottom w:val="0"/>
              <w:divBdr>
                <w:top w:val="none" w:sz="0" w:space="0" w:color="auto"/>
                <w:left w:val="none" w:sz="0" w:space="0" w:color="auto"/>
                <w:bottom w:val="none" w:sz="0" w:space="0" w:color="auto"/>
                <w:right w:val="none" w:sz="0" w:space="0" w:color="auto"/>
              </w:divBdr>
            </w:div>
            <w:div w:id="1933315564">
              <w:marLeft w:val="0"/>
              <w:marRight w:val="0"/>
              <w:marTop w:val="0"/>
              <w:marBottom w:val="0"/>
              <w:divBdr>
                <w:top w:val="none" w:sz="0" w:space="0" w:color="auto"/>
                <w:left w:val="none" w:sz="0" w:space="0" w:color="auto"/>
                <w:bottom w:val="none" w:sz="0" w:space="0" w:color="auto"/>
                <w:right w:val="none" w:sz="0" w:space="0" w:color="auto"/>
              </w:divBdr>
            </w:div>
            <w:div w:id="1955014038">
              <w:marLeft w:val="0"/>
              <w:marRight w:val="0"/>
              <w:marTop w:val="0"/>
              <w:marBottom w:val="0"/>
              <w:divBdr>
                <w:top w:val="none" w:sz="0" w:space="0" w:color="auto"/>
                <w:left w:val="none" w:sz="0" w:space="0" w:color="auto"/>
                <w:bottom w:val="none" w:sz="0" w:space="0" w:color="auto"/>
                <w:right w:val="none" w:sz="0" w:space="0" w:color="auto"/>
              </w:divBdr>
            </w:div>
            <w:div w:id="2024043402">
              <w:marLeft w:val="0"/>
              <w:marRight w:val="0"/>
              <w:marTop w:val="0"/>
              <w:marBottom w:val="0"/>
              <w:divBdr>
                <w:top w:val="none" w:sz="0" w:space="0" w:color="auto"/>
                <w:left w:val="none" w:sz="0" w:space="0" w:color="auto"/>
                <w:bottom w:val="none" w:sz="0" w:space="0" w:color="auto"/>
                <w:right w:val="none" w:sz="0" w:space="0" w:color="auto"/>
              </w:divBdr>
            </w:div>
            <w:div w:id="2063013765">
              <w:marLeft w:val="0"/>
              <w:marRight w:val="0"/>
              <w:marTop w:val="0"/>
              <w:marBottom w:val="0"/>
              <w:divBdr>
                <w:top w:val="none" w:sz="0" w:space="0" w:color="auto"/>
                <w:left w:val="none" w:sz="0" w:space="0" w:color="auto"/>
                <w:bottom w:val="none" w:sz="0" w:space="0" w:color="auto"/>
                <w:right w:val="none" w:sz="0" w:space="0" w:color="auto"/>
              </w:divBdr>
            </w:div>
          </w:divsChild>
        </w:div>
        <w:div w:id="973288988">
          <w:marLeft w:val="0"/>
          <w:marRight w:val="0"/>
          <w:marTop w:val="0"/>
          <w:marBottom w:val="0"/>
          <w:divBdr>
            <w:top w:val="none" w:sz="0" w:space="0" w:color="auto"/>
            <w:left w:val="none" w:sz="0" w:space="0" w:color="auto"/>
            <w:bottom w:val="none" w:sz="0" w:space="0" w:color="auto"/>
            <w:right w:val="none" w:sz="0" w:space="0" w:color="auto"/>
          </w:divBdr>
        </w:div>
        <w:div w:id="1107968355">
          <w:marLeft w:val="0"/>
          <w:marRight w:val="0"/>
          <w:marTop w:val="0"/>
          <w:marBottom w:val="0"/>
          <w:divBdr>
            <w:top w:val="none" w:sz="0" w:space="0" w:color="auto"/>
            <w:left w:val="none" w:sz="0" w:space="0" w:color="auto"/>
            <w:bottom w:val="none" w:sz="0" w:space="0" w:color="auto"/>
            <w:right w:val="none" w:sz="0" w:space="0" w:color="auto"/>
          </w:divBdr>
        </w:div>
        <w:div w:id="1964655942">
          <w:marLeft w:val="0"/>
          <w:marRight w:val="0"/>
          <w:marTop w:val="0"/>
          <w:marBottom w:val="0"/>
          <w:divBdr>
            <w:top w:val="none" w:sz="0" w:space="0" w:color="auto"/>
            <w:left w:val="none" w:sz="0" w:space="0" w:color="auto"/>
            <w:bottom w:val="none" w:sz="0" w:space="0" w:color="auto"/>
            <w:right w:val="none" w:sz="0" w:space="0" w:color="auto"/>
          </w:divBdr>
        </w:div>
        <w:div w:id="20492537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google.com/search?q=https://www1.upme.gov.co/Energia_electrica/Paginas/FNCER.aspx" TargetMode="External"/><Relationship Id="rId2" Type="http://schemas.openxmlformats.org/officeDocument/2006/relationships/hyperlink" Target="https://www.google.com/search?q=https://www1.upme.gov.co/PromocionInversion/Paginas/Normatividad.aspx" TargetMode="External"/><Relationship Id="rId1" Type="http://schemas.openxmlformats.org/officeDocument/2006/relationships/hyperlink" Target="https://www.google.com/search?q=http://atlas.ideam.gov.co/viz_radiacion/"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www.funcionpublica.gov.co/eva/gestornormativo/norma.php%3fi=4633" TargetMode="External"/><Relationship Id="rId18" Type="http://schemas.microsoft.com/office/2018/08/relationships/commentsExtensible" Target="commentsExtensible.xml"/><Relationship Id="rId26" Type="http://schemas.openxmlformats.org/officeDocument/2006/relationships/hyperlink" Target="https://gestornormativo.creg.gov.co/gestor/entorno/docs/decreto_1073_2015.htm" TargetMode="External"/><Relationship Id="rId39" Type="http://schemas.openxmlformats.org/officeDocument/2006/relationships/image" Target="media/image13.png"/><Relationship Id="rId21" Type="http://schemas.openxmlformats.org/officeDocument/2006/relationships/hyperlink" Target="http://www.secretariasenado.gov.co/senado/basedoc/decreto_0893_2017.html" TargetMode="External"/><Relationship Id="rId34" Type="http://schemas.openxmlformats.org/officeDocument/2006/relationships/image" Target="media/image8.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ornormativo.creg.gov.co/gestor/entorno/docs/ley_2099_2021.htm" TargetMode="External"/><Relationship Id="rId24" Type="http://schemas.openxmlformats.org/officeDocument/2006/relationships/hyperlink" Target="http://www.secretariasenado.gov.co/senado/basedoc/decreto_0893_2017.html" TargetMode="External"/><Relationship Id="rId32" Type="http://schemas.openxmlformats.org/officeDocument/2006/relationships/image" Target="media/image6.png"/><Relationship Id="rId37" Type="http://schemas.openxmlformats.org/officeDocument/2006/relationships/image" Target="media/image11.png"/><Relationship Id="rId40" Type="http://schemas.openxmlformats.org/officeDocument/2006/relationships/image" Target="media/image14.png"/><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www.secretariasenado.gov.co/senado/basedoc/ley_1943_2018_pr001.html" TargetMode="External"/><Relationship Id="rId28" Type="http://schemas.openxmlformats.org/officeDocument/2006/relationships/image" Target="media/image2.png"/><Relationship Id="rId36"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hyperlink" Target="http://www.secretariasenado.gov.co/senado/basedoc/estatuto_tributario_pr033.html" TargetMode="External"/><Relationship Id="rId31" Type="http://schemas.openxmlformats.org/officeDocument/2006/relationships/image" Target="media/image5.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cretariasenado.gov.co/senado/basedoc/ley_0142_1994.html" TargetMode="External"/><Relationship Id="rId22" Type="http://schemas.openxmlformats.org/officeDocument/2006/relationships/hyperlink" Target="http://www.secretariasenado.gov.co/senado/basedoc/ley_1437_2011.html"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image" Target="media/image9.png"/><Relationship Id="rId43" Type="http://schemas.openxmlformats.org/officeDocument/2006/relationships/footer" Target="footer1.xml"/><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gestornormativo.creg.gov.co/gestor/entorno/docs/ley_2099_2021.htm" TargetMode="External"/><Relationship Id="rId17" Type="http://schemas.microsoft.com/office/2016/09/relationships/commentsIds" Target="commentsIds.xml"/><Relationship Id="rId25" Type="http://schemas.openxmlformats.org/officeDocument/2006/relationships/hyperlink" Target="https://gestornormativo.creg.gov.co/gestor/entorno/docs/decreto_1073_2015.htm" TargetMode="External"/><Relationship Id="rId33" Type="http://schemas.openxmlformats.org/officeDocument/2006/relationships/image" Target="media/image7.png"/><Relationship Id="rId38" Type="http://schemas.openxmlformats.org/officeDocument/2006/relationships/image" Target="media/image12.png"/><Relationship Id="rId46" Type="http://schemas.openxmlformats.org/officeDocument/2006/relationships/glossaryDocument" Target="glossary/document.xml"/><Relationship Id="rId20" Type="http://schemas.openxmlformats.org/officeDocument/2006/relationships/hyperlink" Target="http://www.secretariasenado.gov.co/senado/basedoc/estatuto_tributario.html" TargetMode="External"/><Relationship Id="rId41" Type="http://schemas.openxmlformats.org/officeDocument/2006/relationships/image" Target="media/image15.png"/></Relationships>
</file>

<file path=word/_rels/footnotes.xml.rels><?xml version="1.0" encoding="UTF-8" standalone="yes"?>
<Relationships xmlns="http://schemas.openxmlformats.org/package/2006/relationships"><Relationship Id="rId1" Type="http://schemas.openxmlformats.org/officeDocument/2006/relationships/hyperlink" Target="http://www.secretariasenado.gov.co/senado/basedoc/ley_1955_2019_pr006.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16.png"/></Relationships>
</file>

<file path=word/documenttasks/documenttasks1.xml><?xml version="1.0" encoding="utf-8"?>
<t:Tasks xmlns:t="http://schemas.microsoft.com/office/tasks/2019/documenttasks" xmlns:oel="http://schemas.microsoft.com/office/2019/extlst">
  <t:Task id="{CB5FE743-AD17-4C22-8575-99DFD183BE4F}">
    <t:Anchor>
      <t:Comment id="1631336804"/>
    </t:Anchor>
    <t:History>
      <t:Event id="{5DE91D05-7BB0-4E6C-9C21-4211C0AD5D84}" time="2025-09-12T22:07:42.749Z">
        <t:Attribution userId="S::cjlizarazo@minenergia.gov.co::3bbdcda9-299b-4aae-881f-fb3e1e3275d2" userProvider="AD" userName="CLAUDIA JEANNETH LIZARAZO SANDOVAL"/>
        <t:Anchor>
          <t:Comment id="1631336804"/>
        </t:Anchor>
        <t:Create/>
      </t:Event>
      <t:Event id="{C72E3D08-18E7-42E7-94D6-FCD3907A306B}" time="2025-09-12T22:07:42.749Z">
        <t:Attribution userId="S::cjlizarazo@minenergia.gov.co::3bbdcda9-299b-4aae-881f-fb3e1e3275d2" userProvider="AD" userName="CLAUDIA JEANNETH LIZARAZO SANDOVAL"/>
        <t:Anchor>
          <t:Comment id="1631336804"/>
        </t:Anchor>
        <t:Assign userId="S::mccubillos@minenergia.gov.co::66fe8ae1-0a45-4eff-895b-e5581fc6819a" userProvider="AD" userName="MARIA CAMILA CUBILLOS SANCHEZ"/>
      </t:Event>
      <t:Event id="{0B086868-2746-409F-AC7A-6E118D4FE66A}" time="2025-09-12T22:07:42.749Z">
        <t:Attribution userId="S::cjlizarazo@minenergia.gov.co::3bbdcda9-299b-4aae-881f-fb3e1e3275d2" userProvider="AD" userName="CLAUDIA JEANNETH LIZARAZO SANDOVAL"/>
        <t:Anchor>
          <t:Comment id="1631336804"/>
        </t:Anchor>
        <t:SetTitle title="@MARIA CAMILA CUBILLOS SANCHEZ Pendiente revisión y definición de este requisito."/>
      </t:Event>
    </t:History>
  </t:Task>
  <t:Task id="{5F556DDA-ED78-4427-9F7F-9470F8263E26}">
    <t:Anchor>
      <t:Comment id="208041410"/>
    </t:Anchor>
    <t:History>
      <t:Event id="{78B31D5A-158E-45A5-900F-8F0E476B5D4B}" time="2025-09-08T21:29:57.737Z">
        <t:Attribution userId="S::cjlizarazo@minenergia.gov.co::3bbdcda9-299b-4aae-881f-fb3e1e3275d2" userProvider="AD" userName="CLAUDIA JEANNETH LIZARAZO SANDOVAL"/>
        <t:Anchor>
          <t:Comment id="208041410"/>
        </t:Anchor>
        <t:Create/>
      </t:Event>
      <t:Event id="{EB9B5617-9A8E-4FCE-A28C-BD80F78854F7}" time="2025-09-08T21:29:57.737Z">
        <t:Attribution userId="S::cjlizarazo@minenergia.gov.co::3bbdcda9-299b-4aae-881f-fb3e1e3275d2" userProvider="AD" userName="CLAUDIA JEANNETH LIZARAZO SANDOVAL"/>
        <t:Anchor>
          <t:Comment id="208041410"/>
        </t:Anchor>
        <t:Assign userId="S::mccubillos@minenergia.gov.co::66fe8ae1-0a45-4eff-895b-e5581fc6819a" userProvider="AD" userName="MARIA CAMILA CUBILLOS SANCHEZ"/>
      </t:Event>
      <t:Event id="{55D6C022-F9D9-4CB3-919D-6CA32F82BFB1}" time="2025-09-08T21:29:57.737Z">
        <t:Attribution userId="S::cjlizarazo@minenergia.gov.co::3bbdcda9-299b-4aae-881f-fb3e1e3275d2" userProvider="AD" userName="CLAUDIA JEANNETH LIZARAZO SANDOVAL"/>
        <t:Anchor>
          <t:Comment id="208041410"/>
        </t:Anchor>
        <t:SetTitle title="@MARIA CAMILA CUBILLOS SANCHEZ Cami entendería que no con todo el detalle pero debemos poner qué evaluaríamos desde lo predial para proyectos que estén desde ceros y para los que estén en RTB."/>
      </t:Event>
    </t:History>
  </t:Task>
  <t:Task id="{97E0EA48-CBC7-4AC8-8769-7CEB2AF9B82B}">
    <t:Anchor>
      <t:Comment id="526061561"/>
    </t:Anchor>
    <t:History>
      <t:Event id="{82502023-3123-4AED-A3BF-D9E47759AF10}" time="2025-09-08T21:33:04.635Z">
        <t:Attribution userId="S::cjlizarazo@minenergia.gov.co::3bbdcda9-299b-4aae-881f-fb3e1e3275d2" userProvider="AD" userName="CLAUDIA JEANNETH LIZARAZO SANDOVAL"/>
        <t:Anchor>
          <t:Comment id="526061561"/>
        </t:Anchor>
        <t:Create/>
      </t:Event>
      <t:Event id="{7BB98556-0CDA-4F9E-92C5-0C7A6040B0BC}" time="2025-09-08T21:33:04.635Z">
        <t:Attribution userId="S::cjlizarazo@minenergia.gov.co::3bbdcda9-299b-4aae-881f-fb3e1e3275d2" userProvider="AD" userName="CLAUDIA JEANNETH LIZARAZO SANDOVAL"/>
        <t:Anchor>
          <t:Comment id="526061561"/>
        </t:Anchor>
        <t:Assign userId="S::mccubillos@minenergia.gov.co::66fe8ae1-0a45-4eff-895b-e5581fc6819a" userProvider="AD" userName="MARIA CAMILA CUBILLOS SANCHEZ"/>
      </t:Event>
      <t:Event id="{F03F935C-EF12-4F2A-B075-678C8B7221FB}" time="2025-09-08T21:33:04.635Z">
        <t:Attribution userId="S::cjlizarazo@minenergia.gov.co::3bbdcda9-299b-4aae-881f-fb3e1e3275d2" userProvider="AD" userName="CLAUDIA JEANNETH LIZARAZO SANDOVAL"/>
        <t:Anchor>
          <t:Comment id="526061561"/>
        </t:Anchor>
        <t:SetTitle title="@MARIA CAMILA CUBILLOS SANCHEZ Lo que evaluaríamos desde lo Jurídico para los proyectos desde ceros y para los proyectos en RTB."/>
      </t:Event>
    </t:History>
  </t:Task>
  <t:Task id="{E90DC9A6-284B-45A1-BF08-3D97E1DAE3B0}">
    <t:Anchor>
      <t:Comment id="845161669"/>
    </t:Anchor>
    <t:History>
      <t:Event id="{5212C034-6A6F-4605-8ED5-5B42ABCD4B0B}" time="2025-09-12T16:40:59.112Z">
        <t:Attribution userId="S::cjlizarazo@minenergia.gov.co::3bbdcda9-299b-4aae-881f-fb3e1e3275d2" userProvider="AD" userName="CLAUDIA JEANNETH LIZARAZO SANDOVAL"/>
        <t:Anchor>
          <t:Comment id="845161669"/>
        </t:Anchor>
        <t:Create/>
      </t:Event>
      <t:Event id="{AB4F980E-7CFA-4B96-9D43-C15D0BAFD96F}" time="2025-09-12T16:40:59.112Z">
        <t:Attribution userId="S::cjlizarazo@minenergia.gov.co::3bbdcda9-299b-4aae-881f-fb3e1e3275d2" userProvider="AD" userName="CLAUDIA JEANNETH LIZARAZO SANDOVAL"/>
        <t:Anchor>
          <t:Comment id="845161669"/>
        </t:Anchor>
        <t:Assign userId="S::mccubillos@minenergia.gov.co::66fe8ae1-0a45-4eff-895b-e5581fc6819a" userProvider="AD" userName="MARIA CAMILA CUBILLOS SANCHEZ"/>
      </t:Event>
      <t:Event id="{B1F6DB25-54D3-461B-BE40-D01B4D78DB45}" time="2025-09-12T16:40:59.112Z">
        <t:Attribution userId="S::cjlizarazo@minenergia.gov.co::3bbdcda9-299b-4aae-881f-fb3e1e3275d2" userProvider="AD" userName="CLAUDIA JEANNETH LIZARAZO SANDOVAL"/>
        <t:Anchor>
          <t:Comment id="845161669"/>
        </t:Anchor>
        <t:SetTitle title="Cami no entiendo a qué se refiere Nombre o Razón Social del Domicilio @MARIA CAMILA CUBILLOS SANCHEZ"/>
      </t:Event>
    </t:History>
  </t:Task>
  <t:Task id="{770FE639-5409-4832-9D2B-4926C25B6064}">
    <t:Anchor>
      <t:Comment id="494644212"/>
    </t:Anchor>
    <t:History>
      <t:Event id="{EAD11D23-68DA-4F63-A92B-38B4633FEF51}" time="2025-09-08T21:29:57.737Z">
        <t:Attribution userId="S::cjlizarazo@minenergia.gov.co::3bbdcda9-299b-4aae-881f-fb3e1e3275d2" userProvider="AD" userName="CLAUDIA JEANNETH LIZARAZO SANDOVAL"/>
        <t:Anchor>
          <t:Comment id="494644212"/>
        </t:Anchor>
        <t:Create/>
      </t:Event>
      <t:Event id="{D1B32FB3-A465-4EBE-AE3F-9F489A4792AB}" time="2025-09-08T21:29:57.737Z">
        <t:Attribution userId="S::cjlizarazo@minenergia.gov.co::3bbdcda9-299b-4aae-881f-fb3e1e3275d2" userProvider="AD" userName="CLAUDIA JEANNETH LIZARAZO SANDOVAL"/>
        <t:Anchor>
          <t:Comment id="494644212"/>
        </t:Anchor>
        <t:Assign userId="S::mccubillos@minenergia.gov.co::66fe8ae1-0a45-4eff-895b-e5581fc6819a" userProvider="AD" userName="MARIA CAMILA CUBILLOS SANCHEZ"/>
      </t:Event>
      <t:Event id="{8C0296D8-FF24-49F8-9372-5D6BDD3CAB86}" time="2025-09-08T21:29:57.737Z">
        <t:Attribution userId="S::cjlizarazo@minenergia.gov.co::3bbdcda9-299b-4aae-881f-fb3e1e3275d2" userProvider="AD" userName="CLAUDIA JEANNETH LIZARAZO SANDOVAL"/>
        <t:Anchor>
          <t:Comment id="494644212"/>
        </t:Anchor>
        <t:SetTitle title="@MARIA CAMILA CUBILLOS SANCHEZ Cami entendería que no con todo el detalle pero debemos poner qué evaluaríamos desde lo predial para proyectos que estén desde ceros y para los que estén en RTB."/>
      </t:Event>
    </t:History>
  </t:Task>
  <t:Task id="{7A3060FA-69AF-4902-8BE2-5A3FC3FC82D5}">
    <t:Anchor>
      <t:Comment id="1733559610"/>
    </t:Anchor>
    <t:History>
      <t:Event id="{B8240BA8-A5CF-47D8-9C1C-09CEA6C690EB}" time="2025-09-08T21:33:04.635Z">
        <t:Attribution userId="S::cjlizarazo@minenergia.gov.co::3bbdcda9-299b-4aae-881f-fb3e1e3275d2" userProvider="AD" userName="CLAUDIA JEANNETH LIZARAZO SANDOVAL"/>
        <t:Anchor>
          <t:Comment id="1733559610"/>
        </t:Anchor>
        <t:Create/>
      </t:Event>
      <t:Event id="{9D468840-B717-45CE-AD5F-503A810DCF67}" time="2025-09-08T21:33:04.635Z">
        <t:Attribution userId="S::cjlizarazo@minenergia.gov.co::3bbdcda9-299b-4aae-881f-fb3e1e3275d2" userProvider="AD" userName="CLAUDIA JEANNETH LIZARAZO SANDOVAL"/>
        <t:Anchor>
          <t:Comment id="1733559610"/>
        </t:Anchor>
        <t:Assign userId="S::mccubillos@minenergia.gov.co::66fe8ae1-0a45-4eff-895b-e5581fc6819a" userProvider="AD" userName="MARIA CAMILA CUBILLOS SANCHEZ"/>
      </t:Event>
      <t:Event id="{BFCBDB3D-EEF9-4A2A-8BF4-0A20CE2F7F1F}" time="2025-09-08T21:33:04.635Z">
        <t:Attribution userId="S::cjlizarazo@minenergia.gov.co::3bbdcda9-299b-4aae-881f-fb3e1e3275d2" userProvider="AD" userName="CLAUDIA JEANNETH LIZARAZO SANDOVAL"/>
        <t:Anchor>
          <t:Comment id="1733559610"/>
        </t:Anchor>
        <t:SetTitle title="@MARIA CAMILA CUBILLOS SANCHEZ Lo que evaluaríamos desde lo Jurídico para los proyectos desde ceros y para los proyectos en RTB."/>
      </t:Event>
    </t:History>
  </t:Task>
  <t:Task id="{F696EF50-1B94-4D98-A7A2-BAABE7797B30}">
    <t:Anchor>
      <t:Comment id="1362120806"/>
    </t:Anchor>
    <t:History>
      <t:Event id="{17BC7C64-E1E1-43A5-83B0-F4364730B080}" time="2025-09-08T21:33:04.635Z">
        <t:Attribution userId="S::cjlizarazo@minenergia.gov.co::3bbdcda9-299b-4aae-881f-fb3e1e3275d2" userProvider="AD" userName="CLAUDIA JEANNETH LIZARAZO SANDOVAL"/>
        <t:Anchor>
          <t:Comment id="1362120806"/>
        </t:Anchor>
        <t:Create/>
      </t:Event>
      <t:Event id="{43F8E4DA-B811-4AED-BBDC-6132920FACF8}" time="2025-09-08T21:33:04.635Z">
        <t:Attribution userId="S::cjlizarazo@minenergia.gov.co::3bbdcda9-299b-4aae-881f-fb3e1e3275d2" userProvider="AD" userName="CLAUDIA JEANNETH LIZARAZO SANDOVAL"/>
        <t:Anchor>
          <t:Comment id="1362120806"/>
        </t:Anchor>
        <t:Assign userId="S::mccubillos@minenergia.gov.co::66fe8ae1-0a45-4eff-895b-e5581fc6819a" userProvider="AD" userName="MARIA CAMILA CUBILLOS SANCHEZ"/>
      </t:Event>
      <t:Event id="{78D172AA-EAE6-49D9-A366-258A4F9A0EAB}" time="2025-09-08T21:33:04.635Z">
        <t:Attribution userId="S::cjlizarazo@minenergia.gov.co::3bbdcda9-299b-4aae-881f-fb3e1e3275d2" userProvider="AD" userName="CLAUDIA JEANNETH LIZARAZO SANDOVAL"/>
        <t:Anchor>
          <t:Comment id="1362120806"/>
        </t:Anchor>
        <t:SetTitle title="@MARIA CAMILA CUBILLOS SANCHEZ Lo que evaluaríamos desde lo Jurídico para los proyectos desde ceros y para los proyectos en RTB."/>
      </t:Event>
    </t:History>
  </t:Task>
  <t:Task id="{258C1330-4EBD-416B-BBC0-90EFDC1DC931}">
    <t:Anchor>
      <t:Comment id="913960920"/>
    </t:Anchor>
    <t:History>
      <t:Event id="{B9B44826-4D9B-46BB-9EF3-C68B62C6685C}" time="2025-09-08T20:27:45.122Z">
        <t:Attribution userId="S::cjlizarazo@minenergia.gov.co::3bbdcda9-299b-4aae-881f-fb3e1e3275d2" userProvider="AD" userName="CLAUDIA JEANNETH LIZARAZO SANDOVAL"/>
        <t:Anchor>
          <t:Comment id="913960920"/>
        </t:Anchor>
        <t:Create/>
      </t:Event>
      <t:Event id="{BDD3D412-8436-4237-8549-DB561F2DBECB}" time="2025-09-08T20:27:45.122Z">
        <t:Attribution userId="S::cjlizarazo@minenergia.gov.co::3bbdcda9-299b-4aae-881f-fb3e1e3275d2" userProvider="AD" userName="CLAUDIA JEANNETH LIZARAZO SANDOVAL"/>
        <t:Anchor>
          <t:Comment id="913960920"/>
        </t:Anchor>
        <t:Assign userId="S::mccubillos@minenergia.gov.co::66fe8ae1-0a45-4eff-895b-e5581fc6819a" userProvider="AD" userName="MARIA CAMILA CUBILLOS SANCHEZ"/>
      </t:Event>
      <t:Event id="{F414CDF3-463C-4E49-AB85-20DFACF6826E}" time="2025-09-08T20:27:45.122Z">
        <t:Attribution userId="S::cjlizarazo@minenergia.gov.co::3bbdcda9-299b-4aae-881f-fb3e1e3275d2" userProvider="AD" userName="CLAUDIA JEANNETH LIZARAZO SANDOVAL"/>
        <t:Anchor>
          <t:Comment id="913960920"/>
        </t:Anchor>
        <t:SetTitle title="@MARIA CAMILA CUBILLOS SANCHEZ Cami incluí lo que entendí que debíamos aclarar para quedar independientes de Fonenergía. Lo revisas please y me avisas."/>
      </t:Event>
    </t:History>
  </t:Task>
  <t:Task id="{1FA6E14D-EA6A-4C9A-8F22-899BB510DFE4}">
    <t:Anchor>
      <t:Comment id="920760626"/>
    </t:Anchor>
    <t:History>
      <t:Event id="{E15810BC-C281-45CA-B0A0-45140CCD2644}" time="2025-09-08T20:01:17.968Z">
        <t:Attribution userId="S::cjlizarazo@minenergia.gov.co::3bbdcda9-299b-4aae-881f-fb3e1e3275d2" userProvider="AD" userName="CLAUDIA JEANNETH LIZARAZO SANDOVAL"/>
        <t:Anchor>
          <t:Comment id="920760626"/>
        </t:Anchor>
        <t:Create/>
      </t:Event>
      <t:Event id="{FF86CCF9-24C3-4B41-B42E-4001E36CA158}" time="2025-09-08T20:01:17.968Z">
        <t:Attribution userId="S::cjlizarazo@minenergia.gov.co::3bbdcda9-299b-4aae-881f-fb3e1e3275d2" userProvider="AD" userName="CLAUDIA JEANNETH LIZARAZO SANDOVAL"/>
        <t:Anchor>
          <t:Comment id="920760626"/>
        </t:Anchor>
        <t:Assign userId="S::mccubillos@minenergia.gov.co::66fe8ae1-0a45-4eff-895b-e5581fc6819a" userProvider="AD" userName="MARIA CAMILA CUBILLOS SANCHEZ"/>
      </t:Event>
      <t:Event id="{D4A9DD66-9037-47B2-B079-B445B0CF71A8}" time="2025-09-08T20:01:17.968Z">
        <t:Attribution userId="S::cjlizarazo@minenergia.gov.co::3bbdcda9-299b-4aae-881f-fb3e1e3275d2" userProvider="AD" userName="CLAUDIA JEANNETH LIZARAZO SANDOVAL"/>
        <t:Anchor>
          <t:Comment id="920760626"/>
        </t:Anchor>
        <t:SetTitle title="@MARIA CAMILA CUBILLOS SANCHEZ Siento que esto no aplica para la evaluación de los proyectos de CS."/>
      </t:Event>
    </t:History>
  </t:Task>
  <t:Task id="{01C5B091-66AC-44C7-88F8-421D03BB9702}">
    <t:Anchor>
      <t:Comment id="339550120"/>
    </t:Anchor>
    <t:History>
      <t:Event id="{D21D9642-87FE-4C87-8E78-158C5849ABED}" time="2025-09-08T21:29:57.737Z">
        <t:Attribution userId="S::cjlizarazo@minenergia.gov.co::3bbdcda9-299b-4aae-881f-fb3e1e3275d2" userProvider="AD" userName="CLAUDIA JEANNETH LIZARAZO SANDOVAL"/>
        <t:Anchor>
          <t:Comment id="339550120"/>
        </t:Anchor>
        <t:Create/>
      </t:Event>
      <t:Event id="{66CA4B50-3058-4B55-AD41-3E819D636864}" time="2025-09-08T21:29:57.737Z">
        <t:Attribution userId="S::cjlizarazo@minenergia.gov.co::3bbdcda9-299b-4aae-881f-fb3e1e3275d2" userProvider="AD" userName="CLAUDIA JEANNETH LIZARAZO SANDOVAL"/>
        <t:Anchor>
          <t:Comment id="339550120"/>
        </t:Anchor>
        <t:Assign userId="S::mccubillos@minenergia.gov.co::66fe8ae1-0a45-4eff-895b-e5581fc6819a" userProvider="AD" userName="MARIA CAMILA CUBILLOS SANCHEZ"/>
      </t:Event>
      <t:Event id="{D9F0CA52-FDAE-454E-93E9-8C6AEF516130}" time="2025-09-08T21:29:57.737Z">
        <t:Attribution userId="S::cjlizarazo@minenergia.gov.co::3bbdcda9-299b-4aae-881f-fb3e1e3275d2" userProvider="AD" userName="CLAUDIA JEANNETH LIZARAZO SANDOVAL"/>
        <t:Anchor>
          <t:Comment id="339550120"/>
        </t:Anchor>
        <t:SetTitle title="@MARIA CAMILA CUBILLOS SANCHEZ Cami entendería que no con todo el detalle pero debemos poner qué evaluaríamos desde lo predial para proyectos que estén desde ceros y para los que estén en RTB."/>
      </t:Event>
    </t:History>
  </t:Task>
  <t:Task id="{95631DBA-8CF1-4B98-9674-68975B73CD94}">
    <t:Anchor>
      <t:Comment id="657585795"/>
    </t:Anchor>
    <t:History>
      <t:Event id="{82C005B3-7881-4C6B-BDE5-215FA8537428}" time="2025-09-08T14:02:22.52Z">
        <t:Attribution userId="S::cjlizarazo@minenergia.gov.co::3bbdcda9-299b-4aae-881f-fb3e1e3275d2" userProvider="AD" userName="CLAUDIA JEANNETH LIZARAZO SANDOVAL"/>
        <t:Anchor>
          <t:Comment id="657585795"/>
        </t:Anchor>
        <t:Create/>
      </t:Event>
      <t:Event id="{00CF017E-9A4A-4CDE-8EDF-78936439F4B0}" time="2025-09-08T14:02:22.52Z">
        <t:Attribution userId="S::cjlizarazo@minenergia.gov.co::3bbdcda9-299b-4aae-881f-fb3e1e3275d2" userProvider="AD" userName="CLAUDIA JEANNETH LIZARAZO SANDOVAL"/>
        <t:Anchor>
          <t:Comment id="657585795"/>
        </t:Anchor>
        <t:Assign userId="S::mccubillos@minenergia.gov.co::66fe8ae1-0a45-4eff-895b-e5581fc6819a" userProvider="AD" userName="MARIA CAMILA CUBILLOS SANCHEZ"/>
      </t:Event>
      <t:Event id="{075510A0-365D-4B22-AF48-0A640035136B}" time="2025-09-08T14:02:22.52Z">
        <t:Attribution userId="S::cjlizarazo@minenergia.gov.co::3bbdcda9-299b-4aae-881f-fb3e1e3275d2" userProvider="AD" userName="CLAUDIA JEANNETH LIZARAZO SANDOVAL"/>
        <t:Anchor>
          <t:Comment id="657585795"/>
        </t:Anchor>
        <t:SetTitle title="@MARIA CAMILA CUBILLOS SANCHEZ"/>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AE6AFC42CA4BC9BF2FF65758EE03B6"/>
        <w:category>
          <w:name w:val="General"/>
          <w:gallery w:val="placeholder"/>
        </w:category>
        <w:types>
          <w:type w:val="bbPlcHdr"/>
        </w:types>
        <w:behaviors>
          <w:behavior w:val="content"/>
        </w:behaviors>
        <w:guid w:val="{2DD327D5-8A1F-4F3F-A727-DEAE00C91C6E}"/>
      </w:docPartPr>
      <w:docPartBody>
        <w:p w:rsidR="002743EE" w:rsidRDefault="00732C23" w:rsidP="00732C23">
          <w:pPr>
            <w:pStyle w:val="F9AE6AFC42CA4BC9BF2FF65758EE03B6"/>
          </w:pPr>
          <w:r>
            <w:rPr>
              <w:rFonts w:ascii="Arial" w:hAnsi="Arial" w:cs="Arial"/>
              <w:sz w:val="14"/>
              <w:szCs w:val="16"/>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Work Sans">
    <w:altName w:val="Work Sans"/>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23"/>
    <w:rsid w:val="0005657B"/>
    <w:rsid w:val="001442A3"/>
    <w:rsid w:val="00151F7B"/>
    <w:rsid w:val="0015748E"/>
    <w:rsid w:val="0016471F"/>
    <w:rsid w:val="0019390B"/>
    <w:rsid w:val="00194C2C"/>
    <w:rsid w:val="001A3FD4"/>
    <w:rsid w:val="001A57AF"/>
    <w:rsid w:val="001C1533"/>
    <w:rsid w:val="00200C6A"/>
    <w:rsid w:val="00214A85"/>
    <w:rsid w:val="002743EE"/>
    <w:rsid w:val="00337E48"/>
    <w:rsid w:val="00343EB9"/>
    <w:rsid w:val="003961EC"/>
    <w:rsid w:val="003D4575"/>
    <w:rsid w:val="00431F07"/>
    <w:rsid w:val="00433E42"/>
    <w:rsid w:val="00441AFD"/>
    <w:rsid w:val="00443F6C"/>
    <w:rsid w:val="00483D7B"/>
    <w:rsid w:val="004D6009"/>
    <w:rsid w:val="004E14A2"/>
    <w:rsid w:val="00641373"/>
    <w:rsid w:val="00677FDE"/>
    <w:rsid w:val="00732C23"/>
    <w:rsid w:val="00766F95"/>
    <w:rsid w:val="00773021"/>
    <w:rsid w:val="00776F10"/>
    <w:rsid w:val="007B2E5C"/>
    <w:rsid w:val="007E0604"/>
    <w:rsid w:val="007F3B2E"/>
    <w:rsid w:val="00860DC0"/>
    <w:rsid w:val="0088001C"/>
    <w:rsid w:val="008A1532"/>
    <w:rsid w:val="008B3A45"/>
    <w:rsid w:val="00900301"/>
    <w:rsid w:val="0090185B"/>
    <w:rsid w:val="009247A3"/>
    <w:rsid w:val="009A4B09"/>
    <w:rsid w:val="009B5BCB"/>
    <w:rsid w:val="009B6745"/>
    <w:rsid w:val="009E0B73"/>
    <w:rsid w:val="009F341A"/>
    <w:rsid w:val="009F65E9"/>
    <w:rsid w:val="00A028EF"/>
    <w:rsid w:val="00A421B5"/>
    <w:rsid w:val="00A44EF0"/>
    <w:rsid w:val="00A8006C"/>
    <w:rsid w:val="00A85BAE"/>
    <w:rsid w:val="00A95596"/>
    <w:rsid w:val="00AD7B4B"/>
    <w:rsid w:val="00B0004F"/>
    <w:rsid w:val="00B100EB"/>
    <w:rsid w:val="00B34CA6"/>
    <w:rsid w:val="00B37E3C"/>
    <w:rsid w:val="00B73A46"/>
    <w:rsid w:val="00B77D69"/>
    <w:rsid w:val="00BA6E14"/>
    <w:rsid w:val="00BE0FC0"/>
    <w:rsid w:val="00C33978"/>
    <w:rsid w:val="00C91DEE"/>
    <w:rsid w:val="00D96808"/>
    <w:rsid w:val="00DA4025"/>
    <w:rsid w:val="00E1478A"/>
    <w:rsid w:val="00E353DE"/>
    <w:rsid w:val="00E50DD9"/>
    <w:rsid w:val="00E61568"/>
    <w:rsid w:val="00E92F77"/>
    <w:rsid w:val="00ED5B2A"/>
    <w:rsid w:val="00EF24A8"/>
    <w:rsid w:val="00F4338F"/>
    <w:rsid w:val="00F546FF"/>
    <w:rsid w:val="00F83C2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9AE6AFC42CA4BC9BF2FF65758EE03B6">
    <w:name w:val="F9AE6AFC42CA4BC9BF2FF65758EE03B6"/>
    <w:rsid w:val="00732C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41A65B-F047-45AE-9E33-D58A36A412A5}">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2638ABC0-FFDF-4D0A-8000-8B80140C0756}">
  <ds:schemaRefs>
    <ds:schemaRef ds:uri="http://schemas.microsoft.com/sharepoint/v3/contenttype/forms"/>
  </ds:schemaRefs>
</ds:datastoreItem>
</file>

<file path=customXml/itemProps3.xml><?xml version="1.0" encoding="utf-8"?>
<ds:datastoreItem xmlns:ds="http://schemas.openxmlformats.org/officeDocument/2006/customXml" ds:itemID="{7E0773FA-394B-469F-8A7B-50618BB2E131}">
  <ds:schemaRefs>
    <ds:schemaRef ds:uri="http://schemas.openxmlformats.org/officeDocument/2006/bibliography"/>
  </ds:schemaRefs>
</ds:datastoreItem>
</file>

<file path=customXml/itemProps4.xml><?xml version="1.0" encoding="utf-8"?>
<ds:datastoreItem xmlns:ds="http://schemas.openxmlformats.org/officeDocument/2006/customXml" ds:itemID="{64019C05-0A61-4FF4-9B2C-E636D11A4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154</Pages>
  <Words>60952</Words>
  <Characters>335238</Characters>
  <Application>Microsoft Office Word</Application>
  <DocSecurity>0</DocSecurity>
  <Lines>2793</Lines>
  <Paragraphs>790</Paragraphs>
  <ScaleCrop>false</ScaleCrop>
  <Company/>
  <LinksUpToDate>false</LinksUpToDate>
  <CharactersWithSpaces>395400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BELFREDI PRIETO OSORNO</cp:lastModifiedBy>
  <cp:revision>24</cp:revision>
  <cp:lastPrinted>2026-03-10T23:08:00Z</cp:lastPrinted>
  <dcterms:created xsi:type="dcterms:W3CDTF">2026-04-06T16:32:00Z</dcterms:created>
  <dcterms:modified xsi:type="dcterms:W3CDTF">2026-04-06T18:51:00Z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